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5B6" w:rsidRDefault="00161BBE">
      <w:pPr>
        <w:pStyle w:val="Heading1"/>
      </w:pPr>
      <w:r>
        <w:t>1. Introduction</w:t>
      </w:r>
    </w:p>
    <w:p w:rsidR="004105B6" w:rsidRDefault="00161BBE">
      <w:pPr>
        <w:spacing w:after="180" w:line="360" w:lineRule="auto"/>
      </w:pPr>
      <w:r>
        <w:t>LDL cholesterol occupies a central place in cardiovascular disease prevention, risk stratification, and long-term management. In India, this matters more urgently than in many other settings. Heart disease here tends to strike earlier and progress more agg</w:t>
      </w:r>
      <w:r>
        <w:t xml:space="preserve">ressively than in Western populations, which means getting LDL-C values right carries genuine consequences for patients. The ESC and ACC guidelines both rely on LDL-C thresholds to determine when and how intensively to treat [1], and given the high burden </w:t>
      </w:r>
      <w:r>
        <w:t xml:space="preserve">of </w:t>
      </w:r>
      <w:proofErr w:type="spellStart"/>
      <w:r>
        <w:t>dyslipidemia</w:t>
      </w:r>
      <w:proofErr w:type="spellEnd"/>
      <w:r>
        <w:t>, metabolic syndrome, diabetes, and premature coronary artery disease in India, reliable estimation is a practical necessity, not just a methodological nicety.</w:t>
      </w:r>
    </w:p>
    <w:p w:rsidR="004105B6" w:rsidRDefault="00161BBE">
      <w:pPr>
        <w:spacing w:after="180" w:line="360" w:lineRule="auto"/>
      </w:pPr>
      <w:r>
        <w:t>Direct LDL-C measurement is the most analytically sound option, and it's what you</w:t>
      </w:r>
      <w:r>
        <w:t>'d want in situations involving very high triglycerides or very low LDL-C. But direct assays are expensive, slower to process, and variable across platforms. In resource-constrained labs—a common reality in India—routine direct measurement isn't always fea</w:t>
      </w:r>
      <w:r>
        <w:t xml:space="preserve">sible [8]. Most labs rely instead on calculation formulas derived from the standard lipid panel. The </w:t>
      </w:r>
      <w:proofErr w:type="spellStart"/>
      <w:r>
        <w:t>Friedewald</w:t>
      </w:r>
      <w:proofErr w:type="spellEnd"/>
      <w:r>
        <w:t xml:space="preserve"> equation, introduced in 1972, remains the dominant choice for its simplicity [2], but it assumes a fixed ratio between triglycerides and VLDL ch</w:t>
      </w:r>
      <w:r>
        <w:t>olesterol—a relationship that holds reasonably well under normal conditions but quietly breaks down in patients with high TG, diabetes, metabolic syndrome, or non-fasting states. Above 400 mg/</w:t>
      </w:r>
      <w:proofErr w:type="spellStart"/>
      <w:r>
        <w:t>dL</w:t>
      </w:r>
      <w:proofErr w:type="spellEnd"/>
      <w:r>
        <w:t xml:space="preserve"> TG, </w:t>
      </w:r>
      <w:proofErr w:type="spellStart"/>
      <w:r>
        <w:t>Friedewald</w:t>
      </w:r>
      <w:proofErr w:type="spellEnd"/>
      <w:r>
        <w:t xml:space="preserve"> can meaningfully underestimate LDL-C [3,6].</w:t>
      </w:r>
    </w:p>
    <w:p w:rsidR="004105B6" w:rsidRDefault="00161BBE">
      <w:pPr>
        <w:spacing w:after="180" w:line="360" w:lineRule="auto"/>
      </w:pPr>
      <w:r>
        <w:t>Ne</w:t>
      </w:r>
      <w:r>
        <w:t>wer formulas have tried to address this. The Martin–Hopkins method introduced an adjustable TG-to-VLDL divisor from large population datasets [3,4], and the Sampson–NIH equation added nonlinear terms specifically aimed at the high-TG range [5]. Both are im</w:t>
      </w:r>
      <w:r>
        <w:t>provements, but as our own TG-stratified analysis makes clear, neither fully resolves the problem above 400 mg/</w:t>
      </w:r>
      <w:proofErr w:type="spellStart"/>
      <w:r>
        <w:t>dL</w:t>
      </w:r>
      <w:proofErr w:type="spellEnd"/>
      <w:r>
        <w:t xml:space="preserve"> [6,7].</w:t>
      </w:r>
    </w:p>
    <w:p w:rsidR="004105B6" w:rsidRDefault="00161BBE">
      <w:pPr>
        <w:spacing w:after="180" w:line="360" w:lineRule="auto"/>
      </w:pPr>
      <w:r>
        <w:t>Machine learning offers a fundamentally different path. Instead of encoding biochemical assumptions that may or may not hold for a give</w:t>
      </w:r>
      <w:r>
        <w:t xml:space="preserve">n patient, ML models learn empirical relationships directly from data, capturing nonlinear interactions and edge-case patterns that no formula can anticipate. Prior work suggests ML can meaningfully outperform conventional equations in </w:t>
      </w:r>
      <w:proofErr w:type="spellStart"/>
      <w:r>
        <w:t>hypertriglyceridemic</w:t>
      </w:r>
      <w:proofErr w:type="spellEnd"/>
      <w:r>
        <w:t xml:space="preserve"> samples [9–11]. Ensemble approaches like Random Forest, </w:t>
      </w:r>
      <w:proofErr w:type="spellStart"/>
      <w:r>
        <w:lastRenderedPageBreak/>
        <w:t>XGBoost</w:t>
      </w:r>
      <w:proofErr w:type="spellEnd"/>
      <w:r>
        <w:t xml:space="preserve">, and </w:t>
      </w:r>
      <w:proofErr w:type="spellStart"/>
      <w:r>
        <w:t>CatBoost</w:t>
      </w:r>
      <w:proofErr w:type="spellEnd"/>
      <w:r>
        <w:t xml:space="preserve"> are particularly well-suited to structured biomedical datasets because they manage variance effectively and handle complex feature interactions [15–17].</w:t>
      </w:r>
    </w:p>
    <w:p w:rsidR="004105B6" w:rsidRDefault="00161BBE">
      <w:pPr>
        <w:spacing w:after="180" w:line="360" w:lineRule="auto"/>
      </w:pPr>
      <w:r>
        <w:t xml:space="preserve">The gap in the existing </w:t>
      </w:r>
      <w:r>
        <w:t>literature, though, is that most ML studies stop at prediction accuracy. They don't seriously engage with the quality control requirements that clinical labs actually work under. Accredited laboratories validate results using structured QC systems—Westgard</w:t>
      </w:r>
      <w:r>
        <w:t xml:space="preserve"> multi-rule procedures being the standard—precisely to ensure that the numbers released to clinicians are trustworthy [12,13]. A model that scores well on a benchmark but occasionally generates implausible values is not ready for clinical deployment. Integ</w:t>
      </w:r>
      <w:r>
        <w:t>rating QC principles into ML-based LDL-C prediction is, in our view, not optional—it's what responsible real-world implementation looks like. A QC-aware post-prediction layer can flag and moderate analytically extreme outputs while leaving the core model's</w:t>
      </w:r>
      <w:r>
        <w:t xml:space="preserve"> </w:t>
      </w:r>
      <w:proofErr w:type="spellStart"/>
      <w:r>
        <w:t>behavior</w:t>
      </w:r>
      <w:proofErr w:type="spellEnd"/>
      <w:r>
        <w:t xml:space="preserve"> intact, and this aligns squarely with what ISO 15189 requires of accredited labs [14].</w:t>
      </w:r>
    </w:p>
    <w:p w:rsidR="004105B6" w:rsidRDefault="00161BBE">
      <w:pPr>
        <w:spacing w:after="180" w:line="360" w:lineRule="auto"/>
      </w:pPr>
      <w:r>
        <w:t>This study was designed with all of that in mind. We developed and validated a QC-aware ML framework for LDL-C estimation in the Indian population, comparing f</w:t>
      </w:r>
      <w:r>
        <w:t>our regression algorithms—</w:t>
      </w:r>
      <w:proofErr w:type="spellStart"/>
      <w:r>
        <w:t>CatBoost</w:t>
      </w:r>
      <w:proofErr w:type="spellEnd"/>
      <w:r>
        <w:t xml:space="preserve"> [17], </w:t>
      </w:r>
      <w:proofErr w:type="spellStart"/>
      <w:r>
        <w:t>XGBoost</w:t>
      </w:r>
      <w:proofErr w:type="spellEnd"/>
      <w:r>
        <w:t xml:space="preserve"> [16], Random Forest [15], and Support Vector Regression [18]—against the established formulas, with a particular focus on what happens at elevated triglyceride levels and across different patient demographic</w:t>
      </w:r>
      <w:r>
        <w:t>s.</w:t>
      </w:r>
    </w:p>
    <w:p w:rsidR="004105B6" w:rsidRDefault="00161BBE">
      <w:pPr>
        <w:pStyle w:val="Heading1"/>
      </w:pPr>
      <w:r>
        <w:t>2. Materials and Methods</w:t>
      </w:r>
    </w:p>
    <w:p w:rsidR="004105B6" w:rsidRDefault="00161BBE">
      <w:pPr>
        <w:pStyle w:val="Heading2"/>
      </w:pPr>
      <w:r>
        <w:t>2.1 Study Design, Data Source, and Dataset Partitioning</w:t>
      </w:r>
    </w:p>
    <w:p w:rsidR="004105B6" w:rsidRDefault="00161BBE">
      <w:pPr>
        <w:spacing w:after="180" w:line="360" w:lineRule="auto"/>
      </w:pPr>
      <w:r>
        <w:t>This was a retrospective observational analysis of lipid panel data generated during routine care at a tertiary clinical laboratory, comprising 15,954 lipid profiles in tot</w:t>
      </w:r>
      <w:r>
        <w:t>al. All measurements were performed as part of standard patient workup. Data were extracted from the laboratory information system in fully anonymized form before any analysis began, and because this involved secondary use of de-identified routine data, th</w:t>
      </w:r>
      <w:r>
        <w:t>e study was considered minimal risk with no requirement for formal informed consent. Records with missing values for TC, TG, HDL-C, or directly measured LDL-C, or with biologically implausible lipid values, were excluded prior to analysis.</w:t>
      </w:r>
    </w:p>
    <w:p w:rsidR="004105B6" w:rsidRDefault="00161BBE">
      <w:pPr>
        <w:spacing w:after="180" w:line="360" w:lineRule="auto"/>
      </w:pPr>
      <w:r>
        <w:t>To reflect reali</w:t>
      </w:r>
      <w:r>
        <w:t xml:space="preserve">stic deployment conditions and avoid any data leakage between training and evaluation, the dataset was divided chronologically into two non-overlapping groups. The </w:t>
      </w:r>
      <w:r>
        <w:lastRenderedPageBreak/>
        <w:t>development cohort comprised 12,763 samples collected from January through September 2024 an</w:t>
      </w:r>
      <w:r>
        <w:t xml:space="preserve">d was used for all model training and initial performance assessment. The validation cohort comprised 3,191 samples from October through December 2024 and was kept entirely separate until training was complete, serving as a test of how the framework would </w:t>
      </w:r>
      <w:r>
        <w:t>perform under real laboratory conditions over time.</w:t>
      </w:r>
    </w:p>
    <w:p w:rsidR="004105B6" w:rsidRDefault="00161BBE">
      <w:pPr>
        <w:pStyle w:val="Heading2"/>
      </w:pPr>
      <w:r>
        <w:t>2.2 Laboratory Measurements and Reference Standard</w:t>
      </w:r>
    </w:p>
    <w:p w:rsidR="004105B6" w:rsidRDefault="00161BBE">
      <w:pPr>
        <w:spacing w:after="180" w:line="360" w:lineRule="auto"/>
      </w:pPr>
      <w:r>
        <w:t xml:space="preserve">All lipid parameters—TC, TG, HDL-C, and LDL-C—were measured on Beckman Coulter AU5800 automated </w:t>
      </w:r>
      <w:proofErr w:type="spellStart"/>
      <w:r>
        <w:t>analyzers</w:t>
      </w:r>
      <w:proofErr w:type="spellEnd"/>
      <w:r>
        <w:t xml:space="preserve"> following manufacturer specifications and inter</w:t>
      </w:r>
      <w:r>
        <w:t>nal QA protocols. Directly measured LDL-C served as the reference standard for all comparisons. LDL-C was also estimated using three established formulas:</w:t>
      </w:r>
    </w:p>
    <w:p w:rsidR="004105B6" w:rsidRDefault="00161BBE">
      <w:pPr>
        <w:spacing w:after="180" w:line="360" w:lineRule="auto"/>
      </w:pPr>
      <w:r>
        <w:rPr>
          <w:b/>
          <w:bCs/>
        </w:rPr>
        <w:t xml:space="preserve">1. </w:t>
      </w:r>
      <w:proofErr w:type="spellStart"/>
      <w:r>
        <w:rPr>
          <w:b/>
          <w:bCs/>
        </w:rPr>
        <w:t>Friedewald</w:t>
      </w:r>
      <w:proofErr w:type="spellEnd"/>
      <w:r>
        <w:rPr>
          <w:b/>
          <w:bCs/>
        </w:rPr>
        <w:t xml:space="preserve"> formula [2]: </w:t>
      </w:r>
      <w:r>
        <w:t>LDL-C = TC − HDL-C − (TG/5)</w:t>
      </w:r>
    </w:p>
    <w:p w:rsidR="004105B6" w:rsidRDefault="00161BBE">
      <w:pPr>
        <w:spacing w:after="180" w:line="360" w:lineRule="auto"/>
      </w:pPr>
      <w:r>
        <w:rPr>
          <w:b/>
          <w:bCs/>
        </w:rPr>
        <w:t xml:space="preserve">2. Martin–Hopkins method [3,4]: </w:t>
      </w:r>
      <w:r>
        <w:t>LDL-C = TC − H</w:t>
      </w:r>
      <w:r>
        <w:t>DL-C − TG/ζ, where ζ is an adjustable TG divisor</w:t>
      </w:r>
    </w:p>
    <w:p w:rsidR="004105B6" w:rsidRDefault="00161BBE">
      <w:pPr>
        <w:spacing w:after="180" w:line="360" w:lineRule="auto"/>
      </w:pPr>
      <w:r>
        <w:rPr>
          <w:b/>
          <w:bCs/>
        </w:rPr>
        <w:t xml:space="preserve">3. Sampson–NIH equation [5]: </w:t>
      </w:r>
      <w:r>
        <w:t>LDL-C = 0.948TC − 0.971HDL-C − (8.56TG + 2140TG×(TC−HDL-C) − 16100TG²) − 9.44</w:t>
      </w:r>
    </w:p>
    <w:p w:rsidR="004105B6" w:rsidRDefault="00161BBE">
      <w:pPr>
        <w:spacing w:after="180" w:line="360" w:lineRule="auto"/>
      </w:pPr>
      <w:r>
        <w:t>All formulas were implemented exactly as originally described, without modification.</w:t>
      </w:r>
    </w:p>
    <w:p w:rsidR="004105B6" w:rsidRDefault="00161BBE">
      <w:pPr>
        <w:pStyle w:val="Heading2"/>
      </w:pPr>
      <w:r>
        <w:t>2.3 Feature Sel</w:t>
      </w:r>
      <w:r>
        <w:t>ection Strategy</w:t>
      </w:r>
    </w:p>
    <w:p w:rsidR="004105B6" w:rsidRDefault="00161BBE">
      <w:pPr>
        <w:spacing w:after="180" w:line="360" w:lineRule="auto"/>
      </w:pPr>
      <w:r>
        <w:t>Models were trained on the three biochemical values in any standard lipid panel: total cholesterol, triglycerides, and HDL-cholesterol. Age and gender were deliberately excluded—LDL-C is reported based on lipid values alone in routine pract</w:t>
      </w:r>
      <w:r>
        <w:t>ice, and including demographic variables risks encoding population-specific biases that limit portability. Demographic performance was instead assessed through post hoc subgroup analyses.</w:t>
      </w:r>
    </w:p>
    <w:p w:rsidR="004105B6" w:rsidRDefault="00161BBE">
      <w:pPr>
        <w:pStyle w:val="Heading2"/>
      </w:pPr>
      <w:r>
        <w:t>2.4 Machine Learning Models</w:t>
      </w:r>
    </w:p>
    <w:p w:rsidR="004105B6" w:rsidRDefault="00161BBE">
      <w:pPr>
        <w:spacing w:after="180" w:line="360" w:lineRule="auto"/>
      </w:pPr>
      <w:r>
        <w:t>Four supervised regression algorithms we</w:t>
      </w:r>
      <w:r>
        <w:t xml:space="preserve">re included in this evaluation. </w:t>
      </w:r>
      <w:proofErr w:type="spellStart"/>
      <w:r>
        <w:t>CatBoost</w:t>
      </w:r>
      <w:proofErr w:type="spellEnd"/>
      <w:r>
        <w:t xml:space="preserve"> </w:t>
      </w:r>
      <w:proofErr w:type="spellStart"/>
      <w:r>
        <w:t>Regressor</w:t>
      </w:r>
      <w:proofErr w:type="spellEnd"/>
      <w:r>
        <w:t xml:space="preserve"> [17] was selected for its ability to minimize prediction bias through ordered boosting and symmetric tree structures; originally developed to handle categorical features, its gradient boosting foundation t</w:t>
      </w:r>
      <w:r>
        <w:t xml:space="preserve">ranslates well to structured biomedical data. </w:t>
      </w:r>
      <w:proofErr w:type="spellStart"/>
      <w:r>
        <w:t>XGBoost</w:t>
      </w:r>
      <w:proofErr w:type="spellEnd"/>
      <w:r>
        <w:t xml:space="preserve"> </w:t>
      </w:r>
      <w:proofErr w:type="spellStart"/>
      <w:r>
        <w:t>Regressor</w:t>
      </w:r>
      <w:proofErr w:type="spellEnd"/>
      <w:r>
        <w:t xml:space="preserve"> [16] applies regularized gradient boosting with shrinkage and subsampling strategies that help the model </w:t>
      </w:r>
      <w:r>
        <w:lastRenderedPageBreak/>
        <w:t xml:space="preserve">generalize beyond its training examples. Random Forest </w:t>
      </w:r>
      <w:proofErr w:type="spellStart"/>
      <w:r>
        <w:t>Regressor</w:t>
      </w:r>
      <w:proofErr w:type="spellEnd"/>
      <w:r>
        <w:t xml:space="preserve"> [15] is a classical en</w:t>
      </w:r>
      <w:r>
        <w:t>semble approach that builds many independent decision trees and averages their outputs, reducing variance without requiring complex tuning. Support Vector Regression (SVR) [18] with a radial basis function kernel was included as a margin-based approach cap</w:t>
      </w:r>
      <w:r>
        <w:t>able of capturing nonlinear relationships in a different way from the tree-based ensemble methods.</w:t>
      </w:r>
    </w:p>
    <w:p w:rsidR="004105B6" w:rsidRDefault="00161BBE">
      <w:pPr>
        <w:pStyle w:val="Heading2"/>
      </w:pPr>
      <w:r>
        <w:t>2.5 Model Training and Validation Strategy</w:t>
      </w:r>
    </w:p>
    <w:p w:rsidR="004105B6" w:rsidRDefault="00161BBE">
      <w:pPr>
        <w:spacing w:after="180" w:line="360" w:lineRule="auto"/>
      </w:pPr>
      <w:r>
        <w:t xml:space="preserve">All model training was performed exclusively on the development dataset, with </w:t>
      </w:r>
      <w:proofErr w:type="spellStart"/>
      <w:r>
        <w:t>hyperparameters</w:t>
      </w:r>
      <w:proofErr w:type="spellEnd"/>
      <w:r>
        <w:t xml:space="preserve"> selected through cro</w:t>
      </w:r>
      <w:r>
        <w:t>ss-validation within this set, balancing accuracy and stability in equal measure. Gradient boosting models were configured with shallower trees and conservative learning rates to avoid overfitting on a dataset that carries the inherent noise of biochemical</w:t>
      </w:r>
      <w:r>
        <w:t xml:space="preserve"> measurements. Random Forest parameters were set to give the model enough flexibility to capture relevant patterns while maintaining ensemble stability. SVR was trained with moderate regularization to account for the same analytical variability. The valida</w:t>
      </w:r>
      <w:r>
        <w:t>tion dataset was not accessed at any point during training or tuning.</w:t>
      </w:r>
    </w:p>
    <w:p w:rsidR="004105B6" w:rsidRDefault="00161BBE">
      <w:pPr>
        <w:pStyle w:val="Heading2"/>
      </w:pPr>
      <w:r>
        <w:t>2.6 Quality Control (QC)–Aware Post-Prediction Module</w:t>
      </w:r>
    </w:p>
    <w:p w:rsidR="004105B6" w:rsidRDefault="00161BBE">
      <w:pPr>
        <w:spacing w:after="180" w:line="360" w:lineRule="auto"/>
      </w:pPr>
      <w:r>
        <w:t>After generating a predicted LDL-C value, the QC module compares it against reference thresholds derived from the distribution of di</w:t>
      </w:r>
      <w:r>
        <w:t>rectly measured LDL-C in the development dataset, following the logic of Westgard multi-rule quality control [12,13]. Predictions exceeding ±3 standard deviations from the reference mean are flagged as analytically implausible and capped at ±2 standard dev</w:t>
      </w:r>
      <w:r>
        <w:t>iations rather than discarded. This module operates strictly after prediction and has no influence on model training, keeping the two steps methodologically independent.</w:t>
      </w:r>
    </w:p>
    <w:p w:rsidR="004105B6" w:rsidRDefault="00161BBE">
      <w:pPr>
        <w:pStyle w:val="Heading2"/>
      </w:pPr>
      <w:r>
        <w:t>2.7 Statistical Analysis</w:t>
      </w:r>
    </w:p>
    <w:p w:rsidR="004105B6" w:rsidRDefault="00161BBE">
      <w:pPr>
        <w:spacing w:after="180" w:line="360" w:lineRule="auto"/>
      </w:pPr>
      <w:r>
        <w:t>Performance was assessed using R², MSE, and Pearson correlati</w:t>
      </w:r>
      <w:r>
        <w:t>on coefficient, with agreement visualized through scatter plots, residual analyses, and Bland–Altman plots. Subgroup analyses were conducted across predefined TG strata and demographic categories using Python scientific computing libraries.</w:t>
      </w:r>
    </w:p>
    <w:p w:rsidR="004105B6" w:rsidRDefault="00161BBE">
      <w:pPr>
        <w:pStyle w:val="Heading2"/>
      </w:pPr>
      <w:r>
        <w:t>2.8 Ethical Con</w:t>
      </w:r>
      <w:r>
        <w:t>siderations</w:t>
      </w:r>
    </w:p>
    <w:p w:rsidR="004105B6" w:rsidRDefault="00161BBE">
      <w:pPr>
        <w:spacing w:after="180" w:line="360" w:lineRule="auto"/>
      </w:pPr>
      <w:r>
        <w:lastRenderedPageBreak/>
        <w:t>The study protocol was reviewed by the Institutional Ethics Committee and granted exemption from formal approval given its minimal-risk nature (IEC Reference No.: AIG/IEC-Post BH&amp;R 64/11.2024-02). The requirement for informed consent was waived.</w:t>
      </w:r>
    </w:p>
    <w:p w:rsidR="00161BBE" w:rsidRDefault="00161BBE" w:rsidP="00161BBE">
      <w:pPr>
        <w:pStyle w:val="Heading1"/>
      </w:pPr>
      <w:r>
        <w:t>3. Results</w:t>
      </w:r>
      <w:r>
        <w:t>1. Introduction</w:t>
      </w:r>
    </w:p>
    <w:p w:rsidR="00161BBE" w:rsidRDefault="00161BBE" w:rsidP="00161BBE">
      <w:pPr>
        <w:spacing w:after="180" w:line="360" w:lineRule="auto"/>
      </w:pPr>
      <w:r>
        <w:t xml:space="preserve">LDL cholesterol occupies a central place in cardiovascular disease prevention, risk stratification, and long-term management. In India, this matters more urgently than in many other settings. Heart disease here tends to strike earlier and progress more aggressively than in Western populations, which means getting LDL-C values right carries genuine consequences for patients. The ESC and ACC guidelines both rely on LDL-C thresholds to determine when and how intensively to treat [1], and given the high burden of </w:t>
      </w:r>
      <w:proofErr w:type="spellStart"/>
      <w:r>
        <w:t>dyslipidemia</w:t>
      </w:r>
      <w:proofErr w:type="spellEnd"/>
      <w:r>
        <w:t>, metabolic syndrome, diabetes, and premature coronary artery disease in India, reliable estimation is a practical necessity, not just a methodological nicety.</w:t>
      </w:r>
    </w:p>
    <w:p w:rsidR="00161BBE" w:rsidRDefault="00161BBE" w:rsidP="00161BBE">
      <w:pPr>
        <w:spacing w:after="180" w:line="360" w:lineRule="auto"/>
      </w:pPr>
      <w:r>
        <w:t xml:space="preserve">Direct LDL-C measurement is the most analytically sound option, and it's what you'd want in situations involving very high triglycerides or very low LDL-C. But direct assays are expensive, slower to process, and variable across platforms. In resource-constrained labs—a common reality in India—routine direct measurement isn't always feasible [8]. Most labs rely instead on calculation formulas derived from the standard lipid panel. The </w:t>
      </w:r>
      <w:proofErr w:type="spellStart"/>
      <w:r>
        <w:t>Friedewald</w:t>
      </w:r>
      <w:proofErr w:type="spellEnd"/>
      <w:r>
        <w:t xml:space="preserve"> equation, introduced in 1972, remains the dominant choice for its simplicity [2], but it assumes a fixed ratio between triglycerides and VLDL cholesterol—a relationship that holds reasonably well under normal conditions but quietly breaks down in patients with high TG, diabetes, metabolic syndrome, or non-fasting states. Above 400 mg/</w:t>
      </w:r>
      <w:proofErr w:type="spellStart"/>
      <w:r>
        <w:t>dL</w:t>
      </w:r>
      <w:proofErr w:type="spellEnd"/>
      <w:r>
        <w:t xml:space="preserve"> TG, </w:t>
      </w:r>
      <w:proofErr w:type="spellStart"/>
      <w:r>
        <w:t>Friedewald</w:t>
      </w:r>
      <w:proofErr w:type="spellEnd"/>
      <w:r>
        <w:t xml:space="preserve"> can meaningfully underestimate LDL-C [3,6].</w:t>
      </w:r>
    </w:p>
    <w:p w:rsidR="00161BBE" w:rsidRDefault="00161BBE" w:rsidP="00161BBE">
      <w:pPr>
        <w:spacing w:after="180" w:line="360" w:lineRule="auto"/>
      </w:pPr>
      <w:r>
        <w:t>Newer formulas have tried to address this. The Martin–Hopkins method introduced an adjustable TG-to-VLDL divisor from large population datasets [3,4], and the Sampson–NIH equation added nonlinear terms specifically aimed at the high-TG range [5]. Both are improvements, but as our own TG-stratified analysis makes clear, neither fully resolves the problem above 400 mg/</w:t>
      </w:r>
      <w:proofErr w:type="spellStart"/>
      <w:r>
        <w:t>dL</w:t>
      </w:r>
      <w:proofErr w:type="spellEnd"/>
      <w:r>
        <w:t xml:space="preserve"> [6,7].</w:t>
      </w:r>
    </w:p>
    <w:p w:rsidR="00161BBE" w:rsidRDefault="00161BBE" w:rsidP="00161BBE">
      <w:pPr>
        <w:spacing w:after="180" w:line="360" w:lineRule="auto"/>
      </w:pPr>
      <w:r>
        <w:t xml:space="preserve">Machine learning offers a fundamentally different path. Instead of encoding biochemical assumptions that may or may not hold for a given patient, ML models learn empirical </w:t>
      </w:r>
      <w:r>
        <w:lastRenderedPageBreak/>
        <w:t xml:space="preserve">relationships directly from data, capturing nonlinear interactions and edge-case patterns that no formula can anticipate. Prior work suggests ML can meaningfully outperform conventional equations in </w:t>
      </w:r>
      <w:proofErr w:type="spellStart"/>
      <w:r>
        <w:t>hypertriglyceridemic</w:t>
      </w:r>
      <w:proofErr w:type="spellEnd"/>
      <w:r>
        <w:t xml:space="preserve"> samples [9–11]. Ensemble approaches like Random Forest, </w:t>
      </w:r>
      <w:proofErr w:type="spellStart"/>
      <w:r>
        <w:t>XGBoost</w:t>
      </w:r>
      <w:proofErr w:type="spellEnd"/>
      <w:r>
        <w:t xml:space="preserve">, and </w:t>
      </w:r>
      <w:proofErr w:type="spellStart"/>
      <w:r>
        <w:t>CatBoost</w:t>
      </w:r>
      <w:proofErr w:type="spellEnd"/>
      <w:r>
        <w:t xml:space="preserve"> are particularly well-suited to structured biomedical datasets because they manage variance effectively and handle complex feature interactions [15–17].</w:t>
      </w:r>
    </w:p>
    <w:p w:rsidR="00161BBE" w:rsidRDefault="00161BBE" w:rsidP="00161BBE">
      <w:pPr>
        <w:spacing w:after="180" w:line="360" w:lineRule="auto"/>
      </w:pPr>
      <w:r>
        <w:t xml:space="preserve">The gap in the existing literature, though, is that most ML studies stop at prediction accuracy. They don't seriously engage with the quality control requirements that clinical labs actually work under. Accredited laboratories validate results using structured QC systems—Westgard multi-rule procedures being the standard—precisely to ensure that the numbers released to clinicians are trustworthy [12,13]. A model that scores well on a benchmark but occasionally generates implausible values is not ready for clinical deployment. Integrating QC principles into ML-based LDL-C prediction is, in our view, not optional—it's what responsible real-world implementation looks like. A QC-aware post-prediction layer can flag and moderate analytically extreme outputs while leaving the core model's </w:t>
      </w:r>
      <w:proofErr w:type="spellStart"/>
      <w:r>
        <w:t>behavior</w:t>
      </w:r>
      <w:proofErr w:type="spellEnd"/>
      <w:r>
        <w:t xml:space="preserve"> intact, and this aligns squarely with what ISO 15189 requires of accredited labs [14].</w:t>
      </w:r>
    </w:p>
    <w:p w:rsidR="00161BBE" w:rsidRDefault="00161BBE" w:rsidP="00161BBE">
      <w:pPr>
        <w:spacing w:after="180" w:line="360" w:lineRule="auto"/>
      </w:pPr>
      <w:r>
        <w:t>This study was designed with all of that in mind. We developed and validated a QC-aware ML framework for LDL-C estimation in the Indian population, comparing four regression algorithms—</w:t>
      </w:r>
      <w:proofErr w:type="spellStart"/>
      <w:r>
        <w:t>CatBoost</w:t>
      </w:r>
      <w:proofErr w:type="spellEnd"/>
      <w:r>
        <w:t xml:space="preserve"> [17], </w:t>
      </w:r>
      <w:proofErr w:type="spellStart"/>
      <w:r>
        <w:t>XGBoost</w:t>
      </w:r>
      <w:proofErr w:type="spellEnd"/>
      <w:r>
        <w:t xml:space="preserve"> [16], Random Forest [15], and Support Vector Regression [18]—against the established formulas, with a particular focus on what happens at elevated triglyceride levels and across different patient demographics.</w:t>
      </w:r>
    </w:p>
    <w:p w:rsidR="00161BBE" w:rsidRDefault="00161BBE" w:rsidP="00161BBE">
      <w:pPr>
        <w:pStyle w:val="Heading1"/>
      </w:pPr>
      <w:r>
        <w:t>2. Materials and Methods</w:t>
      </w:r>
    </w:p>
    <w:p w:rsidR="00161BBE" w:rsidRDefault="00161BBE" w:rsidP="00161BBE">
      <w:pPr>
        <w:pStyle w:val="Heading2"/>
      </w:pPr>
      <w:r>
        <w:t>2.1 Study Design, Data Source, and Dataset Partitioning</w:t>
      </w:r>
    </w:p>
    <w:p w:rsidR="00161BBE" w:rsidRDefault="00161BBE" w:rsidP="00161BBE">
      <w:pPr>
        <w:spacing w:after="180" w:line="360" w:lineRule="auto"/>
      </w:pPr>
      <w:r>
        <w:t xml:space="preserve">This was a retrospective observational analysis of lipid panel data generated during routine care at a tertiary clinical laboratory, comprising 15,954 lipid profiles in total. All measurements were performed as part of standard patient workup. Data were extracted from the laboratory information system in fully anonymized form before any analysis began, and because this involved secondary use of de-identified routine data, the study was considered minimal risk with no requirement for formal informed consent. Records with missing values for TC, TG, HDL-C, </w:t>
      </w:r>
      <w:r>
        <w:lastRenderedPageBreak/>
        <w:t>or directly measured LDL-C, or with biologically implausible lipid values, were excluded prior to analysis.</w:t>
      </w:r>
    </w:p>
    <w:p w:rsidR="00161BBE" w:rsidRDefault="00161BBE" w:rsidP="00161BBE">
      <w:pPr>
        <w:spacing w:after="180" w:line="360" w:lineRule="auto"/>
      </w:pPr>
      <w:r>
        <w:t>To reflect realistic deployment conditions and avoid any data leakage between training and evaluation, the dataset was divided chronologically into two non-overlapping groups. The development cohort comprised 12,763 samples collected from January through September 2024 and was used for all model training and initial performance assessment. The validation cohort comprised 3,191 samples from October through December 2024 and was kept entirely separate until training was complete, serving as a test of how the framework would perform under real laboratory conditions over time.</w:t>
      </w:r>
    </w:p>
    <w:p w:rsidR="00161BBE" w:rsidRDefault="00161BBE" w:rsidP="00161BBE">
      <w:pPr>
        <w:pStyle w:val="Heading2"/>
      </w:pPr>
      <w:r>
        <w:t>2.2 Laboratory Measurements and Reference Standard</w:t>
      </w:r>
    </w:p>
    <w:p w:rsidR="00161BBE" w:rsidRDefault="00161BBE" w:rsidP="00161BBE">
      <w:pPr>
        <w:spacing w:after="180" w:line="360" w:lineRule="auto"/>
      </w:pPr>
      <w:r>
        <w:t xml:space="preserve">All lipid parameters—TC, TG, HDL-C, and LDL-C—were measured on Beckman Coulter AU5800 automated </w:t>
      </w:r>
      <w:proofErr w:type="spellStart"/>
      <w:r>
        <w:t>analyzers</w:t>
      </w:r>
      <w:proofErr w:type="spellEnd"/>
      <w:r>
        <w:t xml:space="preserve"> following manufacturer specifications and internal QA protocols. Directly measured LDL-C served as the reference standard for all comparisons. LDL-C was also estimated using three established formulas:</w:t>
      </w:r>
    </w:p>
    <w:p w:rsidR="00161BBE" w:rsidRDefault="00161BBE" w:rsidP="00161BBE">
      <w:pPr>
        <w:spacing w:after="180" w:line="360" w:lineRule="auto"/>
      </w:pPr>
      <w:r>
        <w:rPr>
          <w:b/>
          <w:bCs/>
        </w:rPr>
        <w:t xml:space="preserve">1. </w:t>
      </w:r>
      <w:proofErr w:type="spellStart"/>
      <w:r>
        <w:rPr>
          <w:b/>
          <w:bCs/>
        </w:rPr>
        <w:t>Friedewald</w:t>
      </w:r>
      <w:proofErr w:type="spellEnd"/>
      <w:r>
        <w:rPr>
          <w:b/>
          <w:bCs/>
        </w:rPr>
        <w:t xml:space="preserve"> formula [2]: </w:t>
      </w:r>
      <w:r>
        <w:t>LDL-C = TC − HDL-C − (TG/5)</w:t>
      </w:r>
    </w:p>
    <w:p w:rsidR="00161BBE" w:rsidRDefault="00161BBE" w:rsidP="00161BBE">
      <w:pPr>
        <w:spacing w:after="180" w:line="360" w:lineRule="auto"/>
      </w:pPr>
      <w:r>
        <w:rPr>
          <w:b/>
          <w:bCs/>
        </w:rPr>
        <w:t xml:space="preserve">2. Martin–Hopkins method [3,4]: </w:t>
      </w:r>
      <w:r>
        <w:t>LDL-C = TC − HDL-C − TG/ζ, where ζ is an adjustable TG divisor</w:t>
      </w:r>
    </w:p>
    <w:p w:rsidR="00161BBE" w:rsidRDefault="00161BBE" w:rsidP="00161BBE">
      <w:pPr>
        <w:spacing w:after="180" w:line="360" w:lineRule="auto"/>
      </w:pPr>
      <w:r>
        <w:rPr>
          <w:b/>
          <w:bCs/>
        </w:rPr>
        <w:t xml:space="preserve">3. Sampson–NIH equation [5]: </w:t>
      </w:r>
      <w:r>
        <w:t>LDL-C = 0.948TC − 0.971HDL-C − (8.56TG + 2140TG×(TC−HDL-C) − 16100TG²) − 9.44</w:t>
      </w:r>
    </w:p>
    <w:p w:rsidR="00161BBE" w:rsidRDefault="00161BBE" w:rsidP="00161BBE">
      <w:pPr>
        <w:spacing w:after="180" w:line="360" w:lineRule="auto"/>
      </w:pPr>
      <w:r>
        <w:t>All formulas were implemented exactly as originally described, without modification.</w:t>
      </w:r>
    </w:p>
    <w:p w:rsidR="00161BBE" w:rsidRDefault="00161BBE" w:rsidP="00161BBE">
      <w:pPr>
        <w:pStyle w:val="Heading2"/>
      </w:pPr>
      <w:r>
        <w:t>2.3 Feature Selection Strategy</w:t>
      </w:r>
    </w:p>
    <w:p w:rsidR="00161BBE" w:rsidRDefault="00161BBE" w:rsidP="00161BBE">
      <w:pPr>
        <w:spacing w:after="180" w:line="360" w:lineRule="auto"/>
      </w:pPr>
      <w:r>
        <w:t>Models were trained on the three biochemical values in any standard lipid panel: total cholesterol, triglycerides, and HDL-cholesterol. Age and gender were deliberately excluded—LDL-C is reported based on lipid values alone in routine practice, and including demographic variables risks encoding population-specific biases that limit portability. Demographic performance was instead assessed through post hoc subgroup analyses.</w:t>
      </w:r>
    </w:p>
    <w:p w:rsidR="00161BBE" w:rsidRDefault="00161BBE" w:rsidP="00161BBE">
      <w:pPr>
        <w:pStyle w:val="Heading2"/>
      </w:pPr>
      <w:r>
        <w:t>2.4 Machine Learning Models</w:t>
      </w:r>
    </w:p>
    <w:p w:rsidR="00161BBE" w:rsidRDefault="00161BBE" w:rsidP="00161BBE">
      <w:pPr>
        <w:spacing w:after="180" w:line="360" w:lineRule="auto"/>
      </w:pPr>
      <w:r>
        <w:lastRenderedPageBreak/>
        <w:t xml:space="preserve">Four supervised regression algorithms were included in this evaluation. </w:t>
      </w:r>
      <w:proofErr w:type="spellStart"/>
      <w:r>
        <w:t>CatBoost</w:t>
      </w:r>
      <w:proofErr w:type="spellEnd"/>
      <w:r>
        <w:t xml:space="preserve"> </w:t>
      </w:r>
      <w:proofErr w:type="spellStart"/>
      <w:r>
        <w:t>Regressor</w:t>
      </w:r>
      <w:proofErr w:type="spellEnd"/>
      <w:r>
        <w:t xml:space="preserve"> [17] was selected for its ability to minimize prediction bias through ordered boosting and symmetric tree structures; originally developed to handle categorical features, its gradient boosting foundation translates well to structured biomedical data. </w:t>
      </w:r>
      <w:proofErr w:type="spellStart"/>
      <w:r>
        <w:t>XGBoost</w:t>
      </w:r>
      <w:proofErr w:type="spellEnd"/>
      <w:r>
        <w:t xml:space="preserve"> </w:t>
      </w:r>
      <w:proofErr w:type="spellStart"/>
      <w:r>
        <w:t>Regressor</w:t>
      </w:r>
      <w:proofErr w:type="spellEnd"/>
      <w:r>
        <w:t xml:space="preserve"> [16] applies regularized gradient boosting with shrinkage and subsampling strategies that help the model generalize beyond its training examples. Random Forest </w:t>
      </w:r>
      <w:proofErr w:type="spellStart"/>
      <w:r>
        <w:t>Regressor</w:t>
      </w:r>
      <w:proofErr w:type="spellEnd"/>
      <w:r>
        <w:t xml:space="preserve"> [15] is a classical ensemble approach that builds many independent decision trees and averages their outputs, reducing variance without requiring complex tuning. Support Vector Regression (SVR) [18] with a radial basis function kernel was included as a margin-based approach capable of capturing nonlinear relationships in a different way from the tree-based ensemble methods.</w:t>
      </w:r>
    </w:p>
    <w:p w:rsidR="00161BBE" w:rsidRDefault="00161BBE" w:rsidP="00161BBE">
      <w:pPr>
        <w:pStyle w:val="Heading2"/>
      </w:pPr>
      <w:r>
        <w:t>2.5 Model Training and Validation Strategy</w:t>
      </w:r>
    </w:p>
    <w:p w:rsidR="00161BBE" w:rsidRDefault="00161BBE" w:rsidP="00161BBE">
      <w:pPr>
        <w:spacing w:after="180" w:line="360" w:lineRule="auto"/>
      </w:pPr>
      <w:r>
        <w:t xml:space="preserve">All model training was performed exclusively on the development dataset, with </w:t>
      </w:r>
      <w:proofErr w:type="spellStart"/>
      <w:r>
        <w:t>hyperparameters</w:t>
      </w:r>
      <w:proofErr w:type="spellEnd"/>
      <w:r>
        <w:t xml:space="preserve"> selected through cross-validation within this set, balancing accuracy and stability in equal measure. Gradient boosting models were configured with shallower trees and conservative learning rates to avoid overfitting on a dataset that carries the inherent noise of biochemical measurements. Random Forest parameters were set to give the model enough flexibility to capture relevant patterns while maintaining ensemble stability. SVR was trained with moderate regularization to account for the same analytical variability. The validation dataset was not accessed at any point during training or tuning.</w:t>
      </w:r>
    </w:p>
    <w:p w:rsidR="00161BBE" w:rsidRDefault="00161BBE" w:rsidP="00161BBE">
      <w:pPr>
        <w:pStyle w:val="Heading2"/>
      </w:pPr>
      <w:r>
        <w:t>2.6 Quality Control (QC)–Aware Post-Prediction Module</w:t>
      </w:r>
    </w:p>
    <w:p w:rsidR="00161BBE" w:rsidRDefault="00161BBE" w:rsidP="00161BBE">
      <w:pPr>
        <w:spacing w:after="180" w:line="360" w:lineRule="auto"/>
      </w:pPr>
      <w:r>
        <w:t>After generating a predicted LDL-C value, the QC module compares it against reference thresholds derived from the distribution of directly measured LDL-C in the development dataset, following the logic of Westgard multi-rule quality control [12,13]. Predictions exceeding ±3 standard deviations from the reference mean are flagged as analytically implausible and capped at ±2 standard deviations rather than discarded. This module operates strictly after prediction and has no influence on model training, keeping the two steps methodologically independent.</w:t>
      </w:r>
    </w:p>
    <w:p w:rsidR="00161BBE" w:rsidRDefault="00161BBE" w:rsidP="00161BBE">
      <w:pPr>
        <w:pStyle w:val="Heading2"/>
      </w:pPr>
      <w:r>
        <w:t>2.7 Statistical Analysis</w:t>
      </w:r>
    </w:p>
    <w:p w:rsidR="00161BBE" w:rsidRDefault="00161BBE" w:rsidP="00161BBE">
      <w:pPr>
        <w:spacing w:after="180" w:line="360" w:lineRule="auto"/>
      </w:pPr>
      <w:r>
        <w:t xml:space="preserve">Performance was assessed using R², MSE, and Pearson correlation coefficient, with agreement visualized through scatter plots, residual analyses, and Bland–Altman plots. Subgroup analyses </w:t>
      </w:r>
      <w:r>
        <w:lastRenderedPageBreak/>
        <w:t>were conducted across predefined TG strata and demographic categories using Python scientific computing libraries.</w:t>
      </w:r>
    </w:p>
    <w:p w:rsidR="00161BBE" w:rsidRDefault="00161BBE" w:rsidP="00161BBE">
      <w:pPr>
        <w:pStyle w:val="Heading2"/>
      </w:pPr>
      <w:r>
        <w:t>2.8 Ethical Considerations</w:t>
      </w:r>
    </w:p>
    <w:p w:rsidR="00161BBE" w:rsidRDefault="00161BBE" w:rsidP="00161BBE">
      <w:pPr>
        <w:spacing w:after="180" w:line="360" w:lineRule="auto"/>
      </w:pPr>
      <w:r>
        <w:t>The study protocol was reviewed by the Institutional Ethics Committee and granted exemption from formal approval given its minimal-risk nature (IEC Reference No.: AIG/IEC-Post BH&amp;R 64/11.2024-02). The requirement for informed consent was waived.</w:t>
      </w:r>
    </w:p>
    <w:p w:rsidR="004105B6" w:rsidRDefault="004105B6">
      <w:pPr>
        <w:pStyle w:val="Heading1"/>
      </w:pPr>
    </w:p>
    <w:p w:rsidR="004105B6" w:rsidRDefault="00161BBE">
      <w:pPr>
        <w:pStyle w:val="Heading2"/>
      </w:pPr>
      <w:r>
        <w:t>3.1 Dataset Overview and Model Training Behaviour</w:t>
      </w:r>
    </w:p>
    <w:p w:rsidR="004105B6" w:rsidRDefault="00161BBE">
      <w:pPr>
        <w:spacing w:after="180" w:line="360" w:lineRule="auto"/>
      </w:pPr>
      <w:r>
        <w:t>The dataset was split into development and validation cohorts as described (Figure 1). Learning curve analysis showed steady improvement in model generalization as training data grew (Figure 3). The ensemb</w:t>
      </w:r>
      <w:r>
        <w:t xml:space="preserve">le-based models converged without any widening between training and validation performance—which is exactly what you want to see and argues against meaningful overfitting. Random Forest showed the most </w:t>
      </w:r>
      <w:proofErr w:type="spellStart"/>
      <w:r>
        <w:t>favorable</w:t>
      </w:r>
      <w:proofErr w:type="spellEnd"/>
      <w:r>
        <w:t xml:space="preserve"> bias–variance balance, with a training R² of</w:t>
      </w:r>
      <w:r>
        <w:t xml:space="preserve"> 0.954 and a validation R² of 0.818, and a comparatively low MSE of 75.27 mg²/dL². </w:t>
      </w:r>
      <w:proofErr w:type="spellStart"/>
      <w:r>
        <w:t>XGBoost</w:t>
      </w:r>
      <w:proofErr w:type="spellEnd"/>
      <w:r>
        <w:t xml:space="preserve"> performed strongly as well (train R² 0.912; validation R² 0.794), and </w:t>
      </w:r>
      <w:proofErr w:type="spellStart"/>
      <w:r>
        <w:t>CatBoost</w:t>
      </w:r>
      <w:proofErr w:type="spellEnd"/>
      <w:r>
        <w:t xml:space="preserve"> demonstrated solid generalization (train R² 0.872; validation R² 0.822). SVR was the l</w:t>
      </w:r>
      <w:r>
        <w:t>east consistent of the four, particularly at higher LDL-C values (Figure 3).</w:t>
      </w:r>
    </w:p>
    <w:p w:rsidR="004105B6" w:rsidRDefault="00161BBE">
      <w:pPr>
        <w:pStyle w:val="Heading2"/>
      </w:pPr>
      <w:r>
        <w:t>3.2 Internal Validation: Direct vs. Predicted LDL-C</w:t>
      </w:r>
    </w:p>
    <w:p w:rsidR="004105B6" w:rsidRDefault="00161BBE">
      <w:pPr>
        <w:spacing w:after="180" w:line="360" w:lineRule="auto"/>
      </w:pPr>
      <w:r>
        <w:t>Scatter plots are shown in Figure 4. Random Forest produced the strongest internal agreement (R² = 0.973; PCC = 0.987; MSE = 40</w:t>
      </w:r>
      <w:r>
        <w:t xml:space="preserve">.34), followed by </w:t>
      </w:r>
      <w:proofErr w:type="spellStart"/>
      <w:r>
        <w:t>XGBoost</w:t>
      </w:r>
      <w:proofErr w:type="spellEnd"/>
      <w:r>
        <w:t xml:space="preserve"> (R² = 0.900; PCC = 0.949; MSE = 153.89) and </w:t>
      </w:r>
      <w:proofErr w:type="spellStart"/>
      <w:r>
        <w:t>CatBoost</w:t>
      </w:r>
      <w:proofErr w:type="spellEnd"/>
      <w:r>
        <w:t xml:space="preserve"> (R² = 0.868; PCC = 0.932; MSE = 202.12). SVR trailed the ensemble methods (R² = 0.814; PCC = 0.904). Residual analysis (Figure 5) confirmed symmetric, near-zero error distributi</w:t>
      </w:r>
      <w:r>
        <w:t>on for ensemble models with minimal systematic bias; SVR residuals spread progressively at higher LDL-C values.</w:t>
      </w:r>
    </w:p>
    <w:p w:rsidR="004105B6" w:rsidRDefault="00161BBE">
      <w:pPr>
        <w:pStyle w:val="Heading2"/>
      </w:pPr>
      <w:r>
        <w:t>3.3 Temporal Validation Cohort</w:t>
      </w:r>
    </w:p>
    <w:p w:rsidR="004105B6" w:rsidRDefault="00161BBE">
      <w:pPr>
        <w:spacing w:after="180" w:line="360" w:lineRule="auto"/>
      </w:pPr>
      <w:r>
        <w:t>On the temporally distinct validation dataset (Figure 6), performance rankings remained consistent. Random Forest</w:t>
      </w:r>
      <w:r>
        <w:t xml:space="preserve"> held its ground as the top performer (R² = 0.976; PCC = 0.989; MSE = 36.27), affirming that its accuracy was not an </w:t>
      </w:r>
      <w:proofErr w:type="spellStart"/>
      <w:r>
        <w:t>artifact</w:t>
      </w:r>
      <w:proofErr w:type="spellEnd"/>
      <w:r>
        <w:t xml:space="preserve"> of the training period. </w:t>
      </w:r>
      <w:proofErr w:type="spellStart"/>
      <w:r>
        <w:t>XGBoost</w:t>
      </w:r>
      <w:proofErr w:type="spellEnd"/>
      <w:r>
        <w:t xml:space="preserve"> followed </w:t>
      </w:r>
      <w:r>
        <w:lastRenderedPageBreak/>
        <w:t xml:space="preserve">closely (R² = 0.954), with </w:t>
      </w:r>
      <w:proofErr w:type="spellStart"/>
      <w:r>
        <w:t>CatBoost</w:t>
      </w:r>
      <w:proofErr w:type="spellEnd"/>
      <w:r>
        <w:t xml:space="preserve"> not far behind (R² = 0.893). SVR again showed relativ</w:t>
      </w:r>
      <w:r>
        <w:t>ely lower performance (R² = 0.858). The fact that all models performed comparably—or better—on the validation set as on the development set suggests none of them are tuned too tightly to any particular slice of time in the training data.</w:t>
      </w:r>
    </w:p>
    <w:p w:rsidR="004105B6" w:rsidRDefault="00161BBE">
      <w:pPr>
        <w:pStyle w:val="Heading2"/>
      </w:pPr>
      <w:r>
        <w:t>3.4 Residual Patterns Across Triglyceride Levels</w:t>
      </w:r>
    </w:p>
    <w:p w:rsidR="004105B6" w:rsidRDefault="00161BBE">
      <w:pPr>
        <w:spacing w:after="180" w:line="360" w:lineRule="auto"/>
      </w:pPr>
      <w:r>
        <w:t>TG-stratified residual analysis is shown in Figure 8. Formula-based methods deteriorated consistently as TG increased. At TG ≥400 mg/</w:t>
      </w:r>
      <w:proofErr w:type="spellStart"/>
      <w:r>
        <w:t>dL</w:t>
      </w:r>
      <w:proofErr w:type="spellEnd"/>
      <w:r>
        <w:t xml:space="preserve">, </w:t>
      </w:r>
      <w:proofErr w:type="spellStart"/>
      <w:r>
        <w:t>Friedewald</w:t>
      </w:r>
      <w:proofErr w:type="spellEnd"/>
      <w:r>
        <w:t xml:space="preserve"> and Martin both produced negative R² values (Figure 9)—mean</w:t>
      </w:r>
      <w:r>
        <w:t xml:space="preserve">ing they performed worse than simply predicting </w:t>
      </w:r>
      <w:bookmarkStart w:id="0" w:name="_GoBack"/>
      <w:r>
        <w:t xml:space="preserve">the dataset mean for every patient. ML models behaved very differently: Random Forest maintained stable performance across all TG strata, while </w:t>
      </w:r>
      <w:proofErr w:type="spellStart"/>
      <w:r>
        <w:t>XGBoost</w:t>
      </w:r>
      <w:proofErr w:type="spellEnd"/>
      <w:r>
        <w:t xml:space="preserve"> and </w:t>
      </w:r>
      <w:proofErr w:type="spellStart"/>
      <w:r>
        <w:t>CatBoost</w:t>
      </w:r>
      <w:proofErr w:type="spellEnd"/>
      <w:r>
        <w:t xml:space="preserve"> showed only mild attenuation at the most ex</w:t>
      </w:r>
      <w:r>
        <w:t xml:space="preserve">treme concentrations—consistent with their freedom from fixed </w:t>
      </w:r>
      <w:proofErr w:type="gramStart"/>
      <w:r>
        <w:t>TG:VLDL</w:t>
      </w:r>
      <w:proofErr w:type="gramEnd"/>
      <w:r>
        <w:t xml:space="preserve"> assumptions.</w:t>
      </w:r>
    </w:p>
    <w:p w:rsidR="004105B6" w:rsidRDefault="00161BBE">
      <w:pPr>
        <w:pStyle w:val="Heading2"/>
      </w:pPr>
      <w:r>
        <w:t>3.5 Effect of QC-Aware Module</w:t>
      </w:r>
    </w:p>
    <w:p w:rsidR="004105B6" w:rsidRDefault="00161BBE">
      <w:pPr>
        <w:spacing w:after="180" w:line="360" w:lineRule="auto"/>
      </w:pPr>
      <w:r>
        <w:t>Figure S1 shows residual distributions before and after QC application. The module reduced extreme deviations without disturbing the central cl</w:t>
      </w:r>
      <w:r>
        <w:t>uster of predictions. Overlay analysis (Figures 7 and S2) confirms outlier compression without altering overall distribution symmetry. Bland–Altman plots (Figure S3) showed minimal mean bias and narrower limits of agreement after QC integration. Impact was</w:t>
      </w:r>
      <w:r>
        <w:t xml:space="preserve"> greatest in high-TG samples—precisely where model uncertainty and analytical variability are highest.</w:t>
      </w:r>
    </w:p>
    <w:p w:rsidR="004105B6" w:rsidRDefault="00161BBE">
      <w:pPr>
        <w:pStyle w:val="Heading2"/>
      </w:pPr>
      <w:r>
        <w:t>3.6 Multi-Model Feature Importance</w:t>
      </w:r>
    </w:p>
    <w:p w:rsidR="004105B6" w:rsidRDefault="00161BBE">
      <w:pPr>
        <w:spacing w:after="180" w:line="360" w:lineRule="auto"/>
      </w:pPr>
      <w:r>
        <w:t xml:space="preserve">Feature importance analysis, pooled across all four models, showed that total cholesterol accounted for approximately </w:t>
      </w:r>
      <w:r>
        <w:t>80% of predictive weight, with triglycerides and HDL-C each contributing smaller but meaningful proportions (Figure 2). This distribution reflects what we know about LDL-C biochemistry—it is a direct derivative of total cholesterol fractions—and it gives u</w:t>
      </w:r>
      <w:r>
        <w:t>s some confidence that the models are capturing real physiological signal rather than spurious patterns in the data.</w:t>
      </w:r>
    </w:p>
    <w:p w:rsidR="004105B6" w:rsidRDefault="00161BBE">
      <w:pPr>
        <w:pStyle w:val="Heading2"/>
      </w:pPr>
      <w:r>
        <w:t>3.7 Age and Gender Subgroup Analysis</w:t>
      </w:r>
    </w:p>
    <w:p w:rsidR="004105B6" w:rsidRDefault="00161BBE">
      <w:pPr>
        <w:spacing w:after="180" w:line="360" w:lineRule="auto"/>
      </w:pPr>
      <w:r>
        <w:t xml:space="preserve">Performance was stable across all demographic subgroups (Supplementary Tables; Figure R² by Age Group </w:t>
      </w:r>
      <w:r>
        <w:t xml:space="preserve">and Gender). Random Forest achieved R² values of 0.968–0.978 across age groups </w:t>
      </w:r>
      <w:r>
        <w:lastRenderedPageBreak/>
        <w:t>under 40, 40–60, and over 60, with similar consistency across genders. Excluding age and gender from model inputs did not compromise predictive accuracy, supporting the view tha</w:t>
      </w:r>
      <w:r>
        <w:t>t these models are both fair and portable across patient populations.</w:t>
      </w:r>
    </w:p>
    <w:p w:rsidR="004105B6" w:rsidRDefault="00161BBE">
      <w:pPr>
        <w:pStyle w:val="Heading1"/>
      </w:pPr>
      <w:r>
        <w:t>4. Discussion</w:t>
      </w:r>
    </w:p>
    <w:p w:rsidR="004105B6" w:rsidRDefault="00161BBE">
      <w:pPr>
        <w:spacing w:after="180" w:line="360" w:lineRule="auto"/>
      </w:pPr>
      <w:r>
        <w:t>This retrospective study set out to do two things: build a QC-aware machine learning framework for LDL-C estimation, and test it honestly against the calculation methods th</w:t>
      </w:r>
      <w:r>
        <w:t xml:space="preserve">at clinical labs actually use. On both fronts, the results are encouraging. ML models consistently outperformed traditional formulas across the development and validation datasets (Figures 4 and 6). That performance advantage was most pronounced precisely </w:t>
      </w:r>
      <w:r>
        <w:t xml:space="preserve">where it matters most clinically—in </w:t>
      </w:r>
      <w:proofErr w:type="spellStart"/>
      <w:r>
        <w:t>hypertriglyceridemic</w:t>
      </w:r>
      <w:proofErr w:type="spellEnd"/>
      <w:r>
        <w:t xml:space="preserve"> samples, where formula-based methods showed clear analytical deterioration (Figures 8 and 9). And the QC module did what it was designed to do: it moderated extreme predictions without compromising t</w:t>
      </w:r>
      <w:r>
        <w:t>he overall accuracy of the framework (Figures S1–S3). Taken together, these findings suggest that ML-based LDL-C estimation, properly embedded within a laboratory QC framework, is a realistic and analytically sound alternative to conventional formula-based</w:t>
      </w:r>
      <w:r>
        <w:t xml:space="preserve"> methods.</w:t>
      </w:r>
    </w:p>
    <w:p w:rsidR="004105B6" w:rsidRDefault="00161BBE">
      <w:pPr>
        <w:pStyle w:val="Heading2"/>
      </w:pPr>
      <w:r>
        <w:t>4.1 Reconsidering the Limitations of Formula-Based Estimation</w:t>
      </w:r>
    </w:p>
    <w:p w:rsidR="004105B6" w:rsidRDefault="00161BBE">
      <w:pPr>
        <w:spacing w:after="180" w:line="360" w:lineRule="auto"/>
      </w:pPr>
      <w:r>
        <w:t xml:space="preserve">The </w:t>
      </w:r>
      <w:proofErr w:type="spellStart"/>
      <w:r>
        <w:t>Friedewald</w:t>
      </w:r>
      <w:proofErr w:type="spellEnd"/>
      <w:r>
        <w:t xml:space="preserve"> equation has delivered useful LDL-C estimates for over fifty years, and its simplicity is genuinely hard to argue with [2]. The issue isn't the simplicity—it's the assum</w:t>
      </w:r>
      <w:r>
        <w:t xml:space="preserve">ption embedded in it. Fixing the </w:t>
      </w:r>
      <w:proofErr w:type="gramStart"/>
      <w:r>
        <w:t>TG:VLDL</w:t>
      </w:r>
      <w:proofErr w:type="gramEnd"/>
      <w:r>
        <w:t>-C ratio works reasonably under normal metabolic conditions, but in patients with diabetes, metabolic syndrome, obesity, or frank hypertriglyceridemia, that ratio shifts and estimates become systematically unreliable</w:t>
      </w:r>
      <w:r>
        <w:t xml:space="preserve"> [3,6]. The Martin–Hopkins and Sampson–NIH methods genuinely help in the moderate TG range, but our analysis shows both still break down above 400 mg/</w:t>
      </w:r>
      <w:proofErr w:type="spellStart"/>
      <w:r>
        <w:t>dL</w:t>
      </w:r>
      <w:proofErr w:type="spellEnd"/>
      <w:r>
        <w:t xml:space="preserve"> (Figure 9). Negative R² values at that level mean these formulas are less useful than a naive populatio</w:t>
      </w:r>
      <w:r>
        <w:t>n mean—a real clinical problem when the goal is individualizing risk. The widening residual scatter in Figure 8 illustrates the mechanism: as TG rises, ratio-based assumptions fail progressively and errors accumulate.</w:t>
      </w:r>
    </w:p>
    <w:p w:rsidR="004105B6" w:rsidRDefault="00161BBE">
      <w:pPr>
        <w:pStyle w:val="Heading2"/>
      </w:pPr>
      <w:r>
        <w:t>4.2 Why Machine Learning Models Demons</w:t>
      </w:r>
      <w:r>
        <w:t>trate Superior Stability</w:t>
      </w:r>
    </w:p>
    <w:p w:rsidR="004105B6" w:rsidRDefault="00161BBE">
      <w:pPr>
        <w:spacing w:after="180" w:line="360" w:lineRule="auto"/>
      </w:pPr>
      <w:r>
        <w:t xml:space="preserve">ML doesn't start from biochemical assumptions—it reads the data and learns what the data shows. This means the model isn't constrained by a fixed </w:t>
      </w:r>
      <w:proofErr w:type="gramStart"/>
      <w:r>
        <w:t>TG:VLDL</w:t>
      </w:r>
      <w:proofErr w:type="gramEnd"/>
      <w:r>
        <w:t xml:space="preserve"> relationship that breaks </w:t>
      </w:r>
      <w:r>
        <w:lastRenderedPageBreak/>
        <w:t>down in certain patients; instead, it captures nonli</w:t>
      </w:r>
      <w:r>
        <w:t xml:space="preserve">near interactions among TC, TG, and HDL-C wherever they exist in the actual data distribution. In internal validation (Figure 4), Random Forest and </w:t>
      </w:r>
      <w:proofErr w:type="spellStart"/>
      <w:r>
        <w:t>XGBoost</w:t>
      </w:r>
      <w:proofErr w:type="spellEnd"/>
      <w:r>
        <w:t xml:space="preserve"> both showed substantially better agreement with directly measured LDL-C than either the conventional</w:t>
      </w:r>
      <w:r>
        <w:t xml:space="preserve"> formulas or SVR. Random Forest achieved the highest internal R² (0.951) and lowest MSE (75.27), and those numbers held up—and even improved slightly—in the temporal validation dataset (Figure 6), where it maintained R² = 0.969. The learning curve analysis</w:t>
      </w:r>
      <w:r>
        <w:t xml:space="preserve"> (Figure 3) strengthens this picture: no widening gap between training and test performance across increasing dataset sizes, which is a reassuring signal that what we built generalizes rather than memorizes. Feature importance confirming TC at ~80% adds bi</w:t>
      </w:r>
      <w:r>
        <w:t>ological plausibility, confirming the model is tracking signal that has a real physiological basis.</w:t>
      </w:r>
    </w:p>
    <w:p w:rsidR="004105B6" w:rsidRDefault="00161BBE">
      <w:pPr>
        <w:pStyle w:val="Heading2"/>
      </w:pPr>
      <w:r>
        <w:t xml:space="preserve">4.3 Clinical Relevance in </w:t>
      </w:r>
      <w:proofErr w:type="spellStart"/>
      <w:r>
        <w:t>Hypertriglyceridemic</w:t>
      </w:r>
      <w:proofErr w:type="spellEnd"/>
      <w:r>
        <w:t xml:space="preserve"> States</w:t>
      </w:r>
    </w:p>
    <w:p w:rsidR="004105B6" w:rsidRDefault="00161BBE">
      <w:pPr>
        <w:spacing w:after="180" w:line="360" w:lineRule="auto"/>
      </w:pPr>
      <w:r>
        <w:t>High triglycerides represent one of the most analytically difficult scenarios for LDL-C estimation, an</w:t>
      </w:r>
      <w:r>
        <w:t>d not by coincidence—elevated TG is associated with shifts in VLDL composition and increases in chylomicron remnants that directly undermine ratio-based calculations. Current guidelines already acknowledge this, recommending caution or direct measurement w</w:t>
      </w:r>
      <w:r>
        <w:t>hen TG exceeds 400 mg/</w:t>
      </w:r>
      <w:proofErr w:type="spellStart"/>
      <w:r>
        <w:t>dL</w:t>
      </w:r>
      <w:proofErr w:type="spellEnd"/>
      <w:r>
        <w:t xml:space="preserve"> [8]. Our stratified analysis (Figure 9) shows that ML models maintain meaningful R² and MSE values even in the ≥400 mg/</w:t>
      </w:r>
      <w:proofErr w:type="spellStart"/>
      <w:r>
        <w:t>dL</w:t>
      </w:r>
      <w:proofErr w:type="spellEnd"/>
      <w:r>
        <w:t xml:space="preserve"> subgroup—a range where formula-based methods have already started deteriorating beyond 300 mg/</w:t>
      </w:r>
      <w:proofErr w:type="spellStart"/>
      <w:r>
        <w:t>dL</w:t>
      </w:r>
      <w:proofErr w:type="spellEnd"/>
      <w:r>
        <w:t>. The residua</w:t>
      </w:r>
      <w:r>
        <w:t>l dispersion patterns in Figure 8 tell the same story in a different way. For laboratories where the cost or logistics of direct LDL-C measurement make routine use impractical, ML-based estimation may provide a far more dependable computational alternative</w:t>
      </w:r>
      <w:r>
        <w:t xml:space="preserve"> than any of the established formulas.</w:t>
      </w:r>
    </w:p>
    <w:p w:rsidR="004105B6" w:rsidRDefault="00161BBE">
      <w:pPr>
        <w:pStyle w:val="Heading2"/>
      </w:pPr>
      <w:r>
        <w:t>4.4 Integration of QC: From Predictive Accuracy to Laboratory Governance</w:t>
      </w:r>
    </w:p>
    <w:p w:rsidR="004105B6" w:rsidRDefault="00161BBE">
      <w:pPr>
        <w:spacing w:after="180" w:line="360" w:lineRule="auto"/>
      </w:pPr>
      <w:r>
        <w:t>Most ML papers focus almost exclusively on prediction accuracy—R², MSE, correlation coefficients. What they rarely engage with is the operationa</w:t>
      </w:r>
      <w:r>
        <w:t>l reality of clinical laboratories, which must validate outputs through structured QC frameworks: Westgard multi-rule procedures [12,13], ISO 15189 accreditation standards [14], and delta checks. A model that produces analytically implausible values in edg</w:t>
      </w:r>
      <w:r>
        <w:t>e cases—values that would be flagged and rejected from a measurement platform—cannot be safely deployed.</w:t>
      </w:r>
    </w:p>
    <w:p w:rsidR="004105B6" w:rsidRDefault="00161BBE">
      <w:pPr>
        <w:spacing w:after="180" w:line="360" w:lineRule="auto"/>
      </w:pPr>
      <w:r>
        <w:t>Our QC module was designed to address this gap. It acts as a post-prediction validation step, flagging extreme outputs and moderating them within defen</w:t>
      </w:r>
      <w:r>
        <w:t xml:space="preserve">sible analytical bounds, mimicking </w:t>
      </w:r>
      <w:r>
        <w:lastRenderedPageBreak/>
        <w:t>the safeguards laboratory professionals routinely apply to instrument-derived results. Figures S1 and S2 show it achieves this without distorting central predictions, and Bland–Altman analysis (Figure S3) confirms tighten</w:t>
      </w:r>
      <w:r>
        <w:t>ing limits of agreement after QC integration. Impact was greatest in high-TG samples—exactly where prediction uncertainty is highest—and because the module operates entirely after prediction, it has no influence on model training.</w:t>
      </w:r>
    </w:p>
    <w:p w:rsidR="004105B6" w:rsidRDefault="00161BBE">
      <w:pPr>
        <w:pStyle w:val="Heading2"/>
      </w:pPr>
      <w:r>
        <w:t>4.5 Demographic Robustnes</w:t>
      </w:r>
      <w:r>
        <w:t>s and Fairness</w:t>
      </w:r>
    </w:p>
    <w:p w:rsidR="004105B6" w:rsidRDefault="00161BBE">
      <w:pPr>
        <w:spacing w:after="180" w:line="360" w:lineRule="auto"/>
      </w:pPr>
      <w:r>
        <w:t>Age and gender both influence lipid metabolism in ways that are well-documented, but LDL-C reporting in routine laboratory practice doesn't adjust for them—and we didn't either, at least not during training. The decision to exclude demographic variables fr</w:t>
      </w:r>
      <w:r>
        <w:t>om the model inputs was deliberate: it keeps the model analytically consistent with how labs actually work and avoids encoding population-specific patterns that might limit generalizability. What matters, then, is whether the model works equally well acros</w:t>
      </w:r>
      <w:r>
        <w:t xml:space="preserve">s different demographic groups—and the subgroup analysis shows that it does. Random Forest maintained R² above 0.96 across all three age categories and both genders, with </w:t>
      </w:r>
      <w:proofErr w:type="spellStart"/>
      <w:r>
        <w:t>XGBoost</w:t>
      </w:r>
      <w:proofErr w:type="spellEnd"/>
      <w:r>
        <w:t xml:space="preserve"> and </w:t>
      </w:r>
      <w:proofErr w:type="spellStart"/>
      <w:r>
        <w:t>CatBoost</w:t>
      </w:r>
      <w:proofErr w:type="spellEnd"/>
      <w:r>
        <w:t xml:space="preserve"> showing similar stability. The absence of meaningful performance</w:t>
      </w:r>
      <w:r>
        <w:t xml:space="preserve"> gaps across demographic strata is important both from a fairness standpoint and as evidence that these models should transfer well to diverse patient populations.</w:t>
      </w:r>
    </w:p>
    <w:p w:rsidR="004105B6" w:rsidRDefault="00161BBE">
      <w:pPr>
        <w:pStyle w:val="Heading2"/>
      </w:pPr>
      <w:r>
        <w:t>4.6 Practical Implications for Laboratory Implementation</w:t>
      </w:r>
    </w:p>
    <w:p w:rsidR="004105B6" w:rsidRDefault="00161BBE">
      <w:pPr>
        <w:spacing w:after="180" w:line="360" w:lineRule="auto"/>
      </w:pPr>
      <w:r>
        <w:t>The practical case for ML-based LDL</w:t>
      </w:r>
      <w:r>
        <w:t xml:space="preserve">-C estimation in laboratory settings rests on several converging advantages: meaningfully better reliability in </w:t>
      </w:r>
      <w:proofErr w:type="spellStart"/>
      <w:r>
        <w:t>hypertriglyceridemic</w:t>
      </w:r>
      <w:proofErr w:type="spellEnd"/>
      <w:r>
        <w:t xml:space="preserve"> samples (Figures 8 and 9); no dependence on fixed </w:t>
      </w:r>
      <w:proofErr w:type="gramStart"/>
      <w:r>
        <w:t>TG:VLDL</w:t>
      </w:r>
      <w:proofErr w:type="gramEnd"/>
      <w:r>
        <w:t xml:space="preserve"> ratio assumptions that break down in specific metabolic states [2</w:t>
      </w:r>
      <w:r>
        <w:t>–5]; the ability to adapt to the lipid distribution of local patient populations; and a design that fits naturally within existing QC workflows (Figures S1–S3). To be clear, this is not an argument for replacing direct LDL-C measurement in situations where</w:t>
      </w:r>
      <w:r>
        <w:t xml:space="preserve"> it's clinically indicated. It is an argument that, for the large majority of patients managed through routine lipid panels, ML-based estimation can offer substantially better computational accuracy than the formulas currently in use—particularly in the ki</w:t>
      </w:r>
      <w:r>
        <w:t>nds of high-TG, metabolically complex patients that are so common in the Indian population.</w:t>
      </w:r>
    </w:p>
    <w:p w:rsidR="004105B6" w:rsidRDefault="00161BBE">
      <w:pPr>
        <w:pStyle w:val="Heading1"/>
      </w:pPr>
      <w:r>
        <w:t>5. Conclusion</w:t>
      </w:r>
    </w:p>
    <w:p w:rsidR="004105B6" w:rsidRDefault="00161BBE">
      <w:pPr>
        <w:spacing w:after="180" w:line="360" w:lineRule="auto"/>
      </w:pPr>
      <w:r>
        <w:lastRenderedPageBreak/>
        <w:t>We developed and validated a machine learning framework for LDL-C estimation that incorporates a quality control–aware validation layer—an element tha</w:t>
      </w:r>
      <w:r>
        <w:t>t is often missing from ML studies in this field but is essential for real-world clinical deployment. Across both the development and temporally distinct validation datasets, every ML model we evaluated agreed more closely with directly measured LDL-C than</w:t>
      </w:r>
      <w:r>
        <w:t xml:space="preserve"> the </w:t>
      </w:r>
      <w:proofErr w:type="spellStart"/>
      <w:r>
        <w:t>Friedewald</w:t>
      </w:r>
      <w:proofErr w:type="spellEnd"/>
      <w:r>
        <w:t>, Martin–Hopkins, and Sampson–NIH formulas did. The advantage was most pronounced at triglycerides of 400 mg/</w:t>
      </w:r>
      <w:proofErr w:type="spellStart"/>
      <w:r>
        <w:t>dL</w:t>
      </w:r>
      <w:proofErr w:type="spellEnd"/>
      <w:r>
        <w:t xml:space="preserve"> or above, where the traditional equations showed clear signs of analytical failure. Among the algorithms tested, the ensemble met</w:t>
      </w:r>
      <w:r>
        <w:t xml:space="preserve">hods—Random Forest, </w:t>
      </w:r>
      <w:proofErr w:type="spellStart"/>
      <w:r>
        <w:t>XGBoost</w:t>
      </w:r>
      <w:proofErr w:type="spellEnd"/>
      <w:r>
        <w:t xml:space="preserve">, and </w:t>
      </w:r>
      <w:proofErr w:type="spellStart"/>
      <w:r>
        <w:t>CatBoost</w:t>
      </w:r>
      <w:proofErr w:type="spellEnd"/>
      <w:r>
        <w:t>—were the most stable and reproducible. Their ability to model nonlinear relationships across TC, TG, and HDL-C without rigid biochemical assumptions appears to be what insulates them from the TG-related deteriorati</w:t>
      </w:r>
      <w:r>
        <w:t>on that undermines formula-based estimation. The QC module adds a layer of analytical safety that brings the framework closer to how real clinical laboratories are expected to operate. Taken together, these findings make a reasonable case that a QC-aware m</w:t>
      </w:r>
      <w:r>
        <w:t>achine learning approach deserves serious consideration as an alternative to conventional calculation-based LDL-C estimation—especially where direct measurement isn't routinely available or where formula-based methods are known to be unreliable.</w:t>
      </w:r>
    </w:p>
    <w:bookmarkEnd w:id="0"/>
    <w:p w:rsidR="004105B6" w:rsidRDefault="00161BBE">
      <w:pPr>
        <w:pStyle w:val="Heading1"/>
      </w:pPr>
      <w:r>
        <w:t>6. Limitat</w:t>
      </w:r>
      <w:r>
        <w:t>ions</w:t>
      </w:r>
    </w:p>
    <w:p w:rsidR="004105B6" w:rsidRDefault="00161BBE">
      <w:pPr>
        <w:spacing w:after="180" w:line="360" w:lineRule="auto"/>
      </w:pPr>
      <w:r>
        <w:t>Several limitations should be kept in mind when interpreting these results. This was a retrospective, single-</w:t>
      </w:r>
      <w:proofErr w:type="spellStart"/>
      <w:r>
        <w:t>center</w:t>
      </w:r>
      <w:proofErr w:type="spellEnd"/>
      <w:r>
        <w:t xml:space="preserve"> study, and some degree of selection bias is inherent in that design. Data from a single institution may not transfer cleanly to other l</w:t>
      </w:r>
      <w:r>
        <w:t>abs, populations, or analytical platforms—patient demographics, lipid distributions, and instrument characteristics that shaped this dataset may differ meaningfully from those elsewhere. Temporal validation was performed internally, but external multi-</w:t>
      </w:r>
      <w:proofErr w:type="spellStart"/>
      <w:r>
        <w:t>cent</w:t>
      </w:r>
      <w:r>
        <w:t>er</w:t>
      </w:r>
      <w:proofErr w:type="spellEnd"/>
      <w:r>
        <w:t xml:space="preserve"> validation has not yet been done, and differences in instrumentation, calibration, and patient mix across sites could alter model performance. The evaluation was also limited to agreement with directly measured LDL-C; downstream clinical outcomes such a</w:t>
      </w:r>
      <w:r>
        <w:t xml:space="preserve">s cardiovascular events or changes in treatment decisions were not examined. Finally, while the QC module was designed to align with Westgard-based quality principles, it relied on statistical thresholds rather than </w:t>
      </w:r>
      <w:proofErr w:type="spellStart"/>
      <w:r>
        <w:t>analyzer</w:t>
      </w:r>
      <w:proofErr w:type="spellEnd"/>
      <w:r>
        <w:t xml:space="preserve">-specific rule sets. Adaptation </w:t>
      </w:r>
      <w:r>
        <w:t>to individual laboratory platforms would likely be necessary before this framework could be widely implemented.</w:t>
      </w:r>
    </w:p>
    <w:p w:rsidR="004105B6" w:rsidRDefault="00161BBE">
      <w:pPr>
        <w:pStyle w:val="Heading1"/>
      </w:pPr>
      <w:r>
        <w:lastRenderedPageBreak/>
        <w:t>7. Future Directions</w:t>
      </w:r>
    </w:p>
    <w:p w:rsidR="004105B6" w:rsidRDefault="00161BBE">
      <w:pPr>
        <w:spacing w:after="180" w:line="360" w:lineRule="auto"/>
      </w:pPr>
      <w:r>
        <w:t xml:space="preserve">The logical next step is external validation across multiple </w:t>
      </w:r>
      <w:proofErr w:type="spellStart"/>
      <w:r>
        <w:t>centers</w:t>
      </w:r>
      <w:proofErr w:type="spellEnd"/>
      <w:r>
        <w:t xml:space="preserve"> and analytical systems—this is the evidence needed to </w:t>
      </w:r>
      <w:r>
        <w:t>confirm whether the performance seen here holds up in genuinely different environments. Prospective integration into live laboratory information systems would also be valuable, since demonstrating retrospective accuracy is only part of the story; real-time</w:t>
      </w:r>
      <w:r>
        <w:t xml:space="preserve"> feasibility and clinician acceptance are equally important. The QC module has room to become more sophisticated—incorporating platform-specific control limits, delta checks, and longitudinal patient-level trends could sharpen its ability to catch analytic</w:t>
      </w:r>
      <w:r>
        <w:t xml:space="preserve">ally problematic predictions. And the most important question of all—whether better ML-predicted LDL-C values actually lead to better clinical decisions and better cardiovascular outcomes—can only be answered through prospective studies designed with that </w:t>
      </w:r>
      <w:r>
        <w:t>endpoint in mind.</w:t>
      </w:r>
    </w:p>
    <w:sectPr w:rsidR="004105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F13FA0"/>
    <w:multiLevelType w:val="hybridMultilevel"/>
    <w:tmpl w:val="186A05F2"/>
    <w:lvl w:ilvl="0" w:tplc="554CB520">
      <w:start w:val="1"/>
      <w:numFmt w:val="bullet"/>
      <w:lvlText w:val="●"/>
      <w:lvlJc w:val="left"/>
      <w:pPr>
        <w:ind w:left="720" w:hanging="360"/>
      </w:pPr>
    </w:lvl>
    <w:lvl w:ilvl="1" w:tplc="23B086EC">
      <w:start w:val="1"/>
      <w:numFmt w:val="bullet"/>
      <w:lvlText w:val="○"/>
      <w:lvlJc w:val="left"/>
      <w:pPr>
        <w:ind w:left="1440" w:hanging="360"/>
      </w:pPr>
    </w:lvl>
    <w:lvl w:ilvl="2" w:tplc="7A0EE062">
      <w:start w:val="1"/>
      <w:numFmt w:val="bullet"/>
      <w:lvlText w:val="■"/>
      <w:lvlJc w:val="left"/>
      <w:pPr>
        <w:ind w:left="2160" w:hanging="360"/>
      </w:pPr>
    </w:lvl>
    <w:lvl w:ilvl="3" w:tplc="B350BC44">
      <w:start w:val="1"/>
      <w:numFmt w:val="bullet"/>
      <w:lvlText w:val="●"/>
      <w:lvlJc w:val="left"/>
      <w:pPr>
        <w:ind w:left="2880" w:hanging="360"/>
      </w:pPr>
    </w:lvl>
    <w:lvl w:ilvl="4" w:tplc="1090ADE0">
      <w:start w:val="1"/>
      <w:numFmt w:val="bullet"/>
      <w:lvlText w:val="○"/>
      <w:lvlJc w:val="left"/>
      <w:pPr>
        <w:ind w:left="3600" w:hanging="360"/>
      </w:pPr>
    </w:lvl>
    <w:lvl w:ilvl="5" w:tplc="E4006184">
      <w:start w:val="1"/>
      <w:numFmt w:val="bullet"/>
      <w:lvlText w:val="■"/>
      <w:lvlJc w:val="left"/>
      <w:pPr>
        <w:ind w:left="4320" w:hanging="360"/>
      </w:pPr>
    </w:lvl>
    <w:lvl w:ilvl="6" w:tplc="874CF060">
      <w:start w:val="1"/>
      <w:numFmt w:val="bullet"/>
      <w:lvlText w:val="●"/>
      <w:lvlJc w:val="left"/>
      <w:pPr>
        <w:ind w:left="5040" w:hanging="360"/>
      </w:pPr>
    </w:lvl>
    <w:lvl w:ilvl="7" w:tplc="494678BE">
      <w:start w:val="1"/>
      <w:numFmt w:val="bullet"/>
      <w:lvlText w:val="●"/>
      <w:lvlJc w:val="left"/>
      <w:pPr>
        <w:ind w:left="5760" w:hanging="360"/>
      </w:pPr>
    </w:lvl>
    <w:lvl w:ilvl="8" w:tplc="B07E6A9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5B6"/>
    <w:rsid w:val="00161BBE"/>
    <w:rsid w:val="00410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661389-D5CF-4601-8BEF-34CEB9B5A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50"/>
      <w:outlineLvl w:val="0"/>
    </w:pPr>
    <w:rPr>
      <w:rFonts w:ascii="Arial" w:eastAsia="Arial" w:hAnsi="Arial" w:cs="Arial"/>
      <w:b/>
      <w:bCs/>
      <w:color w:val="000000"/>
      <w:sz w:val="28"/>
      <w:szCs w:val="28"/>
    </w:rPr>
  </w:style>
  <w:style w:type="paragraph" w:styleId="Heading2">
    <w:name w:val="heading 2"/>
    <w:qFormat/>
    <w:pPr>
      <w:spacing w:before="240" w:after="120"/>
      <w:outlineLvl w:val="1"/>
    </w:pPr>
    <w:rPr>
      <w:rFonts w:ascii="Arial" w:eastAsia="Arial" w:hAnsi="Arial" w:cs="Arial"/>
      <w:b/>
      <w:bCs/>
      <w:color w:val="000000"/>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4976</Words>
  <Characters>28365</Characters>
  <Application>Microsoft Office Word</Application>
  <DocSecurity>0</DocSecurity>
  <Lines>236</Lines>
  <Paragraphs>66</Paragraphs>
  <ScaleCrop>false</ScaleCrop>
  <Company/>
  <LinksUpToDate>false</LinksUpToDate>
  <CharactersWithSpaces>33275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Lab</cp:lastModifiedBy>
  <cp:revision>2</cp:revision>
  <dcterms:created xsi:type="dcterms:W3CDTF">2026-02-28T05:44:00Z</dcterms:created>
  <dcterms:modified xsi:type="dcterms:W3CDTF">2026-02-28T05:44:00Z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774b2639-60e8-4c55-9434-1c075e02c353</vt:lpwstr>
  </property>
</Properties>
</file>