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A0" w:rsidRDefault="00AD3481" w:rsidP="00CF2D41">
      <w:pPr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796E18">
        <w:rPr>
          <w:rFonts w:ascii="Times New Roman" w:hAnsi="Times New Roman" w:cs="Times New Roman"/>
          <w:b/>
          <w:sz w:val="20"/>
          <w:szCs w:val="20"/>
        </w:rPr>
        <w:t xml:space="preserve">Blockade of </w:t>
      </w:r>
      <w:r w:rsidR="005C4AA0" w:rsidRPr="00796E1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ACE-2: The Receptor for SARS-CoV-2</w:t>
      </w:r>
    </w:p>
    <w:p w:rsidR="009D363B" w:rsidRDefault="009D363B" w:rsidP="009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363B" w:rsidRPr="009D363B" w:rsidRDefault="009D363B" w:rsidP="009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796E18">
        <w:rPr>
          <w:rFonts w:ascii="Times New Roman" w:hAnsi="Times New Roman" w:cs="Times New Roman"/>
          <w:sz w:val="20"/>
          <w:szCs w:val="20"/>
        </w:rPr>
        <w:t>SARS-CoV-2 uses receptor ACE2 for the</w:t>
      </w:r>
      <w:r>
        <w:rPr>
          <w:rFonts w:ascii="Times New Roman" w:hAnsi="Times New Roman" w:cs="Times New Roman"/>
          <w:sz w:val="20"/>
          <w:szCs w:val="20"/>
        </w:rPr>
        <w:t xml:space="preserve"> cellular entrance</w:t>
      </w:r>
      <w:r w:rsidRPr="00796E18">
        <w:rPr>
          <w:rFonts w:ascii="Times New Roman" w:hAnsi="Times New Roman" w:cs="Times New Roman"/>
          <w:sz w:val="20"/>
          <w:szCs w:val="20"/>
        </w:rPr>
        <w:t xml:space="preserve">. Theoretically, blockade of </w:t>
      </w:r>
      <w:r w:rsidRPr="00796E18">
        <w:rPr>
          <w:rFonts w:ascii="Times New Roman" w:hAnsi="Times New Roman" w:cs="Times New Roman"/>
          <w:color w:val="0070C0"/>
          <w:sz w:val="20"/>
          <w:szCs w:val="20"/>
        </w:rPr>
        <w:t>ACE2</w:t>
      </w:r>
      <w:r w:rsidRPr="00796E18">
        <w:rPr>
          <w:rFonts w:ascii="Times New Roman" w:hAnsi="Times New Roman" w:cs="Times New Roman"/>
          <w:sz w:val="20"/>
          <w:szCs w:val="20"/>
        </w:rPr>
        <w:t xml:space="preserve"> can prevent the infection of SARS-CoV-2. Chen and Du thus performed the molecular docking study and they found that TCM-derived compounds, including as </w:t>
      </w:r>
      <w:proofErr w:type="spellStart"/>
      <w:r w:rsidRPr="00796E18">
        <w:rPr>
          <w:rFonts w:ascii="Times New Roman" w:hAnsi="Times New Roman" w:cs="Times New Roman"/>
          <w:color w:val="0070C0"/>
          <w:sz w:val="20"/>
          <w:szCs w:val="20"/>
        </w:rPr>
        <w:t>baicalin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 could interact with ACE2 [3]. Therefore, these compounds as well as herbs containing these ingredients may have the capacity to inhibit the infection of SARS-CoV-2.</w:t>
      </w:r>
    </w:p>
    <w:p w:rsidR="009D363B" w:rsidRPr="00796E18" w:rsidRDefault="009D363B" w:rsidP="009D363B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985F46" w:rsidRPr="00796E18" w:rsidRDefault="00985F46" w:rsidP="00985F4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6E1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37047" cy="1876508"/>
            <wp:effectExtent l="19050" t="0" r="0" b="0"/>
            <wp:docPr id="1" name="Picture 1" descr="anti-ACE-2 antibody antibody attenuated SARS-CoV-2 entry into target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i-ACE-2 antibody antibody attenuated SARS-CoV-2 entry into target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91" cy="18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46" w:rsidRPr="00796E18" w:rsidRDefault="00985F46" w:rsidP="00985F46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796E18">
        <w:rPr>
          <w:rStyle w:val="Strong"/>
          <w:rFonts w:ascii="Times New Roman" w:hAnsi="Times New Roman" w:cs="Times New Roman"/>
          <w:i/>
          <w:sz w:val="20"/>
          <w:szCs w:val="20"/>
        </w:rPr>
        <w:t>Figure 1.</w:t>
      </w:r>
      <w:r w:rsidRPr="00796E18">
        <w:rPr>
          <w:rFonts w:ascii="Times New Roman" w:hAnsi="Times New Roman" w:cs="Times New Roman"/>
          <w:i/>
          <w:sz w:val="20"/>
          <w:szCs w:val="20"/>
        </w:rPr>
        <w:t xml:space="preserve"> ACE-2 is the host cell receptor responsible for mediating infection by SARS-CoV-2, the novel </w:t>
      </w:r>
      <w:proofErr w:type="spellStart"/>
      <w:r w:rsidRPr="00796E18">
        <w:rPr>
          <w:rFonts w:ascii="Times New Roman" w:hAnsi="Times New Roman" w:cs="Times New Roman"/>
          <w:i/>
          <w:sz w:val="20"/>
          <w:szCs w:val="20"/>
        </w:rPr>
        <w:t>coronavirus</w:t>
      </w:r>
      <w:proofErr w:type="spellEnd"/>
      <w:r w:rsidRPr="00796E18">
        <w:rPr>
          <w:rFonts w:ascii="Times New Roman" w:hAnsi="Times New Roman" w:cs="Times New Roman"/>
          <w:i/>
          <w:sz w:val="20"/>
          <w:szCs w:val="20"/>
        </w:rPr>
        <w:t xml:space="preserve"> responsible for </w:t>
      </w:r>
      <w:proofErr w:type="spellStart"/>
      <w:r w:rsidRPr="00796E18">
        <w:rPr>
          <w:rFonts w:ascii="Times New Roman" w:hAnsi="Times New Roman" w:cs="Times New Roman"/>
          <w:i/>
          <w:sz w:val="20"/>
          <w:szCs w:val="20"/>
        </w:rPr>
        <w:t>coronavirus</w:t>
      </w:r>
      <w:proofErr w:type="spellEnd"/>
      <w:r w:rsidRPr="00796E18">
        <w:rPr>
          <w:rFonts w:ascii="Times New Roman" w:hAnsi="Times New Roman" w:cs="Times New Roman"/>
          <w:i/>
          <w:sz w:val="20"/>
          <w:szCs w:val="20"/>
        </w:rPr>
        <w:t xml:space="preserve"> disease 2019 (COVID-19). Treatment with anti-ACE-2 antibodies disrupts the interaction between virus and receptor</w:t>
      </w:r>
      <w:r w:rsidR="00341C75" w:rsidRPr="00796E18">
        <w:rPr>
          <w:rFonts w:ascii="Times New Roman" w:hAnsi="Times New Roman" w:cs="Times New Roman"/>
          <w:i/>
          <w:sz w:val="20"/>
          <w:szCs w:val="20"/>
        </w:rPr>
        <w:t>[2]</w:t>
      </w:r>
    </w:p>
    <w:p w:rsidR="00985F46" w:rsidRPr="00796E18" w:rsidRDefault="00985F46" w:rsidP="00CF2D4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CF2D41" w:rsidRPr="00796E18" w:rsidRDefault="00796E18" w:rsidP="009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A13A1" w:rsidRPr="00796E18" w:rsidRDefault="005D4C84" w:rsidP="005D4C8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96E1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Indian Trumpet Tree</w:t>
      </w:r>
      <w:r w:rsidRPr="00796E18">
        <w:rPr>
          <w:rFonts w:ascii="Times New Roman" w:hAnsi="Times New Roman" w:cs="Times New Roman"/>
          <w:b/>
          <w:sz w:val="20"/>
          <w:szCs w:val="20"/>
        </w:rPr>
        <w:t>:</w:t>
      </w:r>
      <w:r w:rsidR="00336CF1" w:rsidRPr="00796E18">
        <w:rPr>
          <w:rFonts w:ascii="Times New Roman" w:hAnsi="Times New Roman" w:cs="Times New Roman"/>
          <w:b/>
          <w:sz w:val="20"/>
          <w:szCs w:val="20"/>
        </w:rPr>
        <w:t>(</w:t>
      </w:r>
      <w:r w:rsidR="00336CF1" w:rsidRPr="00796E1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Tree of Damocles/</w:t>
      </w:r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Shayonak</w:t>
      </w:r>
      <w:proofErr w:type="spellEnd"/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Kul</w:t>
      </w:r>
      <w:proofErr w:type="spellEnd"/>
      <w:r w:rsidR="00336CF1" w:rsidRPr="00796E1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 /</w:t>
      </w:r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36CF1" w:rsidRPr="00796E18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Shyonaka</w:t>
      </w:r>
      <w:proofErr w:type="spellEnd"/>
      <w:r w:rsidR="00336CF1" w:rsidRPr="00796E1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 )</w:t>
      </w:r>
    </w:p>
    <w:p w:rsidR="005D4C84" w:rsidRPr="00796E18" w:rsidRDefault="007A13A1" w:rsidP="005D4C8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E18">
        <w:rPr>
          <w:rFonts w:ascii="Times New Roman" w:hAnsi="Times New Roman" w:cs="Times New Roman"/>
          <w:sz w:val="20"/>
          <w:szCs w:val="20"/>
        </w:rPr>
        <w:t xml:space="preserve"> </w:t>
      </w:r>
      <w:r w:rsidRPr="00796E18">
        <w:rPr>
          <w:rFonts w:ascii="Times New Roman" w:hAnsi="Times New Roman" w:cs="Times New Roman"/>
          <w:sz w:val="20"/>
          <w:szCs w:val="20"/>
        </w:rPr>
        <w:tab/>
      </w:r>
      <w:r w:rsidR="005D4C84" w:rsidRPr="00796E18">
        <w:rPr>
          <w:rFonts w:ascii="Times New Roman" w:hAnsi="Times New Roman" w:cs="Times New Roman"/>
          <w:sz w:val="20"/>
          <w:szCs w:val="20"/>
        </w:rPr>
        <w:t>The chemical constituents obtained from different parts of plant include baicalein-7-O-diglucoside (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Oroxylin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B), baicalein-7-O-glucoside,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chrysin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apegenin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prunetin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sitosterol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oroxindin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biochanin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-A,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ellagic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acid,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baicalein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and its 6- and 7-glucuronides,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scutellarein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tetuin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antraquinone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and aloe-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emodin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>.</w:t>
      </w:r>
    </w:p>
    <w:p w:rsidR="005D4C84" w:rsidRPr="00796E18" w:rsidRDefault="007A13A1" w:rsidP="005D4C8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E18">
        <w:rPr>
          <w:rFonts w:ascii="Times New Roman" w:hAnsi="Times New Roman" w:cs="Times New Roman"/>
          <w:sz w:val="20"/>
          <w:szCs w:val="20"/>
        </w:rPr>
        <w:t xml:space="preserve"> </w:t>
      </w:r>
      <w:r w:rsidRPr="00796E18">
        <w:rPr>
          <w:rFonts w:ascii="Times New Roman" w:hAnsi="Times New Roman" w:cs="Times New Roman"/>
          <w:sz w:val="20"/>
          <w:szCs w:val="20"/>
        </w:rPr>
        <w:tab/>
        <w:t xml:space="preserve">It is used for </w:t>
      </w:r>
      <w:r w:rsidR="005D4C84" w:rsidRPr="00796E18">
        <w:rPr>
          <w:rFonts w:ascii="Times New Roman" w:hAnsi="Times New Roman" w:cs="Times New Roman"/>
          <w:sz w:val="20"/>
          <w:szCs w:val="20"/>
        </w:rPr>
        <w:t xml:space="preserve">treatment of different ailments such as cancer,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diarrhea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fever, ulcer and jaundice. Recent in vivo and in vitro studies have indicated its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antiinflammatory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antiulcer,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hepatoprotective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anticancer, antioxidant,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photocytotoxic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antiproliferative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antiarthritic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, antimicrobial,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antimutagenic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5D4C84" w:rsidRPr="00796E18">
        <w:rPr>
          <w:rFonts w:ascii="Times New Roman" w:hAnsi="Times New Roman" w:cs="Times New Roman"/>
          <w:sz w:val="20"/>
          <w:szCs w:val="20"/>
        </w:rPr>
        <w:t>immunostimulant</w:t>
      </w:r>
      <w:proofErr w:type="spellEnd"/>
      <w:r w:rsidR="005D4C84" w:rsidRPr="00796E18">
        <w:rPr>
          <w:rFonts w:ascii="Times New Roman" w:hAnsi="Times New Roman" w:cs="Times New Roman"/>
          <w:sz w:val="20"/>
          <w:szCs w:val="20"/>
        </w:rPr>
        <w:t xml:space="preserve"> properties.</w:t>
      </w:r>
      <w:r w:rsidR="00336CF1" w:rsidRPr="00796E18">
        <w:rPr>
          <w:rFonts w:ascii="Times New Roman" w:hAnsi="Times New Roman" w:cs="Times New Roman"/>
          <w:sz w:val="20"/>
          <w:szCs w:val="20"/>
        </w:rPr>
        <w:t>[1]</w:t>
      </w:r>
    </w:p>
    <w:p w:rsidR="00CF2D41" w:rsidRPr="00796E18" w:rsidRDefault="00CF2D41" w:rsidP="005D4C8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36CF1" w:rsidRPr="00796E18" w:rsidRDefault="00336CF1" w:rsidP="005D4C8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36CF1" w:rsidRPr="00796E18" w:rsidRDefault="002F4E04" w:rsidP="005D4C8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96E18">
        <w:rPr>
          <w:rFonts w:ascii="Times New Roman" w:hAnsi="Times New Roman" w:cs="Times New Roman"/>
          <w:b/>
          <w:sz w:val="20"/>
          <w:szCs w:val="20"/>
        </w:rPr>
        <w:t>REFERENCES:</w:t>
      </w:r>
    </w:p>
    <w:p w:rsidR="00336CF1" w:rsidRPr="00796E18" w:rsidRDefault="00336CF1" w:rsidP="00336C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E18">
        <w:rPr>
          <w:rFonts w:ascii="Times New Roman" w:hAnsi="Times New Roman" w:cs="Times New Roman"/>
          <w:sz w:val="20"/>
          <w:szCs w:val="20"/>
        </w:rPr>
        <w:t xml:space="preserve">[1] A Review on the Taxonomy,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Ethnobotany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, Chemistry and Pharmacology of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Oroxylum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indicum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 Vent</w:t>
      </w:r>
    </w:p>
    <w:p w:rsidR="00336CF1" w:rsidRPr="00796E18" w:rsidRDefault="00336CF1" w:rsidP="00336C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96E18">
        <w:rPr>
          <w:rFonts w:ascii="Times New Roman" w:hAnsi="Times New Roman" w:cs="Times New Roman"/>
          <w:sz w:val="20"/>
          <w:szCs w:val="20"/>
        </w:rPr>
        <w:t>Harminder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, V. Singh, A. K.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Chaudhary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, Indian J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Pharm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 xml:space="preserve"> Sci. 2011 Sep-Oct; 73(5): 483–490. </w:t>
      </w:r>
      <w:proofErr w:type="spellStart"/>
      <w:r w:rsidRPr="00796E18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796E18">
        <w:rPr>
          <w:rFonts w:ascii="Times New Roman" w:hAnsi="Times New Roman" w:cs="Times New Roman"/>
          <w:sz w:val="20"/>
          <w:szCs w:val="20"/>
        </w:rPr>
        <w:t>: 10.4103/0250-474X.98981, PMCID: PMC3425058</w:t>
      </w:r>
    </w:p>
    <w:p w:rsidR="00341C75" w:rsidRPr="00796E18" w:rsidRDefault="00341C75" w:rsidP="00336C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E18">
        <w:rPr>
          <w:rFonts w:ascii="Times New Roman" w:hAnsi="Times New Roman" w:cs="Times New Roman"/>
          <w:sz w:val="20"/>
          <w:szCs w:val="20"/>
        </w:rPr>
        <w:t>[2] https://www.rndsystems.com/resources/articles/ace-2-sars-receptor-identified</w:t>
      </w:r>
    </w:p>
    <w:p w:rsidR="00796E18" w:rsidRDefault="00796E18" w:rsidP="00796E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6E18">
        <w:rPr>
          <w:rFonts w:ascii="Times New Roman" w:hAnsi="Times New Roman" w:cs="Times New Roman"/>
          <w:sz w:val="20"/>
          <w:szCs w:val="20"/>
        </w:rPr>
        <w:t>[3]  Chen H and Du Q. Potential Natural Compounds for Preventing 2019-nCoV Infection. Preprints 2020.</w:t>
      </w:r>
    </w:p>
    <w:p w:rsidR="009D363B" w:rsidRDefault="009D363B" w:rsidP="00796E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D363B" w:rsidRDefault="009D363B" w:rsidP="00796E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D363B" w:rsidRPr="00796E18" w:rsidRDefault="009D363B" w:rsidP="009D363B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6E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#Anti-ACE-2 Antibody </w:t>
      </w:r>
    </w:p>
    <w:p w:rsidR="009D363B" w:rsidRPr="00796E18" w:rsidRDefault="009D363B" w:rsidP="009D363B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96E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</w:t>
      </w:r>
      <w:r w:rsidRPr="00796E18">
        <w:rPr>
          <w:rFonts w:ascii="Times New Roman" w:hAnsi="Times New Roman" w:cs="Times New Roman"/>
          <w:sz w:val="20"/>
          <w:szCs w:val="20"/>
        </w:rPr>
        <w:t xml:space="preserve"> </w:t>
      </w:r>
      <w:r w:rsidRPr="00796E1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TMPRSS2 inhibitor</w:t>
      </w:r>
    </w:p>
    <w:p w:rsidR="009D363B" w:rsidRPr="00796E18" w:rsidRDefault="009D363B" w:rsidP="00796E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D4C84" w:rsidRPr="00796E18" w:rsidRDefault="005D4C84" w:rsidP="005D4C8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D4C84" w:rsidRPr="00796E18" w:rsidSect="008477B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C44E6"/>
    <w:rsid w:val="00260F51"/>
    <w:rsid w:val="00293B28"/>
    <w:rsid w:val="002F4E04"/>
    <w:rsid w:val="00336CF1"/>
    <w:rsid w:val="00341C75"/>
    <w:rsid w:val="00436D88"/>
    <w:rsid w:val="005C4AA0"/>
    <w:rsid w:val="005D4C84"/>
    <w:rsid w:val="006A2D5F"/>
    <w:rsid w:val="00796E18"/>
    <w:rsid w:val="007A13A1"/>
    <w:rsid w:val="007C44E6"/>
    <w:rsid w:val="008477B2"/>
    <w:rsid w:val="00985F46"/>
    <w:rsid w:val="009D363B"/>
    <w:rsid w:val="00AD3481"/>
    <w:rsid w:val="00CF2D41"/>
    <w:rsid w:val="00F1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6C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85F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31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</dc:creator>
  <cp:keywords/>
  <dc:description/>
  <cp:lastModifiedBy>T420</cp:lastModifiedBy>
  <cp:revision>19</cp:revision>
  <dcterms:created xsi:type="dcterms:W3CDTF">2020-04-12T12:24:00Z</dcterms:created>
  <dcterms:modified xsi:type="dcterms:W3CDTF">2020-04-12T13:31:00Z</dcterms:modified>
</cp:coreProperties>
</file>