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5CA" w:rsidRPr="00B91C5B" w:rsidRDefault="00B91C5B" w:rsidP="001335CA">
      <w:pPr>
        <w:pStyle w:val="Heading1"/>
        <w:rPr>
          <w:rFonts w:ascii="Times New Roman" w:hAnsi="Times New Roman" w:cs="Times New Roman"/>
        </w:rPr>
      </w:pPr>
      <w:r w:rsidRPr="00B91C5B">
        <w:rPr>
          <w:rFonts w:ascii="Times New Roman" w:hAnsi="Times New Roman" w:cs="Times New Roman"/>
        </w:rPr>
        <w:t>Top 10 Best-Selling Product Categories</w:t>
      </w:r>
    </w:p>
    <w:p w:rsidR="001335CA" w:rsidRPr="00B91C5B" w:rsidRDefault="001335CA" w:rsidP="001335CA">
      <w:pP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24E7E911" wp14:editId="6FE4F0DD">
            <wp:extent cx="5484004" cy="3071091"/>
            <wp:effectExtent l="190500" t="190500" r="193040" b="1866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10_best_selling_product_categories .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2433"/>
                    </a:xfrm>
                    <a:prstGeom prst="rect">
                      <a:avLst/>
                    </a:prstGeom>
                    <a:ln>
                      <a:noFill/>
                    </a:ln>
                    <a:effectLst>
                      <a:outerShdw blurRad="190500" algn="tl" rotWithShape="0">
                        <a:srgbClr val="000000">
                          <a:alpha val="70000"/>
                        </a:srgbClr>
                      </a:outerShdw>
                    </a:effectLst>
                  </pic:spPr>
                </pic:pic>
              </a:graphicData>
            </a:graphic>
          </wp:inline>
        </w:drawing>
      </w:r>
    </w:p>
    <w:p w:rsidR="00EC589C" w:rsidRPr="00B91C5B" w:rsidRDefault="00B91C5B">
      <w:pPr>
        <w:rPr>
          <w:rFonts w:ascii="Times New Roman" w:hAnsi="Times New Roman" w:cs="Times New Roman"/>
        </w:rPr>
      </w:pPr>
      <w:r w:rsidRPr="00B91C5B">
        <w:rPr>
          <w:rFonts w:ascii="Times New Roman" w:hAnsi="Times New Roman" w:cs="Times New Roman"/>
        </w:rPr>
        <w:t>This chart represents the top 10 best-selling product categories based on total sales volume. Each bar in the horizontal bar graph indicates the total sales in thousands (K) for each product category. The data helps in understanding which categories are performing well in terms of sales and can guide business strategies such as inventory management, marketing focus, and sales promotions.</w:t>
      </w:r>
    </w:p>
    <w:p w:rsidR="00EC589C" w:rsidRPr="00B91C5B" w:rsidRDefault="00B91C5B">
      <w:pPr>
        <w:pStyle w:val="Heading2"/>
        <w:rPr>
          <w:rFonts w:ascii="Times New Roman" w:hAnsi="Times New Roman" w:cs="Times New Roman"/>
        </w:rPr>
      </w:pPr>
      <w:r w:rsidRPr="00B91C5B">
        <w:rPr>
          <w:rFonts w:ascii="Times New Roman" w:hAnsi="Times New Roman" w:cs="Times New Roman"/>
        </w:rPr>
        <w:t>Top 3 Performing Categories</w:t>
      </w:r>
    </w:p>
    <w:p w:rsidR="00EC589C" w:rsidRPr="00B91C5B" w:rsidRDefault="00B91C5B">
      <w:pPr>
        <w:rPr>
          <w:rFonts w:ascii="Times New Roman" w:hAnsi="Times New Roman" w:cs="Times New Roman"/>
        </w:rPr>
      </w:pPr>
      <w:r w:rsidRPr="00B91C5B">
        <w:rPr>
          <w:rFonts w:ascii="Times New Roman" w:hAnsi="Times New Roman" w:cs="Times New Roman"/>
        </w:rPr>
        <w:t>1. Health &amp; Beauty: Leading the sales chart with 1,297K in total sales.</w:t>
      </w:r>
      <w:r w:rsidRPr="00B91C5B">
        <w:rPr>
          <w:rFonts w:ascii="Times New Roman" w:hAnsi="Times New Roman" w:cs="Times New Roman"/>
        </w:rPr>
        <w:br/>
        <w:t>2. Watches &amp; Gifts: Close second with 1,253K in total sales.</w:t>
      </w:r>
      <w:r w:rsidRPr="00B91C5B">
        <w:rPr>
          <w:rFonts w:ascii="Times New Roman" w:hAnsi="Times New Roman" w:cs="Times New Roman"/>
        </w:rPr>
        <w:br/>
        <w:t>3. Bed, Bath &amp; Table: Holds third place with 1,093K in total sales.</w:t>
      </w:r>
    </w:p>
    <w:p w:rsidR="00EC589C" w:rsidRPr="00B91C5B" w:rsidRDefault="00B91C5B">
      <w:pPr>
        <w:pStyle w:val="Heading2"/>
        <w:rPr>
          <w:rFonts w:ascii="Times New Roman" w:hAnsi="Times New Roman" w:cs="Times New Roman"/>
        </w:rPr>
      </w:pPr>
      <w:r w:rsidRPr="00B91C5B">
        <w:rPr>
          <w:rFonts w:ascii="Times New Roman" w:hAnsi="Times New Roman" w:cs="Times New Roman"/>
        </w:rPr>
        <w:t>Insights and Usage</w:t>
      </w:r>
    </w:p>
    <w:p w:rsidR="00EC589C" w:rsidRPr="00B91C5B" w:rsidRDefault="00B91C5B">
      <w:pPr>
        <w:rPr>
          <w:rFonts w:ascii="Times New Roman" w:hAnsi="Times New Roman" w:cs="Times New Roman"/>
        </w:rPr>
      </w:pPr>
      <w:r w:rsidRPr="00B91C5B">
        <w:rPr>
          <w:rFonts w:ascii="Times New Roman" w:hAnsi="Times New Roman" w:cs="Times New Roman"/>
        </w:rPr>
        <w:t>This visual and tabular representation can be used by sales and marketing teams to:</w:t>
      </w:r>
      <w:r w:rsidRPr="00B91C5B">
        <w:rPr>
          <w:rFonts w:ascii="Times New Roman" w:hAnsi="Times New Roman" w:cs="Times New Roman"/>
        </w:rPr>
        <w:br/>
        <w:t>- Identify high-performing product categories.</w:t>
      </w:r>
      <w:r w:rsidRPr="00B91C5B">
        <w:rPr>
          <w:rFonts w:ascii="Times New Roman" w:hAnsi="Times New Roman" w:cs="Times New Roman"/>
        </w:rPr>
        <w:br/>
        <w:t>- Allocate resources effectively.</w:t>
      </w:r>
      <w:r w:rsidRPr="00B91C5B">
        <w:rPr>
          <w:rFonts w:ascii="Times New Roman" w:hAnsi="Times New Roman" w:cs="Times New Roman"/>
        </w:rPr>
        <w:br/>
        <w:t>- Design category-specific marketing campaigns.</w:t>
      </w:r>
      <w:r w:rsidRPr="00B91C5B">
        <w:rPr>
          <w:rFonts w:ascii="Times New Roman" w:hAnsi="Times New Roman" w:cs="Times New Roman"/>
        </w:rPr>
        <w:br/>
        <w:t>- Make data-driven decisions for inventory and promotions.</w:t>
      </w:r>
    </w:p>
    <w:p w:rsidR="001335CA" w:rsidRPr="00B91C5B" w:rsidRDefault="001335CA">
      <w:pPr>
        <w:rPr>
          <w:rFonts w:ascii="Times New Roman" w:hAnsi="Times New Roman" w:cs="Times New Roman"/>
        </w:rPr>
      </w:pPr>
    </w:p>
    <w:p w:rsidR="001335CA" w:rsidRPr="00B91C5B" w:rsidRDefault="001335CA">
      <w:pPr>
        <w:rPr>
          <w:rFonts w:ascii="Times New Roman" w:hAnsi="Times New Roman" w:cs="Times New Roman"/>
        </w:rPr>
      </w:pPr>
    </w:p>
    <w:p w:rsidR="001335CA" w:rsidRPr="00B91C5B" w:rsidRDefault="001335CA">
      <w:pPr>
        <w:rPr>
          <w:rFonts w:ascii="Times New Roman" w:hAnsi="Times New Roman" w:cs="Times New Roman"/>
        </w:rPr>
      </w:pPr>
    </w:p>
    <w:p w:rsidR="00A4424A" w:rsidRPr="00B91C5B" w:rsidRDefault="00A4424A" w:rsidP="00A4424A">
      <w:pPr>
        <w:pStyle w:val="Heading1"/>
        <w:rPr>
          <w:rFonts w:ascii="Times New Roman" w:hAnsi="Times New Roman" w:cs="Times New Roman"/>
        </w:rPr>
      </w:pPr>
      <w:r w:rsidRPr="00B91C5B">
        <w:rPr>
          <w:rFonts w:ascii="Times New Roman" w:hAnsi="Times New Roman" w:cs="Times New Roman"/>
        </w:rPr>
        <w:lastRenderedPageBreak/>
        <w:t>Delayed Orders by Product Category</w:t>
      </w:r>
    </w:p>
    <w:p w:rsidR="00A4424A" w:rsidRPr="00B91C5B" w:rsidRDefault="00A4424A" w:rsidP="00A4424A">
      <w:pP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3CF93743" wp14:editId="3FC9CB40">
            <wp:extent cx="5486400" cy="3552825"/>
            <wp:effectExtent l="190500" t="190500" r="19050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ed_orders_by_product_categor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52825"/>
                    </a:xfrm>
                    <a:prstGeom prst="rect">
                      <a:avLst/>
                    </a:prstGeom>
                    <a:ln>
                      <a:noFill/>
                    </a:ln>
                    <a:effectLst>
                      <a:outerShdw blurRad="190500" algn="tl" rotWithShape="0">
                        <a:srgbClr val="000000">
                          <a:alpha val="70000"/>
                        </a:srgbClr>
                      </a:outerShdw>
                    </a:effectLst>
                  </pic:spPr>
                </pic:pic>
              </a:graphicData>
            </a:graphic>
          </wp:inline>
        </w:drawing>
      </w:r>
    </w:p>
    <w:p w:rsidR="00A4424A" w:rsidRPr="00B91C5B" w:rsidRDefault="00A4424A" w:rsidP="00A4424A">
      <w:pPr>
        <w:rPr>
          <w:rFonts w:ascii="Times New Roman" w:hAnsi="Times New Roman" w:cs="Times New Roman"/>
        </w:rPr>
      </w:pPr>
      <w:r w:rsidRPr="00B91C5B">
        <w:rPr>
          <w:rFonts w:ascii="Times New Roman" w:hAnsi="Times New Roman" w:cs="Times New Roman"/>
        </w:rPr>
        <w:t>This chart provides a visual representation of the number of delayed orders categorized by product type. It highlights which product categories experience the highest and lowest delays, offering insight into potential supply chain or logistics issues.</w:t>
      </w:r>
    </w:p>
    <w:p w:rsidR="00A4424A" w:rsidRPr="00B91C5B" w:rsidRDefault="00A4424A" w:rsidP="00A4424A">
      <w:pPr>
        <w:pStyle w:val="Heading2"/>
        <w:rPr>
          <w:rFonts w:ascii="Times New Roman" w:hAnsi="Times New Roman" w:cs="Times New Roman"/>
        </w:rPr>
      </w:pPr>
      <w:r w:rsidRPr="00B91C5B">
        <w:rPr>
          <w:rFonts w:ascii="Times New Roman" w:hAnsi="Times New Roman" w:cs="Times New Roman"/>
        </w:rPr>
        <w:t>Key Observations</w:t>
      </w:r>
    </w:p>
    <w:p w:rsidR="00A4424A" w:rsidRPr="00B91C5B" w:rsidRDefault="00A4424A" w:rsidP="00A4424A">
      <w:pPr>
        <w:rPr>
          <w:rFonts w:ascii="Times New Roman" w:hAnsi="Times New Roman" w:cs="Times New Roman"/>
        </w:rPr>
      </w:pPr>
      <w:r w:rsidRPr="00B91C5B">
        <w:rPr>
          <w:rFonts w:ascii="Times New Roman" w:hAnsi="Times New Roman" w:cs="Times New Roman"/>
        </w:rPr>
        <w:t>1. Bed, Bath &amp; Table has the highest number of delayed orders at 689, followed closely by Health &amp; Beauty with 650.</w:t>
      </w:r>
      <w:r w:rsidRPr="00B91C5B">
        <w:rPr>
          <w:rFonts w:ascii="Times New Roman" w:hAnsi="Times New Roman" w:cs="Times New Roman"/>
        </w:rPr>
        <w:br/>
        <w:t>2. Watches &amp; Gifts, Sports &amp; Leisure, and Furniture &amp; Decor also show significantly high delays, indicating possible inventory, supplier, or transportation issues.</w:t>
      </w:r>
      <w:r w:rsidRPr="00B91C5B">
        <w:rPr>
          <w:rFonts w:ascii="Times New Roman" w:hAnsi="Times New Roman" w:cs="Times New Roman"/>
        </w:rPr>
        <w:br/>
        <w:t>3. Several categories such as Construction Tools &amp; Lights, Agriculture Industry &amp; Consumers, and Construction Tools &amp; Tools show very few delays, with only 6–8 delayed orders each.</w:t>
      </w:r>
    </w:p>
    <w:p w:rsidR="00A4424A" w:rsidRPr="00B91C5B" w:rsidRDefault="00A4424A" w:rsidP="00A4424A">
      <w:pPr>
        <w:pStyle w:val="Heading2"/>
        <w:rPr>
          <w:rFonts w:ascii="Times New Roman" w:hAnsi="Times New Roman" w:cs="Times New Roman"/>
        </w:rPr>
      </w:pPr>
      <w:r w:rsidRPr="00B91C5B">
        <w:rPr>
          <w:rFonts w:ascii="Times New Roman" w:hAnsi="Times New Roman" w:cs="Times New Roman"/>
        </w:rPr>
        <w:t>Implications and Recommendations</w:t>
      </w:r>
    </w:p>
    <w:p w:rsidR="00A4424A" w:rsidRPr="00B91C5B" w:rsidRDefault="00A4424A" w:rsidP="00A4424A">
      <w:pPr>
        <w:rPr>
          <w:rFonts w:ascii="Times New Roman" w:hAnsi="Times New Roman" w:cs="Times New Roman"/>
        </w:rPr>
      </w:pPr>
      <w:r w:rsidRPr="00B91C5B">
        <w:rPr>
          <w:rFonts w:ascii="Times New Roman" w:hAnsi="Times New Roman" w:cs="Times New Roman"/>
        </w:rPr>
        <w:t>Understanding the distribution of delayed orders helps organizations prioritize operational improvements. Recommendations include</w:t>
      </w:r>
      <w:proofErr w:type="gramStart"/>
      <w:r w:rsidRPr="00B91C5B">
        <w:rPr>
          <w:rFonts w:ascii="Times New Roman" w:hAnsi="Times New Roman" w:cs="Times New Roman"/>
        </w:rPr>
        <w:t>:</w:t>
      </w:r>
      <w:proofErr w:type="gramEnd"/>
      <w:r w:rsidRPr="00B91C5B">
        <w:rPr>
          <w:rFonts w:ascii="Times New Roman" w:hAnsi="Times New Roman" w:cs="Times New Roman"/>
        </w:rPr>
        <w:br/>
        <w:t>- Investigating supply chain bottlenecks in high-delay categories.</w:t>
      </w:r>
      <w:r w:rsidRPr="00B91C5B">
        <w:rPr>
          <w:rFonts w:ascii="Times New Roman" w:hAnsi="Times New Roman" w:cs="Times New Roman"/>
        </w:rPr>
        <w:br/>
        <w:t>- Enhancing vendor coordination and demand forecasting.</w:t>
      </w:r>
      <w:r w:rsidRPr="00B91C5B">
        <w:rPr>
          <w:rFonts w:ascii="Times New Roman" w:hAnsi="Times New Roman" w:cs="Times New Roman"/>
        </w:rPr>
        <w:br/>
        <w:t>- Streamlining logistics and warehousing for frequently delayed product types.</w:t>
      </w:r>
      <w:r w:rsidRPr="00B91C5B">
        <w:rPr>
          <w:rFonts w:ascii="Times New Roman" w:hAnsi="Times New Roman" w:cs="Times New Roman"/>
        </w:rPr>
        <w:br/>
        <w:t>- Monitoring performance of low-delay categories for best practices.</w:t>
      </w:r>
    </w:p>
    <w:p w:rsidR="00A4424A" w:rsidRPr="00B91C5B" w:rsidRDefault="00A4424A" w:rsidP="00A4424A">
      <w:pPr>
        <w:rPr>
          <w:rFonts w:ascii="Times New Roman" w:hAnsi="Times New Roman" w:cs="Times New Roman"/>
        </w:rPr>
      </w:pPr>
    </w:p>
    <w:p w:rsidR="00364736" w:rsidRPr="00B91C5B" w:rsidRDefault="00364736" w:rsidP="00364736">
      <w:pPr>
        <w:pStyle w:val="Heading2"/>
        <w:rPr>
          <w:rFonts w:ascii="Times New Roman" w:hAnsi="Times New Roman" w:cs="Times New Roman"/>
        </w:rPr>
      </w:pPr>
      <w:r w:rsidRPr="00B91C5B">
        <w:rPr>
          <w:rStyle w:val="Strong"/>
          <w:rFonts w:ascii="Times New Roman" w:hAnsi="Times New Roman" w:cs="Times New Roman"/>
          <w:b/>
          <w:bCs/>
        </w:rPr>
        <w:lastRenderedPageBreak/>
        <w:t>Early and Delayed Orders by Month</w:t>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t>Overview</w:t>
      </w:r>
    </w:p>
    <w:p w:rsidR="00364736" w:rsidRPr="00B91C5B" w:rsidRDefault="00364736" w:rsidP="00364736">
      <w:pPr>
        <w:pStyle w:val="NormalWeb"/>
      </w:pPr>
      <w:r w:rsidRPr="00B91C5B">
        <w:t>This chart presents a visual comparison of early and delayed orders on a monthly basis. It uses pink bars to represent early orders and purple bars for delayed ones. This layout allows for a quick and clear understanding of order delivery performance throughout the year.</w:t>
      </w:r>
    </w:p>
    <w:p w:rsidR="00364736" w:rsidRPr="00B91C5B" w:rsidRDefault="00364736" w:rsidP="00364736">
      <w:pP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3B871BC9" wp14:editId="4941B713">
            <wp:extent cx="5486400" cy="3676650"/>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ly_and_delayed_orders_by_month.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76650"/>
                    </a:xfrm>
                    <a:prstGeom prst="rect">
                      <a:avLst/>
                    </a:prstGeom>
                    <a:ln>
                      <a:noFill/>
                    </a:ln>
                    <a:effectLst>
                      <a:outerShdw blurRad="190500" algn="tl" rotWithShape="0">
                        <a:srgbClr val="000000">
                          <a:alpha val="70000"/>
                        </a:srgbClr>
                      </a:outerShdw>
                    </a:effectLst>
                  </pic:spPr>
                </pic:pic>
              </a:graphicData>
            </a:graphic>
          </wp:inline>
        </w:drawing>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t>Key Observations</w:t>
      </w:r>
    </w:p>
    <w:p w:rsidR="00364736" w:rsidRPr="00B91C5B" w:rsidRDefault="00364736" w:rsidP="00364736">
      <w:pPr>
        <w:pStyle w:val="NormalWeb"/>
        <w:numPr>
          <w:ilvl w:val="0"/>
          <w:numId w:val="10"/>
        </w:numPr>
      </w:pPr>
      <w:r w:rsidRPr="00B91C5B">
        <w:rPr>
          <w:rStyle w:val="Strong"/>
        </w:rPr>
        <w:t>Highest Early Orders:</w:t>
      </w:r>
    </w:p>
    <w:p w:rsidR="00364736" w:rsidRPr="00B91C5B" w:rsidRDefault="00364736" w:rsidP="00364736">
      <w:pPr>
        <w:pStyle w:val="NormalWeb"/>
        <w:numPr>
          <w:ilvl w:val="1"/>
          <w:numId w:val="10"/>
        </w:numPr>
      </w:pPr>
      <w:r w:rsidRPr="00B91C5B">
        <w:rPr>
          <w:rStyle w:val="Strong"/>
        </w:rPr>
        <w:t>August</w:t>
      </w:r>
      <w:r w:rsidRPr="00B91C5B">
        <w:t xml:space="preserve"> had the highest number of early orders at </w:t>
      </w:r>
      <w:r w:rsidRPr="00B91C5B">
        <w:rPr>
          <w:rStyle w:val="Strong"/>
        </w:rPr>
        <w:t>10.4K</w:t>
      </w:r>
      <w:r w:rsidRPr="00B91C5B">
        <w:t xml:space="preserve">, followed closely by </w:t>
      </w:r>
      <w:r w:rsidRPr="00B91C5B">
        <w:rPr>
          <w:rStyle w:val="Strong"/>
        </w:rPr>
        <w:t>May (9.9K)</w:t>
      </w:r>
      <w:r w:rsidRPr="00B91C5B">
        <w:t xml:space="preserve"> and </w:t>
      </w:r>
      <w:r w:rsidRPr="00B91C5B">
        <w:rPr>
          <w:rStyle w:val="Strong"/>
        </w:rPr>
        <w:t>July (9.3K)</w:t>
      </w:r>
      <w:r w:rsidRPr="00B91C5B">
        <w:t>.</w:t>
      </w:r>
    </w:p>
    <w:p w:rsidR="00364736" w:rsidRPr="00B91C5B" w:rsidRDefault="00364736" w:rsidP="00364736">
      <w:pPr>
        <w:pStyle w:val="NormalWeb"/>
        <w:numPr>
          <w:ilvl w:val="0"/>
          <w:numId w:val="10"/>
        </w:numPr>
      </w:pPr>
      <w:r w:rsidRPr="00B91C5B">
        <w:rPr>
          <w:rStyle w:val="Strong"/>
        </w:rPr>
        <w:t>Highest Delayed Orders:</w:t>
      </w:r>
    </w:p>
    <w:p w:rsidR="00364736" w:rsidRPr="00B91C5B" w:rsidRDefault="00364736" w:rsidP="00364736">
      <w:pPr>
        <w:pStyle w:val="NormalWeb"/>
        <w:numPr>
          <w:ilvl w:val="1"/>
          <w:numId w:val="10"/>
        </w:numPr>
      </w:pPr>
      <w:r w:rsidRPr="00B91C5B">
        <w:rPr>
          <w:rStyle w:val="Strong"/>
        </w:rPr>
        <w:t>March</w:t>
      </w:r>
      <w:r w:rsidRPr="00B91C5B">
        <w:t xml:space="preserve"> recorded the highest number of delayed orders at </w:t>
      </w:r>
      <w:r w:rsidRPr="00B91C5B">
        <w:rPr>
          <w:rStyle w:val="Strong"/>
        </w:rPr>
        <w:t>1.6K</w:t>
      </w:r>
      <w:r w:rsidRPr="00B91C5B">
        <w:t>, suggesting delivery inefficiencies or bottlenecks in that month.</w:t>
      </w:r>
    </w:p>
    <w:p w:rsidR="00364736" w:rsidRPr="00B91C5B" w:rsidRDefault="00364736" w:rsidP="00364736">
      <w:pPr>
        <w:pStyle w:val="NormalWeb"/>
        <w:numPr>
          <w:ilvl w:val="0"/>
          <w:numId w:val="10"/>
        </w:numPr>
      </w:pPr>
      <w:r w:rsidRPr="00B91C5B">
        <w:rPr>
          <w:rStyle w:val="Strong"/>
        </w:rPr>
        <w:t>Consistently Low Delays:</w:t>
      </w:r>
    </w:p>
    <w:p w:rsidR="00364736" w:rsidRPr="00B91C5B" w:rsidRDefault="00364736" w:rsidP="00364736">
      <w:pPr>
        <w:pStyle w:val="NormalWeb"/>
        <w:numPr>
          <w:ilvl w:val="1"/>
          <w:numId w:val="10"/>
        </w:numPr>
      </w:pPr>
      <w:r w:rsidRPr="00B91C5B">
        <w:rPr>
          <w:rStyle w:val="Strong"/>
        </w:rPr>
        <w:t>June, July, September, October, and November</w:t>
      </w:r>
      <w:r w:rsidRPr="00B91C5B">
        <w:t xml:space="preserve"> saw only </w:t>
      </w:r>
      <w:r w:rsidRPr="00B91C5B">
        <w:rPr>
          <w:rStyle w:val="Strong"/>
        </w:rPr>
        <w:t>0.2K delayed orders</w:t>
      </w:r>
      <w:r w:rsidRPr="00B91C5B">
        <w:t xml:space="preserve"> each, indicating efficient logistics performance.</w:t>
      </w:r>
    </w:p>
    <w:p w:rsidR="00364736" w:rsidRPr="00B91C5B" w:rsidRDefault="00364736" w:rsidP="00364736">
      <w:pPr>
        <w:pStyle w:val="NormalWeb"/>
        <w:numPr>
          <w:ilvl w:val="0"/>
          <w:numId w:val="10"/>
        </w:numPr>
      </w:pPr>
      <w:r w:rsidRPr="00B91C5B">
        <w:rPr>
          <w:rStyle w:val="Strong"/>
        </w:rPr>
        <w:t>End of Year Stability:</w:t>
      </w:r>
    </w:p>
    <w:p w:rsidR="00364736" w:rsidRPr="00B91C5B" w:rsidRDefault="00364736" w:rsidP="00364736">
      <w:pPr>
        <w:pStyle w:val="NormalWeb"/>
        <w:numPr>
          <w:ilvl w:val="1"/>
          <w:numId w:val="10"/>
        </w:numPr>
      </w:pPr>
      <w:r w:rsidRPr="00B91C5B">
        <w:rPr>
          <w:rStyle w:val="Strong"/>
        </w:rPr>
        <w:lastRenderedPageBreak/>
        <w:t>November (5.8K)</w:t>
      </w:r>
      <w:r w:rsidRPr="00B91C5B">
        <w:t xml:space="preserve"> and </w:t>
      </w:r>
      <w:r w:rsidRPr="00B91C5B">
        <w:rPr>
          <w:rStyle w:val="Strong"/>
        </w:rPr>
        <w:t>December (5.3K)</w:t>
      </w:r>
      <w:r w:rsidRPr="00B91C5B">
        <w:t xml:space="preserve"> maintained a relatively stable early delivery rate with only </w:t>
      </w:r>
      <w:r w:rsidRPr="00B91C5B">
        <w:rPr>
          <w:rStyle w:val="Strong"/>
        </w:rPr>
        <w:t>0.6K delayed orders</w:t>
      </w:r>
      <w:r w:rsidRPr="00B91C5B">
        <w:t xml:space="preserve"> in each.</w:t>
      </w:r>
    </w:p>
    <w:p w:rsidR="00364736" w:rsidRPr="00B91C5B" w:rsidRDefault="00364736" w:rsidP="00364736">
      <w:pPr>
        <w:pStyle w:val="NormalWeb"/>
        <w:numPr>
          <w:ilvl w:val="0"/>
          <w:numId w:val="10"/>
        </w:numPr>
      </w:pPr>
      <w:r w:rsidRPr="00B91C5B">
        <w:rPr>
          <w:rStyle w:val="Strong"/>
        </w:rPr>
        <w:t>Overall Trend:</w:t>
      </w:r>
    </w:p>
    <w:p w:rsidR="00364736" w:rsidRPr="00B91C5B" w:rsidRDefault="00364736" w:rsidP="00364736">
      <w:pPr>
        <w:pStyle w:val="NormalWeb"/>
        <w:numPr>
          <w:ilvl w:val="1"/>
          <w:numId w:val="10"/>
        </w:numPr>
      </w:pPr>
      <w:r w:rsidRPr="00B91C5B">
        <w:t>Early orders consistently outperformed delayed orders, showing a positive trend in order fulfilment across the year.</w:t>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t>Insights and Recommendations</w:t>
      </w:r>
    </w:p>
    <w:p w:rsidR="00364736" w:rsidRPr="00B91C5B" w:rsidRDefault="00364736" w:rsidP="00364736">
      <w:pPr>
        <w:pStyle w:val="NormalWeb"/>
        <w:numPr>
          <w:ilvl w:val="0"/>
          <w:numId w:val="11"/>
        </w:numPr>
      </w:pPr>
      <w:r w:rsidRPr="00B91C5B">
        <w:rPr>
          <w:rStyle w:val="Strong"/>
        </w:rPr>
        <w:t>March delays</w:t>
      </w:r>
      <w:r w:rsidRPr="00B91C5B">
        <w:t xml:space="preserve"> may signal issues such as inventory shortages, staffing gaps, or logistics disruptions and should be investigated further.</w:t>
      </w:r>
    </w:p>
    <w:p w:rsidR="00364736" w:rsidRPr="00B91C5B" w:rsidRDefault="00364736" w:rsidP="00364736">
      <w:pPr>
        <w:pStyle w:val="NormalWeb"/>
        <w:numPr>
          <w:ilvl w:val="0"/>
          <w:numId w:val="11"/>
        </w:numPr>
      </w:pPr>
      <w:r w:rsidRPr="00B91C5B">
        <w:rPr>
          <w:rStyle w:val="Strong"/>
        </w:rPr>
        <w:t>Best-performing months</w:t>
      </w:r>
      <w:r w:rsidRPr="00B91C5B">
        <w:t xml:space="preserve"> (like July and August) can serve as benchmarks to replicate success across other months.</w:t>
      </w:r>
    </w:p>
    <w:p w:rsidR="00364736" w:rsidRPr="00B91C5B" w:rsidRDefault="00364736" w:rsidP="00364736">
      <w:pPr>
        <w:pStyle w:val="NormalWeb"/>
        <w:numPr>
          <w:ilvl w:val="0"/>
          <w:numId w:val="11"/>
        </w:numPr>
      </w:pPr>
      <w:r w:rsidRPr="00B91C5B">
        <w:rPr>
          <w:rStyle w:val="Strong"/>
        </w:rPr>
        <w:t>Maintaining consistency</w:t>
      </w:r>
      <w:r w:rsidRPr="00B91C5B">
        <w:t xml:space="preserve"> in warehouse operations, shipping processes, and supplier coordination is essential for reducing delays.</w:t>
      </w:r>
    </w:p>
    <w:p w:rsidR="00364736" w:rsidRPr="00B91C5B" w:rsidRDefault="00364736" w:rsidP="00364736">
      <w:pPr>
        <w:pStyle w:val="NormalWeb"/>
        <w:numPr>
          <w:ilvl w:val="0"/>
          <w:numId w:val="11"/>
        </w:numPr>
      </w:pPr>
      <w:r w:rsidRPr="00B91C5B">
        <w:rPr>
          <w:rStyle w:val="Strong"/>
        </w:rPr>
        <w:t>Seasonal planning</w:t>
      </w:r>
      <w:r w:rsidRPr="00B91C5B">
        <w:t xml:space="preserve"> and historical data should be used to pre-emptively manage order spikes and avoid future delays.</w:t>
      </w:r>
    </w:p>
    <w:p w:rsidR="00364736" w:rsidRPr="00B91C5B" w:rsidRDefault="00364736" w:rsidP="00364736">
      <w:pPr>
        <w:pStyle w:val="Heading2"/>
        <w:rPr>
          <w:rFonts w:ascii="Times New Roman" w:hAnsi="Times New Roman" w:cs="Times New Roman"/>
        </w:rPr>
      </w:pPr>
      <w:r w:rsidRPr="00B91C5B">
        <w:rPr>
          <w:rStyle w:val="Strong"/>
          <w:rFonts w:ascii="Times New Roman" w:hAnsi="Times New Roman" w:cs="Times New Roman"/>
          <w:b/>
          <w:bCs/>
        </w:rPr>
        <w:t>Payment Method Breakdown</w:t>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t>Overview</w:t>
      </w:r>
    </w:p>
    <w:p w:rsidR="00364736" w:rsidRPr="00B91C5B" w:rsidRDefault="00364736" w:rsidP="00364736">
      <w:pPr>
        <w:pStyle w:val="NormalWeb"/>
      </w:pPr>
      <w:r w:rsidRPr="00B91C5B">
        <w:t>The chart provides a clear breakdown of the different payment methods used by customers. Represented as a donut chart, it visually indicates the percentage and volume of transactions completed using various payment types.</w:t>
      </w:r>
    </w:p>
    <w:p w:rsidR="00364736" w:rsidRPr="00B91C5B" w:rsidRDefault="00364736" w:rsidP="00364736">
      <w:pPr>
        <w:jc w:val="cente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7919318F" wp14:editId="568F3D19">
            <wp:extent cx="2918690" cy="2800793"/>
            <wp:effectExtent l="190500" t="190500" r="18669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_method_breakdown.png"/>
                    <pic:cNvPicPr/>
                  </pic:nvPicPr>
                  <pic:blipFill>
                    <a:blip r:embed="rId10">
                      <a:extLst>
                        <a:ext uri="{28A0092B-C50C-407E-A947-70E740481C1C}">
                          <a14:useLocalDpi xmlns:a14="http://schemas.microsoft.com/office/drawing/2010/main" val="0"/>
                        </a:ext>
                      </a:extLst>
                    </a:blip>
                    <a:stretch>
                      <a:fillRect/>
                    </a:stretch>
                  </pic:blipFill>
                  <pic:spPr>
                    <a:xfrm>
                      <a:off x="0" y="0"/>
                      <a:ext cx="2917315" cy="2799474"/>
                    </a:xfrm>
                    <a:prstGeom prst="rect">
                      <a:avLst/>
                    </a:prstGeom>
                    <a:ln>
                      <a:noFill/>
                    </a:ln>
                    <a:effectLst>
                      <a:outerShdw blurRad="190500" algn="tl" rotWithShape="0">
                        <a:srgbClr val="000000">
                          <a:alpha val="70000"/>
                        </a:srgbClr>
                      </a:outerShdw>
                    </a:effectLst>
                  </pic:spPr>
                </pic:pic>
              </a:graphicData>
            </a:graphic>
          </wp:inline>
        </w:drawing>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lastRenderedPageBreak/>
        <w:t>Key Insights</w:t>
      </w:r>
    </w:p>
    <w:p w:rsidR="00364736" w:rsidRPr="00B91C5B" w:rsidRDefault="00364736" w:rsidP="00364736">
      <w:pPr>
        <w:pStyle w:val="NormalWeb"/>
        <w:numPr>
          <w:ilvl w:val="0"/>
          <w:numId w:val="12"/>
        </w:numPr>
      </w:pPr>
      <w:r w:rsidRPr="00B91C5B">
        <w:rPr>
          <w:rStyle w:val="Strong"/>
        </w:rPr>
        <w:t>Credit Card (78.34%)</w:t>
      </w:r>
    </w:p>
    <w:p w:rsidR="00364736" w:rsidRPr="00B91C5B" w:rsidRDefault="00364736" w:rsidP="00364736">
      <w:pPr>
        <w:pStyle w:val="NormalWeb"/>
        <w:numPr>
          <w:ilvl w:val="1"/>
          <w:numId w:val="12"/>
        </w:numPr>
      </w:pPr>
      <w:r w:rsidRPr="00B91C5B">
        <w:t xml:space="preserve">The majority of transactions were completed using credit cards, </w:t>
      </w:r>
      <w:proofErr w:type="spellStart"/>
      <w:r w:rsidRPr="00B91C5B">
        <w:t>totaling</w:t>
      </w:r>
      <w:proofErr w:type="spellEnd"/>
      <w:r w:rsidRPr="00B91C5B">
        <w:t xml:space="preserve"> approximately </w:t>
      </w:r>
      <w:r w:rsidRPr="00B91C5B">
        <w:rPr>
          <w:rStyle w:val="Strong"/>
        </w:rPr>
        <w:t>12,542.08K</w:t>
      </w:r>
      <w:r w:rsidRPr="00B91C5B">
        <w:t>.</w:t>
      </w:r>
    </w:p>
    <w:p w:rsidR="00364736" w:rsidRPr="00B91C5B" w:rsidRDefault="00364736" w:rsidP="00364736">
      <w:pPr>
        <w:pStyle w:val="NormalWeb"/>
        <w:numPr>
          <w:ilvl w:val="1"/>
          <w:numId w:val="12"/>
        </w:numPr>
      </w:pPr>
      <w:r w:rsidRPr="00B91C5B">
        <w:t>This indicates a strong preference for credit-based purchasing among customers, possibly due to credit offers, reward points, or ease of use.</w:t>
      </w:r>
    </w:p>
    <w:p w:rsidR="00364736" w:rsidRPr="00B91C5B" w:rsidRDefault="00364736" w:rsidP="00364736">
      <w:pPr>
        <w:pStyle w:val="NormalWeb"/>
        <w:numPr>
          <w:ilvl w:val="0"/>
          <w:numId w:val="12"/>
        </w:numPr>
      </w:pPr>
      <w:proofErr w:type="spellStart"/>
      <w:r w:rsidRPr="00B91C5B">
        <w:rPr>
          <w:rStyle w:val="Strong"/>
        </w:rPr>
        <w:t>Boleto</w:t>
      </w:r>
      <w:proofErr w:type="spellEnd"/>
      <w:r w:rsidRPr="00B91C5B">
        <w:rPr>
          <w:rStyle w:val="Strong"/>
        </w:rPr>
        <w:t xml:space="preserve"> (17.92%)</w:t>
      </w:r>
    </w:p>
    <w:p w:rsidR="00364736" w:rsidRPr="00B91C5B" w:rsidRDefault="00364736" w:rsidP="00364736">
      <w:pPr>
        <w:pStyle w:val="NormalWeb"/>
        <w:numPr>
          <w:ilvl w:val="1"/>
          <w:numId w:val="12"/>
        </w:numPr>
      </w:pPr>
      <w:r w:rsidRPr="00B91C5B">
        <w:t xml:space="preserve">The second most-used method was </w:t>
      </w:r>
      <w:proofErr w:type="spellStart"/>
      <w:r w:rsidRPr="00B91C5B">
        <w:rPr>
          <w:rStyle w:val="Strong"/>
        </w:rPr>
        <w:t>boleto</w:t>
      </w:r>
      <w:proofErr w:type="spellEnd"/>
      <w:r w:rsidRPr="00B91C5B">
        <w:t xml:space="preserve">, with </w:t>
      </w:r>
      <w:r w:rsidRPr="00B91C5B">
        <w:rPr>
          <w:rStyle w:val="Strong"/>
        </w:rPr>
        <w:t>2,869.36K</w:t>
      </w:r>
      <w:r w:rsidRPr="00B91C5B">
        <w:t xml:space="preserve"> transactions.</w:t>
      </w:r>
    </w:p>
    <w:p w:rsidR="00364736" w:rsidRPr="00B91C5B" w:rsidRDefault="00364736" w:rsidP="00364736">
      <w:pPr>
        <w:pStyle w:val="NormalWeb"/>
        <w:numPr>
          <w:ilvl w:val="1"/>
          <w:numId w:val="12"/>
        </w:numPr>
      </w:pPr>
      <w:r w:rsidRPr="00B91C5B">
        <w:t xml:space="preserve">This method is popular in certain markets (like Brazil), where printed or digital payment slips </w:t>
      </w:r>
      <w:proofErr w:type="gramStart"/>
      <w:r w:rsidRPr="00B91C5B">
        <w:t>are</w:t>
      </w:r>
      <w:proofErr w:type="gramEnd"/>
      <w:r w:rsidRPr="00B91C5B">
        <w:t xml:space="preserve"> commonly used for offline payments.</w:t>
      </w:r>
    </w:p>
    <w:p w:rsidR="00364736" w:rsidRPr="00B91C5B" w:rsidRDefault="00364736" w:rsidP="00364736">
      <w:pPr>
        <w:pStyle w:val="NormalWeb"/>
        <w:numPr>
          <w:ilvl w:val="0"/>
          <w:numId w:val="12"/>
        </w:numPr>
      </w:pPr>
      <w:r w:rsidRPr="00B91C5B">
        <w:rPr>
          <w:rStyle w:val="Strong"/>
        </w:rPr>
        <w:t>Voucher (2.37%)</w:t>
      </w:r>
    </w:p>
    <w:p w:rsidR="00364736" w:rsidRPr="00B91C5B" w:rsidRDefault="00364736" w:rsidP="00364736">
      <w:pPr>
        <w:pStyle w:val="NormalWeb"/>
        <w:numPr>
          <w:ilvl w:val="1"/>
          <w:numId w:val="12"/>
        </w:numPr>
      </w:pPr>
      <w:r w:rsidRPr="00B91C5B">
        <w:t xml:space="preserve">Vouchers accounted for </w:t>
      </w:r>
      <w:r w:rsidRPr="00B91C5B">
        <w:rPr>
          <w:rStyle w:val="Strong"/>
        </w:rPr>
        <w:t>379.44K</w:t>
      </w:r>
      <w:r w:rsidRPr="00B91C5B">
        <w:t xml:space="preserve"> transactions.</w:t>
      </w:r>
    </w:p>
    <w:p w:rsidR="00364736" w:rsidRPr="00B91C5B" w:rsidRDefault="00364736" w:rsidP="00364736">
      <w:pPr>
        <w:pStyle w:val="NormalWeb"/>
        <w:numPr>
          <w:ilvl w:val="1"/>
          <w:numId w:val="12"/>
        </w:numPr>
      </w:pPr>
      <w:r w:rsidRPr="00B91C5B">
        <w:t>Often used during promotions, discounts, or loyalty programs, this figure reflects a relatively smaller yet important customer segment.</w:t>
      </w:r>
    </w:p>
    <w:p w:rsidR="00364736" w:rsidRPr="00B91C5B" w:rsidRDefault="00364736" w:rsidP="00364736">
      <w:pPr>
        <w:pStyle w:val="NormalWeb"/>
        <w:numPr>
          <w:ilvl w:val="0"/>
          <w:numId w:val="12"/>
        </w:numPr>
      </w:pPr>
      <w:r w:rsidRPr="00B91C5B">
        <w:rPr>
          <w:rStyle w:val="Strong"/>
        </w:rPr>
        <w:t>Debit Card</w:t>
      </w:r>
    </w:p>
    <w:p w:rsidR="00364736" w:rsidRPr="00B91C5B" w:rsidRDefault="00364736" w:rsidP="00364736">
      <w:pPr>
        <w:pStyle w:val="NormalWeb"/>
        <w:numPr>
          <w:ilvl w:val="1"/>
          <w:numId w:val="12"/>
        </w:numPr>
      </w:pPr>
      <w:r w:rsidRPr="00B91C5B">
        <w:t xml:space="preserve">The use of </w:t>
      </w:r>
      <w:r w:rsidRPr="00B91C5B">
        <w:rPr>
          <w:rStyle w:val="Strong"/>
        </w:rPr>
        <w:t>debit cards</w:t>
      </w:r>
      <w:r w:rsidRPr="00B91C5B">
        <w:t xml:space="preserve"> is shown as a thin dark blue segment, indicating very limited use compared to other methods.</w:t>
      </w:r>
    </w:p>
    <w:p w:rsidR="00364736" w:rsidRPr="00B91C5B" w:rsidRDefault="00364736" w:rsidP="00364736">
      <w:pPr>
        <w:pStyle w:val="NormalWeb"/>
        <w:numPr>
          <w:ilvl w:val="1"/>
          <w:numId w:val="12"/>
        </w:numPr>
      </w:pPr>
      <w:r w:rsidRPr="00B91C5B">
        <w:t>This could reflect customer hesitation to link bank accounts directly or a preference for credit features.</w:t>
      </w:r>
    </w:p>
    <w:p w:rsidR="00364736" w:rsidRPr="00B91C5B" w:rsidRDefault="00364736" w:rsidP="00364736">
      <w:pPr>
        <w:pStyle w:val="NormalWeb"/>
        <w:numPr>
          <w:ilvl w:val="0"/>
          <w:numId w:val="12"/>
        </w:numPr>
      </w:pPr>
      <w:r w:rsidRPr="00B91C5B">
        <w:rPr>
          <w:rStyle w:val="Strong"/>
        </w:rPr>
        <w:t>Not Defined</w:t>
      </w:r>
    </w:p>
    <w:p w:rsidR="00364736" w:rsidRPr="00B91C5B" w:rsidRDefault="00364736" w:rsidP="00364736">
      <w:pPr>
        <w:pStyle w:val="NormalWeb"/>
        <w:numPr>
          <w:ilvl w:val="1"/>
          <w:numId w:val="12"/>
        </w:numPr>
      </w:pPr>
      <w:r w:rsidRPr="00B91C5B">
        <w:t>A minimal portion of transactions falls under the “</w:t>
      </w:r>
      <w:proofErr w:type="spellStart"/>
      <w:r w:rsidRPr="00B91C5B">
        <w:t>not_defined</w:t>
      </w:r>
      <w:proofErr w:type="spellEnd"/>
      <w:r w:rsidRPr="00B91C5B">
        <w:t>” category, suggesting minor data inconsistencies or unclassified payment types.</w:t>
      </w:r>
    </w:p>
    <w:p w:rsidR="00364736" w:rsidRPr="00B91C5B" w:rsidRDefault="00364736" w:rsidP="00364736">
      <w:pPr>
        <w:pStyle w:val="Heading3"/>
        <w:rPr>
          <w:rFonts w:ascii="Times New Roman" w:hAnsi="Times New Roman" w:cs="Times New Roman"/>
        </w:rPr>
      </w:pPr>
      <w:r w:rsidRPr="00B91C5B">
        <w:rPr>
          <w:rStyle w:val="Strong"/>
          <w:rFonts w:ascii="Times New Roman" w:hAnsi="Times New Roman" w:cs="Times New Roman"/>
          <w:b/>
          <w:bCs/>
        </w:rPr>
        <w:t>Business Implications</w:t>
      </w:r>
    </w:p>
    <w:p w:rsidR="00364736" w:rsidRPr="00B91C5B" w:rsidRDefault="00364736" w:rsidP="00364736">
      <w:pPr>
        <w:pStyle w:val="NormalWeb"/>
        <w:numPr>
          <w:ilvl w:val="0"/>
          <w:numId w:val="13"/>
        </w:numPr>
      </w:pPr>
      <w:r w:rsidRPr="00B91C5B">
        <w:rPr>
          <w:rStyle w:val="Strong"/>
        </w:rPr>
        <w:t>Optimize Credit Card Promotions:</w:t>
      </w:r>
      <w:r w:rsidRPr="00B91C5B">
        <w:t xml:space="preserve"> Given its dominance, partnerships with credit card providers and targeted offers could further boost conversions.</w:t>
      </w:r>
    </w:p>
    <w:p w:rsidR="00364736" w:rsidRPr="00B91C5B" w:rsidRDefault="00364736" w:rsidP="00364736">
      <w:pPr>
        <w:pStyle w:val="NormalWeb"/>
        <w:numPr>
          <w:ilvl w:val="0"/>
          <w:numId w:val="13"/>
        </w:numPr>
      </w:pPr>
      <w:r w:rsidRPr="00B91C5B">
        <w:rPr>
          <w:rStyle w:val="Strong"/>
        </w:rPr>
        <w:t>Support Regional Methods:</w:t>
      </w:r>
      <w:r w:rsidRPr="00B91C5B">
        <w:t xml:space="preserve"> The high usage of </w:t>
      </w:r>
      <w:proofErr w:type="spellStart"/>
      <w:r w:rsidRPr="00B91C5B">
        <w:t>boleto</w:t>
      </w:r>
      <w:proofErr w:type="spellEnd"/>
      <w:r w:rsidRPr="00B91C5B">
        <w:t xml:space="preserve"> suggests the need to maintain and optimize this option in regions where it’s culturally relevant.</w:t>
      </w:r>
    </w:p>
    <w:p w:rsidR="00364736" w:rsidRPr="00B91C5B" w:rsidRDefault="00364736" w:rsidP="00364736">
      <w:pPr>
        <w:pStyle w:val="NormalWeb"/>
        <w:numPr>
          <w:ilvl w:val="0"/>
          <w:numId w:val="13"/>
        </w:numPr>
      </w:pPr>
      <w:r w:rsidRPr="00B91C5B">
        <w:rPr>
          <w:rStyle w:val="Strong"/>
        </w:rPr>
        <w:t>Explore Voucher Strategy:</w:t>
      </w:r>
      <w:r w:rsidRPr="00B91C5B">
        <w:t xml:space="preserve"> Vouchers, though limited, can be leveraged more aggressively for customer acquisition and retention.</w:t>
      </w:r>
    </w:p>
    <w:p w:rsidR="00364736" w:rsidRPr="00B91C5B" w:rsidRDefault="00364736" w:rsidP="00364736">
      <w:pPr>
        <w:pStyle w:val="NormalWeb"/>
        <w:numPr>
          <w:ilvl w:val="0"/>
          <w:numId w:val="13"/>
        </w:numPr>
      </w:pPr>
      <w:r w:rsidRPr="00B91C5B">
        <w:rPr>
          <w:rStyle w:val="Strong"/>
        </w:rPr>
        <w:t>Investigate Debit Card Use:</w:t>
      </w:r>
      <w:r w:rsidRPr="00B91C5B">
        <w:t xml:space="preserve"> Explore why debit cards are underutilized—possibly through user surveys or testing more seamless integrations.</w:t>
      </w:r>
    </w:p>
    <w:p w:rsidR="00364736" w:rsidRPr="00B91C5B" w:rsidRDefault="00364736" w:rsidP="00364736">
      <w:pPr>
        <w:pStyle w:val="NormalWeb"/>
      </w:pPr>
    </w:p>
    <w:p w:rsidR="00AC5F69" w:rsidRPr="00B91C5B" w:rsidRDefault="00AC5F69" w:rsidP="00364736">
      <w:pPr>
        <w:pStyle w:val="NormalWeb"/>
      </w:pPr>
    </w:p>
    <w:p w:rsidR="00AC5F69" w:rsidRPr="00B91C5B" w:rsidRDefault="00AC5F69" w:rsidP="00364736">
      <w:pPr>
        <w:pStyle w:val="NormalWeb"/>
      </w:pPr>
    </w:p>
    <w:p w:rsidR="00AC5F69" w:rsidRPr="00B91C5B" w:rsidRDefault="00AC5F69" w:rsidP="00AC5F69">
      <w:pPr>
        <w:pStyle w:val="Heading2"/>
        <w:rPr>
          <w:rFonts w:ascii="Times New Roman" w:hAnsi="Times New Roman" w:cs="Times New Roman"/>
        </w:rPr>
      </w:pPr>
      <w:r w:rsidRPr="00B91C5B">
        <w:rPr>
          <w:rStyle w:val="Strong"/>
          <w:rFonts w:ascii="Times New Roman" w:hAnsi="Times New Roman" w:cs="Times New Roman"/>
          <w:b/>
          <w:bCs/>
        </w:rPr>
        <w:lastRenderedPageBreak/>
        <w:t>Top 10 Low Rated Products</w:t>
      </w:r>
    </w:p>
    <w:p w:rsidR="00AC5F69" w:rsidRPr="00B91C5B" w:rsidRDefault="00AC5F69" w:rsidP="00AC5F69">
      <w:pPr>
        <w:pStyle w:val="Heading3"/>
        <w:rPr>
          <w:rFonts w:ascii="Times New Roman" w:hAnsi="Times New Roman" w:cs="Times New Roman"/>
        </w:rPr>
      </w:pPr>
      <w:r w:rsidRPr="00B91C5B">
        <w:rPr>
          <w:rStyle w:val="Strong"/>
          <w:rFonts w:ascii="Times New Roman" w:hAnsi="Times New Roman" w:cs="Times New Roman"/>
          <w:b/>
          <w:bCs/>
        </w:rPr>
        <w:t>Overview</w:t>
      </w:r>
    </w:p>
    <w:p w:rsidR="00AC5F69" w:rsidRPr="00B91C5B" w:rsidRDefault="00AC5F69" w:rsidP="00AC5F69">
      <w:pPr>
        <w:pStyle w:val="NormalWeb"/>
      </w:pPr>
      <w:r w:rsidRPr="00B91C5B">
        <w:t>This bar chart illustrates the product categories that received the lowest customer ratings. Each bar represents the total count of low-rated products within a given category, highlighting key areas where product satisfaction is lacking.</w:t>
      </w:r>
    </w:p>
    <w:p w:rsidR="00AC5F69" w:rsidRPr="00B91C5B" w:rsidRDefault="00AC5F69" w:rsidP="00AC5F69">
      <w:pP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5027D58D" wp14:editId="23386A86">
            <wp:extent cx="5486400" cy="3696335"/>
            <wp:effectExtent l="190500" t="190500" r="19050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rated_produc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96335"/>
                    </a:xfrm>
                    <a:prstGeom prst="rect">
                      <a:avLst/>
                    </a:prstGeom>
                    <a:ln>
                      <a:noFill/>
                    </a:ln>
                    <a:effectLst>
                      <a:outerShdw blurRad="190500" algn="tl" rotWithShape="0">
                        <a:srgbClr val="000000">
                          <a:alpha val="70000"/>
                        </a:srgbClr>
                      </a:outerShdw>
                    </a:effectLst>
                  </pic:spPr>
                </pic:pic>
              </a:graphicData>
            </a:graphic>
          </wp:inline>
        </w:drawing>
      </w:r>
    </w:p>
    <w:p w:rsidR="00AC5F69" w:rsidRPr="00B91C5B" w:rsidRDefault="00AC5F69" w:rsidP="00AC5F69">
      <w:pPr>
        <w:pStyle w:val="Heading3"/>
        <w:rPr>
          <w:rFonts w:ascii="Times New Roman" w:hAnsi="Times New Roman" w:cs="Times New Roman"/>
        </w:rPr>
      </w:pPr>
      <w:r w:rsidRPr="00B91C5B">
        <w:rPr>
          <w:rStyle w:val="Strong"/>
          <w:rFonts w:ascii="Times New Roman" w:hAnsi="Times New Roman" w:cs="Times New Roman"/>
          <w:b/>
          <w:bCs/>
        </w:rPr>
        <w:t>Key Insights</w:t>
      </w:r>
    </w:p>
    <w:p w:rsidR="00AC5F69" w:rsidRPr="00B91C5B" w:rsidRDefault="00AC5F69" w:rsidP="00AC5F69">
      <w:pPr>
        <w:pStyle w:val="NormalWeb"/>
        <w:numPr>
          <w:ilvl w:val="0"/>
          <w:numId w:val="14"/>
        </w:numPr>
      </w:pPr>
      <w:proofErr w:type="spellStart"/>
      <w:r w:rsidRPr="00B91C5B">
        <w:rPr>
          <w:rStyle w:val="Strong"/>
        </w:rPr>
        <w:t>Automotivo</w:t>
      </w:r>
      <w:proofErr w:type="spellEnd"/>
      <w:r w:rsidRPr="00B91C5B">
        <w:rPr>
          <w:rStyle w:val="Strong"/>
        </w:rPr>
        <w:t xml:space="preserve"> (2960 low ratings):</w:t>
      </w:r>
    </w:p>
    <w:p w:rsidR="00AC5F69" w:rsidRPr="00B91C5B" w:rsidRDefault="00AC5F69" w:rsidP="00AC5F69">
      <w:pPr>
        <w:pStyle w:val="NormalWeb"/>
        <w:numPr>
          <w:ilvl w:val="1"/>
          <w:numId w:val="14"/>
        </w:numPr>
      </w:pPr>
      <w:r w:rsidRPr="00B91C5B">
        <w:t>This category stands out with the highest number of low-rated products, indicating significant customer dissatisfaction—possibly due to quality, compatibility issues, or misleading descriptions.</w:t>
      </w:r>
    </w:p>
    <w:p w:rsidR="00AC5F69" w:rsidRPr="00B91C5B" w:rsidRDefault="00AC5F69" w:rsidP="00AC5F69">
      <w:pPr>
        <w:pStyle w:val="NormalWeb"/>
        <w:numPr>
          <w:ilvl w:val="0"/>
          <w:numId w:val="14"/>
        </w:numPr>
      </w:pPr>
      <w:proofErr w:type="spellStart"/>
      <w:r w:rsidRPr="00B91C5B">
        <w:rPr>
          <w:rStyle w:val="Strong"/>
        </w:rPr>
        <w:t>Bebes</w:t>
      </w:r>
      <w:proofErr w:type="spellEnd"/>
      <w:r w:rsidRPr="00B91C5B">
        <w:rPr>
          <w:rStyle w:val="Strong"/>
        </w:rPr>
        <w:t xml:space="preserve"> (1803 low ratings):</w:t>
      </w:r>
    </w:p>
    <w:p w:rsidR="00AC5F69" w:rsidRPr="00B91C5B" w:rsidRDefault="00AC5F69" w:rsidP="00AC5F69">
      <w:pPr>
        <w:pStyle w:val="NormalWeb"/>
        <w:numPr>
          <w:ilvl w:val="1"/>
          <w:numId w:val="14"/>
        </w:numPr>
      </w:pPr>
      <w:r w:rsidRPr="00B91C5B">
        <w:t>The second highest in poor ratings. Since this category likely includes baby care products, safety, reliability, and effectiveness might be concerns for users.</w:t>
      </w:r>
    </w:p>
    <w:p w:rsidR="00AC5F69" w:rsidRPr="00B91C5B" w:rsidRDefault="00AC5F69" w:rsidP="00AC5F69">
      <w:pPr>
        <w:pStyle w:val="NormalWeb"/>
        <w:numPr>
          <w:ilvl w:val="0"/>
          <w:numId w:val="14"/>
        </w:numPr>
      </w:pPr>
      <w:proofErr w:type="spellStart"/>
      <w:r w:rsidRPr="00B91C5B">
        <w:rPr>
          <w:rStyle w:val="Strong"/>
        </w:rPr>
        <w:t>Alimentos</w:t>
      </w:r>
      <w:proofErr w:type="spellEnd"/>
      <w:r w:rsidRPr="00B91C5B">
        <w:rPr>
          <w:rStyle w:val="Strong"/>
        </w:rPr>
        <w:t xml:space="preserve"> (937) &amp; </w:t>
      </w:r>
      <w:proofErr w:type="spellStart"/>
      <w:r w:rsidRPr="00B91C5B">
        <w:rPr>
          <w:rStyle w:val="Strong"/>
        </w:rPr>
        <w:t>Alimentos_Bebidas</w:t>
      </w:r>
      <w:proofErr w:type="spellEnd"/>
      <w:r w:rsidRPr="00B91C5B">
        <w:rPr>
          <w:rStyle w:val="Strong"/>
        </w:rPr>
        <w:t xml:space="preserve"> (748):</w:t>
      </w:r>
    </w:p>
    <w:p w:rsidR="00AC5F69" w:rsidRPr="00B91C5B" w:rsidRDefault="00AC5F69" w:rsidP="00AC5F69">
      <w:pPr>
        <w:pStyle w:val="NormalWeb"/>
        <w:numPr>
          <w:ilvl w:val="1"/>
          <w:numId w:val="14"/>
        </w:numPr>
      </w:pPr>
      <w:r w:rsidRPr="00B91C5B">
        <w:t>Both food-related categories are present in the top 10, suggesting issues with product freshness, packaging, or mismatched expectations.</w:t>
      </w:r>
    </w:p>
    <w:p w:rsidR="00AC5F69" w:rsidRPr="00B91C5B" w:rsidRDefault="00AC5F69" w:rsidP="00AC5F69">
      <w:pPr>
        <w:pStyle w:val="NormalWeb"/>
        <w:numPr>
          <w:ilvl w:val="0"/>
          <w:numId w:val="14"/>
        </w:numPr>
      </w:pPr>
      <w:proofErr w:type="spellStart"/>
      <w:r w:rsidRPr="00B91C5B">
        <w:rPr>
          <w:rStyle w:val="Strong"/>
        </w:rPr>
        <w:t>Artes</w:t>
      </w:r>
      <w:proofErr w:type="spellEnd"/>
      <w:r w:rsidRPr="00B91C5B">
        <w:rPr>
          <w:rStyle w:val="Strong"/>
        </w:rPr>
        <w:t xml:space="preserve"> (856) &amp; Audio (813):</w:t>
      </w:r>
    </w:p>
    <w:p w:rsidR="00AC5F69" w:rsidRPr="00B91C5B" w:rsidRDefault="00AC5F69" w:rsidP="00AC5F69">
      <w:pPr>
        <w:pStyle w:val="NormalWeb"/>
        <w:numPr>
          <w:ilvl w:val="1"/>
          <w:numId w:val="14"/>
        </w:numPr>
      </w:pPr>
      <w:r w:rsidRPr="00B91C5B">
        <w:lastRenderedPageBreak/>
        <w:t>Creative and electronics categories also show a considerable number of low ratings, which may be tied to user experience, durability, or technical performance.</w:t>
      </w:r>
    </w:p>
    <w:p w:rsidR="00AC5F69" w:rsidRPr="00B91C5B" w:rsidRDefault="00AC5F69" w:rsidP="00AC5F69">
      <w:pPr>
        <w:pStyle w:val="NormalWeb"/>
        <w:numPr>
          <w:ilvl w:val="0"/>
          <w:numId w:val="14"/>
        </w:numPr>
      </w:pPr>
      <w:proofErr w:type="spellStart"/>
      <w:r w:rsidRPr="00B91C5B">
        <w:rPr>
          <w:rStyle w:val="Strong"/>
        </w:rPr>
        <w:t>Agro_Industria_E_Comercio</w:t>
      </w:r>
      <w:proofErr w:type="spellEnd"/>
      <w:r w:rsidRPr="00B91C5B">
        <w:rPr>
          <w:rStyle w:val="Strong"/>
        </w:rPr>
        <w:t xml:space="preserve"> (716):</w:t>
      </w:r>
    </w:p>
    <w:p w:rsidR="00AC5F69" w:rsidRPr="00B91C5B" w:rsidRDefault="00AC5F69" w:rsidP="00AC5F69">
      <w:pPr>
        <w:pStyle w:val="NormalWeb"/>
        <w:numPr>
          <w:ilvl w:val="1"/>
          <w:numId w:val="14"/>
        </w:numPr>
      </w:pPr>
      <w:r w:rsidRPr="00B91C5B">
        <w:t>A broad industrial category appearing on the list may indicate inconsistent quality across various sub-products.</w:t>
      </w:r>
    </w:p>
    <w:p w:rsidR="00AC5F69" w:rsidRPr="00B91C5B" w:rsidRDefault="00AC5F69" w:rsidP="00AC5F69">
      <w:pPr>
        <w:pStyle w:val="NormalWeb"/>
        <w:numPr>
          <w:ilvl w:val="0"/>
          <w:numId w:val="14"/>
        </w:numPr>
      </w:pPr>
      <w:proofErr w:type="spellStart"/>
      <w:r w:rsidRPr="00B91C5B">
        <w:rPr>
          <w:rStyle w:val="Strong"/>
        </w:rPr>
        <w:t>Artigos_De_Natal</w:t>
      </w:r>
      <w:proofErr w:type="spellEnd"/>
      <w:r w:rsidRPr="00B91C5B">
        <w:rPr>
          <w:rStyle w:val="Strong"/>
        </w:rPr>
        <w:t xml:space="preserve"> (714) &amp; </w:t>
      </w:r>
      <w:proofErr w:type="spellStart"/>
      <w:r w:rsidRPr="00B91C5B">
        <w:rPr>
          <w:rStyle w:val="Strong"/>
        </w:rPr>
        <w:t>Artigos_De_Festas</w:t>
      </w:r>
      <w:proofErr w:type="spellEnd"/>
      <w:r w:rsidRPr="00B91C5B">
        <w:rPr>
          <w:rStyle w:val="Strong"/>
        </w:rPr>
        <w:t xml:space="preserve"> (681):</w:t>
      </w:r>
    </w:p>
    <w:p w:rsidR="00AC5F69" w:rsidRPr="00B91C5B" w:rsidRDefault="00AC5F69" w:rsidP="00AC5F69">
      <w:pPr>
        <w:pStyle w:val="NormalWeb"/>
        <w:numPr>
          <w:ilvl w:val="1"/>
          <w:numId w:val="14"/>
        </w:numPr>
      </w:pPr>
      <w:r w:rsidRPr="00B91C5B">
        <w:t>These seasonal or decorative items being low rated could point to perceived low value, quality issues, or unmet aesthetic expectations.</w:t>
      </w:r>
    </w:p>
    <w:p w:rsidR="00AC5F69" w:rsidRPr="00B91C5B" w:rsidRDefault="00AC5F69" w:rsidP="00AC5F69">
      <w:pPr>
        <w:pStyle w:val="NormalWeb"/>
        <w:numPr>
          <w:ilvl w:val="0"/>
          <w:numId w:val="14"/>
        </w:numPr>
      </w:pPr>
      <w:proofErr w:type="spellStart"/>
      <w:r w:rsidRPr="00B91C5B">
        <w:rPr>
          <w:rStyle w:val="Strong"/>
        </w:rPr>
        <w:t>Artes_E_Artesanato</w:t>
      </w:r>
      <w:proofErr w:type="spellEnd"/>
      <w:r w:rsidRPr="00B91C5B">
        <w:rPr>
          <w:rStyle w:val="Strong"/>
        </w:rPr>
        <w:t xml:space="preserve"> (21):</w:t>
      </w:r>
    </w:p>
    <w:p w:rsidR="00AC5F69" w:rsidRPr="00B91C5B" w:rsidRDefault="00AC5F69" w:rsidP="00AC5F69">
      <w:pPr>
        <w:pStyle w:val="NormalWeb"/>
        <w:numPr>
          <w:ilvl w:val="1"/>
          <w:numId w:val="14"/>
        </w:numPr>
      </w:pPr>
      <w:r w:rsidRPr="00B91C5B">
        <w:t>Although it appears on the list, the number of low-rated products is significantly lower, suggesting it may have had fewer total reviews or lower sales volume.</w:t>
      </w:r>
    </w:p>
    <w:p w:rsidR="00AC5F69" w:rsidRPr="00B91C5B" w:rsidRDefault="00AC5F69" w:rsidP="00AC5F69">
      <w:pPr>
        <w:pStyle w:val="Heading3"/>
        <w:rPr>
          <w:rFonts w:ascii="Times New Roman" w:hAnsi="Times New Roman" w:cs="Times New Roman"/>
        </w:rPr>
      </w:pPr>
      <w:r w:rsidRPr="00B91C5B">
        <w:rPr>
          <w:rStyle w:val="Strong"/>
          <w:rFonts w:ascii="Times New Roman" w:hAnsi="Times New Roman" w:cs="Times New Roman"/>
          <w:b/>
          <w:bCs/>
        </w:rPr>
        <w:t>Business Implications &amp; Recommendations</w:t>
      </w:r>
    </w:p>
    <w:p w:rsidR="00AC5F69" w:rsidRPr="00B91C5B" w:rsidRDefault="00AC5F69" w:rsidP="00AC5F69">
      <w:pPr>
        <w:pStyle w:val="NormalWeb"/>
        <w:numPr>
          <w:ilvl w:val="0"/>
          <w:numId w:val="15"/>
        </w:numPr>
      </w:pPr>
      <w:r w:rsidRPr="00B91C5B">
        <w:rPr>
          <w:rStyle w:val="Strong"/>
        </w:rPr>
        <w:t>Automotive and Baby Product Review:</w:t>
      </w:r>
      <w:r w:rsidRPr="00B91C5B">
        <w:t xml:space="preserve"> Immediate quality audits and customer feedback loops should be implemented to resolve recurring issues in these high-volume low-rated categories.</w:t>
      </w:r>
    </w:p>
    <w:p w:rsidR="00AC5F69" w:rsidRPr="00B91C5B" w:rsidRDefault="00AC5F69" w:rsidP="00AC5F69">
      <w:pPr>
        <w:pStyle w:val="NormalWeb"/>
        <w:numPr>
          <w:ilvl w:val="0"/>
          <w:numId w:val="15"/>
        </w:numPr>
      </w:pPr>
      <w:r w:rsidRPr="00B91C5B">
        <w:rPr>
          <w:rStyle w:val="Strong"/>
        </w:rPr>
        <w:t>Product Detail Optimization:</w:t>
      </w:r>
      <w:r w:rsidRPr="00B91C5B">
        <w:t xml:space="preserve"> Categories like audio and </w:t>
      </w:r>
      <w:proofErr w:type="spellStart"/>
      <w:r w:rsidRPr="00B91C5B">
        <w:t>artes</w:t>
      </w:r>
      <w:proofErr w:type="spellEnd"/>
      <w:r w:rsidRPr="00B91C5B">
        <w:t xml:space="preserve"> (arts) may benefit from clearer product specifications and visual demonstrations to align expectations.</w:t>
      </w:r>
    </w:p>
    <w:p w:rsidR="00AC5F69" w:rsidRPr="00B91C5B" w:rsidRDefault="00AC5F69" w:rsidP="00AC5F69">
      <w:pPr>
        <w:pStyle w:val="NormalWeb"/>
        <w:numPr>
          <w:ilvl w:val="0"/>
          <w:numId w:val="15"/>
        </w:numPr>
      </w:pPr>
      <w:r w:rsidRPr="00B91C5B">
        <w:rPr>
          <w:rStyle w:val="Strong"/>
        </w:rPr>
        <w:t>Vendor and Supplier Monitoring:</w:t>
      </w:r>
      <w:r w:rsidRPr="00B91C5B">
        <w:t xml:space="preserve"> For food and drink categories, tighter control over shelf-life, packaging, and delivery conditions is recommended.</w:t>
      </w:r>
    </w:p>
    <w:p w:rsidR="00AC5F69" w:rsidRPr="00B91C5B" w:rsidRDefault="00AC5F69" w:rsidP="00AC5F69">
      <w:pPr>
        <w:pStyle w:val="NormalWeb"/>
        <w:numPr>
          <w:ilvl w:val="0"/>
          <w:numId w:val="15"/>
        </w:numPr>
      </w:pPr>
      <w:r w:rsidRPr="00B91C5B">
        <w:rPr>
          <w:rStyle w:val="Strong"/>
        </w:rPr>
        <w:t>Holiday Product Improvements:</w:t>
      </w:r>
      <w:r w:rsidRPr="00B91C5B">
        <w:t xml:space="preserve"> Seasonal products can be enhanced by improving design variety, material quality, and durability.</w:t>
      </w:r>
    </w:p>
    <w:p w:rsidR="00AC5F69" w:rsidRPr="00B91C5B" w:rsidRDefault="00AC5F69" w:rsidP="00AC5F69">
      <w:pPr>
        <w:pStyle w:val="NormalWeb"/>
        <w:numPr>
          <w:ilvl w:val="0"/>
          <w:numId w:val="15"/>
        </w:numPr>
      </w:pPr>
      <w:r w:rsidRPr="00B91C5B">
        <w:rPr>
          <w:rStyle w:val="Strong"/>
        </w:rPr>
        <w:t>Prioritize Customer Feedback:</w:t>
      </w:r>
      <w:r w:rsidRPr="00B91C5B">
        <w:t xml:space="preserve"> Implementing more robust review and response systems could help identify root causes early and boost customer trust.</w:t>
      </w:r>
    </w:p>
    <w:p w:rsidR="00AC5F69" w:rsidRPr="00B91C5B" w:rsidRDefault="00AC5F69" w:rsidP="00AC5F69">
      <w:pPr>
        <w:pStyle w:val="NormalWeb"/>
      </w:pPr>
    </w:p>
    <w:p w:rsidR="003C5F40" w:rsidRPr="00B91C5B" w:rsidRDefault="003C5F40" w:rsidP="003C5F40">
      <w:pPr>
        <w:pStyle w:val="Heading2"/>
        <w:rPr>
          <w:rFonts w:ascii="Times New Roman" w:hAnsi="Times New Roman" w:cs="Times New Roman"/>
        </w:rPr>
      </w:pPr>
      <w:r w:rsidRPr="00B91C5B">
        <w:rPr>
          <w:rStyle w:val="Strong"/>
          <w:rFonts w:ascii="Times New Roman" w:hAnsi="Times New Roman" w:cs="Times New Roman"/>
          <w:b/>
          <w:bCs/>
        </w:rPr>
        <w:t>State Wise Analysis</w:t>
      </w:r>
    </w:p>
    <w:p w:rsidR="003C5F40" w:rsidRPr="00B91C5B" w:rsidRDefault="003C5F40" w:rsidP="003C5F40">
      <w:pPr>
        <w:pStyle w:val="Heading3"/>
        <w:rPr>
          <w:rFonts w:ascii="Times New Roman" w:hAnsi="Times New Roman" w:cs="Times New Roman"/>
        </w:rPr>
      </w:pPr>
      <w:r w:rsidRPr="00B91C5B">
        <w:rPr>
          <w:rStyle w:val="Strong"/>
          <w:rFonts w:ascii="Times New Roman" w:hAnsi="Times New Roman" w:cs="Times New Roman"/>
          <w:b/>
          <w:bCs/>
        </w:rPr>
        <w:t>Overview</w:t>
      </w:r>
    </w:p>
    <w:p w:rsidR="003C5F40" w:rsidRPr="00B91C5B" w:rsidRDefault="003C5F40" w:rsidP="003C5F40">
      <w:pPr>
        <w:pStyle w:val="NormalWeb"/>
      </w:pPr>
      <w:r w:rsidRPr="00B91C5B">
        <w:t xml:space="preserve">This bar chart presents a detailed breakdown of total purchase amounts by customer state. Each bar represents the </w:t>
      </w:r>
      <w:r w:rsidRPr="00B91C5B">
        <w:rPr>
          <w:rStyle w:val="Strong"/>
        </w:rPr>
        <w:t>sum of prices</w:t>
      </w:r>
      <w:r w:rsidRPr="00B91C5B">
        <w:t xml:space="preserve"> of purchases made from each state, helping identify key markets and regional demand distribution.</w:t>
      </w:r>
    </w:p>
    <w:p w:rsidR="003C5F40" w:rsidRPr="00B91C5B" w:rsidRDefault="003C5F40" w:rsidP="003C5F40">
      <w:pPr>
        <w:rPr>
          <w:rFonts w:ascii="Times New Roman" w:hAnsi="Times New Roman" w:cs="Times New Roman"/>
        </w:rPr>
      </w:pPr>
      <w:r w:rsidRPr="00B91C5B">
        <w:rPr>
          <w:rFonts w:ascii="Times New Roman" w:hAnsi="Times New Roman" w:cs="Times New Roman"/>
          <w:noProof/>
          <w:lang w:val="en-IN" w:eastAsia="en-IN"/>
        </w:rPr>
        <w:lastRenderedPageBreak/>
        <w:drawing>
          <wp:inline distT="0" distB="0" distL="0" distR="0" wp14:anchorId="465B6A86" wp14:editId="3C127A56">
            <wp:extent cx="5486400" cy="3687445"/>
            <wp:effectExtent l="190500" t="190500" r="190500" b="1987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wise_analysi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7445"/>
                    </a:xfrm>
                    <a:prstGeom prst="rect">
                      <a:avLst/>
                    </a:prstGeom>
                    <a:ln>
                      <a:noFill/>
                    </a:ln>
                    <a:effectLst>
                      <a:outerShdw blurRad="190500" algn="tl" rotWithShape="0">
                        <a:srgbClr val="000000">
                          <a:alpha val="70000"/>
                        </a:srgbClr>
                      </a:outerShdw>
                    </a:effectLst>
                  </pic:spPr>
                </pic:pic>
              </a:graphicData>
            </a:graphic>
          </wp:inline>
        </w:drawing>
      </w:r>
      <w:r w:rsidR="00AB604D" w:rsidRPr="00B91C5B">
        <w:rPr>
          <w:rFonts w:ascii="Times New Roman" w:hAnsi="Times New Roman" w:cs="Times New Roman"/>
        </w:rPr>
        <w:t xml:space="preserve"> </w:t>
      </w:r>
    </w:p>
    <w:p w:rsidR="003C5F40" w:rsidRPr="00B91C5B" w:rsidRDefault="003C5F40" w:rsidP="003C5F40">
      <w:pPr>
        <w:pStyle w:val="Heading3"/>
        <w:rPr>
          <w:rFonts w:ascii="Times New Roman" w:hAnsi="Times New Roman" w:cs="Times New Roman"/>
        </w:rPr>
      </w:pPr>
      <w:r w:rsidRPr="00B91C5B">
        <w:rPr>
          <w:rStyle w:val="Strong"/>
          <w:rFonts w:ascii="Times New Roman" w:hAnsi="Times New Roman" w:cs="Times New Roman"/>
          <w:b/>
          <w:bCs/>
        </w:rPr>
        <w:t>Key Insights</w:t>
      </w:r>
    </w:p>
    <w:p w:rsidR="003C5F40" w:rsidRPr="00B91C5B" w:rsidRDefault="003C5F40" w:rsidP="003C5F40">
      <w:pPr>
        <w:pStyle w:val="NormalWeb"/>
        <w:numPr>
          <w:ilvl w:val="0"/>
          <w:numId w:val="16"/>
        </w:numPr>
      </w:pPr>
      <w:r w:rsidRPr="00B91C5B">
        <w:rPr>
          <w:rStyle w:val="Strong"/>
        </w:rPr>
        <w:t>Top Performing States:</w:t>
      </w:r>
    </w:p>
    <w:p w:rsidR="003C5F40" w:rsidRPr="00B91C5B" w:rsidRDefault="003C5F40" w:rsidP="003C5F40">
      <w:pPr>
        <w:pStyle w:val="NormalWeb"/>
        <w:numPr>
          <w:ilvl w:val="1"/>
          <w:numId w:val="16"/>
        </w:numPr>
      </w:pPr>
      <w:r w:rsidRPr="00B91C5B">
        <w:rPr>
          <w:rStyle w:val="Strong"/>
        </w:rPr>
        <w:t>São Paulo (SP)</w:t>
      </w:r>
      <w:r w:rsidRPr="00B91C5B">
        <w:t xml:space="preserve"> dominates with a massive </w:t>
      </w:r>
      <w:r w:rsidRPr="00B91C5B">
        <w:rPr>
          <w:rStyle w:val="Strong"/>
        </w:rPr>
        <w:t>5307K</w:t>
      </w:r>
      <w:r w:rsidRPr="00B91C5B">
        <w:t xml:space="preserve"> in total purchases, indicating a highly active and potentially profitable customer base.</w:t>
      </w:r>
    </w:p>
    <w:p w:rsidR="003C5F40" w:rsidRPr="00B91C5B" w:rsidRDefault="003C5F40" w:rsidP="003C5F40">
      <w:pPr>
        <w:pStyle w:val="NormalWeb"/>
        <w:numPr>
          <w:ilvl w:val="1"/>
          <w:numId w:val="16"/>
        </w:numPr>
      </w:pPr>
      <w:r w:rsidRPr="00B91C5B">
        <w:rPr>
          <w:rStyle w:val="Strong"/>
        </w:rPr>
        <w:t>Rio de Janeiro (RJ)</w:t>
      </w:r>
      <w:r w:rsidRPr="00B91C5B">
        <w:t xml:space="preserve"> follows with </w:t>
      </w:r>
      <w:proofErr w:type="gramStart"/>
      <w:r w:rsidRPr="00B91C5B">
        <w:rPr>
          <w:rStyle w:val="Strong"/>
        </w:rPr>
        <w:t>1846K</w:t>
      </w:r>
      <w:r w:rsidRPr="00B91C5B">
        <w:t>,</w:t>
      </w:r>
      <w:proofErr w:type="gramEnd"/>
      <w:r w:rsidRPr="00B91C5B">
        <w:t xml:space="preserve"> and </w:t>
      </w:r>
      <w:r w:rsidRPr="00B91C5B">
        <w:rPr>
          <w:rStyle w:val="Strong"/>
        </w:rPr>
        <w:t xml:space="preserve">Minas </w:t>
      </w:r>
      <w:proofErr w:type="spellStart"/>
      <w:r w:rsidRPr="00B91C5B">
        <w:rPr>
          <w:rStyle w:val="Strong"/>
        </w:rPr>
        <w:t>Gerais</w:t>
      </w:r>
      <w:proofErr w:type="spellEnd"/>
      <w:r w:rsidRPr="00B91C5B">
        <w:rPr>
          <w:rStyle w:val="Strong"/>
        </w:rPr>
        <w:t xml:space="preserve"> (MG)</w:t>
      </w:r>
      <w:r w:rsidRPr="00B91C5B">
        <w:t xml:space="preserve"> with </w:t>
      </w:r>
      <w:r w:rsidRPr="00B91C5B">
        <w:rPr>
          <w:rStyle w:val="Strong"/>
        </w:rPr>
        <w:t>1606K</w:t>
      </w:r>
      <w:r w:rsidRPr="00B91C5B">
        <w:t>, marking them as major commercial hubs.</w:t>
      </w:r>
    </w:p>
    <w:p w:rsidR="003C5F40" w:rsidRPr="00B91C5B" w:rsidRDefault="003C5F40" w:rsidP="003C5F40">
      <w:pPr>
        <w:pStyle w:val="NormalWeb"/>
        <w:numPr>
          <w:ilvl w:val="0"/>
          <w:numId w:val="16"/>
        </w:numPr>
      </w:pPr>
      <w:r w:rsidRPr="00B91C5B">
        <w:rPr>
          <w:rStyle w:val="Strong"/>
        </w:rPr>
        <w:t>Mid-Tier States:</w:t>
      </w:r>
    </w:p>
    <w:p w:rsidR="003C5F40" w:rsidRPr="00B91C5B" w:rsidRDefault="003C5F40" w:rsidP="003C5F40">
      <w:pPr>
        <w:pStyle w:val="NormalWeb"/>
        <w:numPr>
          <w:ilvl w:val="1"/>
          <w:numId w:val="16"/>
        </w:numPr>
      </w:pPr>
      <w:r w:rsidRPr="00B91C5B">
        <w:t xml:space="preserve">States like </w:t>
      </w:r>
      <w:r w:rsidRPr="00B91C5B">
        <w:rPr>
          <w:rStyle w:val="Strong"/>
        </w:rPr>
        <w:t xml:space="preserve">Rio Grande do </w:t>
      </w:r>
      <w:proofErr w:type="spellStart"/>
      <w:r w:rsidRPr="00B91C5B">
        <w:rPr>
          <w:rStyle w:val="Strong"/>
        </w:rPr>
        <w:t>Sul</w:t>
      </w:r>
      <w:proofErr w:type="spellEnd"/>
      <w:r w:rsidRPr="00B91C5B">
        <w:rPr>
          <w:rStyle w:val="Strong"/>
        </w:rPr>
        <w:t xml:space="preserve"> (RS)</w:t>
      </w:r>
      <w:r w:rsidRPr="00B91C5B">
        <w:t xml:space="preserve"> – </w:t>
      </w:r>
      <w:r w:rsidRPr="00B91C5B">
        <w:rPr>
          <w:rStyle w:val="Strong"/>
        </w:rPr>
        <w:t>766K</w:t>
      </w:r>
      <w:r w:rsidRPr="00B91C5B">
        <w:t xml:space="preserve">, </w:t>
      </w:r>
      <w:r w:rsidRPr="00B91C5B">
        <w:rPr>
          <w:rStyle w:val="Strong"/>
        </w:rPr>
        <w:t>Paraná (PR)</w:t>
      </w:r>
      <w:r w:rsidRPr="00B91C5B">
        <w:t xml:space="preserve"> – </w:t>
      </w:r>
      <w:r w:rsidRPr="00B91C5B">
        <w:rPr>
          <w:rStyle w:val="Strong"/>
        </w:rPr>
        <w:t>689K</w:t>
      </w:r>
      <w:r w:rsidRPr="00B91C5B">
        <w:t xml:space="preserve">, and </w:t>
      </w:r>
      <w:r w:rsidRPr="00B91C5B">
        <w:rPr>
          <w:rStyle w:val="Strong"/>
        </w:rPr>
        <w:t xml:space="preserve">Santa </w:t>
      </w:r>
      <w:proofErr w:type="spellStart"/>
      <w:r w:rsidRPr="00B91C5B">
        <w:rPr>
          <w:rStyle w:val="Strong"/>
        </w:rPr>
        <w:t>Catarina</w:t>
      </w:r>
      <w:proofErr w:type="spellEnd"/>
      <w:r w:rsidRPr="00B91C5B">
        <w:rPr>
          <w:rStyle w:val="Strong"/>
        </w:rPr>
        <w:t xml:space="preserve"> (SC)</w:t>
      </w:r>
      <w:r w:rsidRPr="00B91C5B">
        <w:t xml:space="preserve"> – </w:t>
      </w:r>
      <w:r w:rsidRPr="00B91C5B">
        <w:rPr>
          <w:rStyle w:val="Strong"/>
        </w:rPr>
        <w:t>524K</w:t>
      </w:r>
      <w:r w:rsidRPr="00B91C5B">
        <w:t xml:space="preserve"> show strong but slightly lower market activity.</w:t>
      </w:r>
    </w:p>
    <w:p w:rsidR="003C5F40" w:rsidRPr="00B91C5B" w:rsidRDefault="003C5F40" w:rsidP="003C5F40">
      <w:pPr>
        <w:pStyle w:val="NormalWeb"/>
        <w:numPr>
          <w:ilvl w:val="1"/>
          <w:numId w:val="16"/>
        </w:numPr>
      </w:pPr>
      <w:r w:rsidRPr="00B91C5B">
        <w:t xml:space="preserve">The presence of a significant value for </w:t>
      </w:r>
      <w:r w:rsidRPr="00B91C5B">
        <w:rPr>
          <w:rStyle w:val="Strong"/>
        </w:rPr>
        <w:t>(Blank)</w:t>
      </w:r>
      <w:r w:rsidRPr="00B91C5B">
        <w:t xml:space="preserve"> – </w:t>
      </w:r>
      <w:r w:rsidRPr="00B91C5B">
        <w:rPr>
          <w:rStyle w:val="Strong"/>
        </w:rPr>
        <w:t>396K</w:t>
      </w:r>
      <w:r w:rsidRPr="00B91C5B">
        <w:t xml:space="preserve"> indicates data with missing state entries, which could affect the accuracy of analysis.</w:t>
      </w:r>
    </w:p>
    <w:p w:rsidR="003C5F40" w:rsidRPr="00B91C5B" w:rsidRDefault="003C5F40" w:rsidP="003C5F40">
      <w:pPr>
        <w:pStyle w:val="NormalWeb"/>
        <w:numPr>
          <w:ilvl w:val="0"/>
          <w:numId w:val="16"/>
        </w:numPr>
      </w:pPr>
      <w:r w:rsidRPr="00B91C5B">
        <w:rPr>
          <w:rStyle w:val="Strong"/>
        </w:rPr>
        <w:t>Low Activity States:</w:t>
      </w:r>
    </w:p>
    <w:p w:rsidR="003C5F40" w:rsidRPr="00B91C5B" w:rsidRDefault="003C5F40" w:rsidP="003C5F40">
      <w:pPr>
        <w:pStyle w:val="NormalWeb"/>
        <w:numPr>
          <w:ilvl w:val="1"/>
          <w:numId w:val="16"/>
        </w:numPr>
      </w:pPr>
      <w:r w:rsidRPr="00B91C5B">
        <w:t xml:space="preserve">States such as </w:t>
      </w:r>
      <w:proofErr w:type="spellStart"/>
      <w:r w:rsidRPr="00B91C5B">
        <w:rPr>
          <w:rStyle w:val="Strong"/>
        </w:rPr>
        <w:t>Roraima</w:t>
      </w:r>
      <w:proofErr w:type="spellEnd"/>
      <w:r w:rsidRPr="00B91C5B">
        <w:rPr>
          <w:rStyle w:val="Strong"/>
        </w:rPr>
        <w:t xml:space="preserve"> (RR)</w:t>
      </w:r>
      <w:r w:rsidRPr="00B91C5B">
        <w:t xml:space="preserve"> – </w:t>
      </w:r>
      <w:r w:rsidRPr="00B91C5B">
        <w:rPr>
          <w:rStyle w:val="Strong"/>
        </w:rPr>
        <w:t>7K</w:t>
      </w:r>
      <w:r w:rsidRPr="00B91C5B">
        <w:t xml:space="preserve">, </w:t>
      </w:r>
      <w:proofErr w:type="spellStart"/>
      <w:r w:rsidRPr="00B91C5B">
        <w:rPr>
          <w:rStyle w:val="Strong"/>
        </w:rPr>
        <w:t>Amapá</w:t>
      </w:r>
      <w:proofErr w:type="spellEnd"/>
      <w:r w:rsidRPr="00B91C5B">
        <w:rPr>
          <w:rStyle w:val="Strong"/>
        </w:rPr>
        <w:t xml:space="preserve"> (AP)</w:t>
      </w:r>
      <w:r w:rsidRPr="00B91C5B">
        <w:t xml:space="preserve"> – </w:t>
      </w:r>
      <w:r w:rsidRPr="00B91C5B">
        <w:rPr>
          <w:rStyle w:val="Strong"/>
        </w:rPr>
        <w:t>14K</w:t>
      </w:r>
      <w:r w:rsidRPr="00B91C5B">
        <w:t xml:space="preserve">, and </w:t>
      </w:r>
      <w:r w:rsidRPr="00B91C5B">
        <w:rPr>
          <w:rStyle w:val="Strong"/>
        </w:rPr>
        <w:t>Acre (AC)</w:t>
      </w:r>
      <w:r w:rsidRPr="00B91C5B">
        <w:t xml:space="preserve"> – </w:t>
      </w:r>
      <w:r w:rsidRPr="00B91C5B">
        <w:rPr>
          <w:rStyle w:val="Strong"/>
        </w:rPr>
        <w:t>17K</w:t>
      </w:r>
      <w:r w:rsidRPr="00B91C5B">
        <w:t xml:space="preserve"> have the lowest purchasing values, possibly due to lower population density, limited digital access, or logistical challenges.</w:t>
      </w:r>
    </w:p>
    <w:p w:rsidR="003C5F40" w:rsidRPr="00B91C5B" w:rsidRDefault="003C5F40" w:rsidP="003C5F40">
      <w:pPr>
        <w:rPr>
          <w:rFonts w:ascii="Times New Roman" w:hAnsi="Times New Roman" w:cs="Times New Roman"/>
        </w:rPr>
      </w:pPr>
    </w:p>
    <w:p w:rsidR="003C5F40" w:rsidRPr="00B91C5B" w:rsidRDefault="003C5F40" w:rsidP="003C5F40">
      <w:pPr>
        <w:pStyle w:val="Heading3"/>
        <w:rPr>
          <w:rFonts w:ascii="Times New Roman" w:hAnsi="Times New Roman" w:cs="Times New Roman"/>
        </w:rPr>
      </w:pPr>
      <w:r w:rsidRPr="00B91C5B">
        <w:rPr>
          <w:rStyle w:val="Strong"/>
          <w:rFonts w:ascii="Times New Roman" w:hAnsi="Times New Roman" w:cs="Times New Roman"/>
          <w:b/>
          <w:bCs/>
        </w:rPr>
        <w:lastRenderedPageBreak/>
        <w:t>Business Implications &amp; Recommendations</w:t>
      </w:r>
    </w:p>
    <w:p w:rsidR="003C5F40" w:rsidRPr="00B91C5B" w:rsidRDefault="003C5F40" w:rsidP="003C5F40">
      <w:pPr>
        <w:pStyle w:val="NormalWeb"/>
        <w:numPr>
          <w:ilvl w:val="0"/>
          <w:numId w:val="17"/>
        </w:numPr>
      </w:pPr>
      <w:r w:rsidRPr="00B91C5B">
        <w:rPr>
          <w:rStyle w:val="Strong"/>
        </w:rPr>
        <w:t>Focus on High-Value States:</w:t>
      </w:r>
    </w:p>
    <w:p w:rsidR="003C5F40" w:rsidRPr="00B91C5B" w:rsidRDefault="003C5F40" w:rsidP="003C5F40">
      <w:pPr>
        <w:pStyle w:val="NormalWeb"/>
        <w:numPr>
          <w:ilvl w:val="1"/>
          <w:numId w:val="17"/>
        </w:numPr>
      </w:pPr>
      <w:r w:rsidRPr="00B91C5B">
        <w:t xml:space="preserve">Invest more in marketing, </w:t>
      </w:r>
      <w:proofErr w:type="spellStart"/>
      <w:r w:rsidRPr="00B91C5B">
        <w:t>fulfillment</w:t>
      </w:r>
      <w:proofErr w:type="spellEnd"/>
      <w:r w:rsidRPr="00B91C5B">
        <w:t xml:space="preserve"> </w:t>
      </w:r>
      <w:proofErr w:type="spellStart"/>
      <w:r w:rsidRPr="00B91C5B">
        <w:t>centers</w:t>
      </w:r>
      <w:proofErr w:type="spellEnd"/>
      <w:r w:rsidRPr="00B91C5B">
        <w:t>, and customer engagement in SP, RJ, and MG to maximize ROI from high-demand regions.</w:t>
      </w:r>
    </w:p>
    <w:p w:rsidR="003C5F40" w:rsidRPr="00B91C5B" w:rsidRDefault="003C5F40" w:rsidP="003C5F40">
      <w:pPr>
        <w:pStyle w:val="NormalWeb"/>
        <w:numPr>
          <w:ilvl w:val="0"/>
          <w:numId w:val="17"/>
        </w:numPr>
      </w:pPr>
      <w:r w:rsidRPr="00B91C5B">
        <w:rPr>
          <w:rStyle w:val="Strong"/>
        </w:rPr>
        <w:t>Data Quality Improvement:</w:t>
      </w:r>
    </w:p>
    <w:p w:rsidR="003C5F40" w:rsidRPr="00B91C5B" w:rsidRDefault="003C5F40" w:rsidP="003C5F40">
      <w:pPr>
        <w:pStyle w:val="NormalWeb"/>
        <w:numPr>
          <w:ilvl w:val="1"/>
          <w:numId w:val="17"/>
        </w:numPr>
      </w:pPr>
      <w:r w:rsidRPr="00B91C5B">
        <w:t xml:space="preserve">Resolve the </w:t>
      </w:r>
      <w:r w:rsidRPr="00B91C5B">
        <w:rPr>
          <w:rStyle w:val="Strong"/>
        </w:rPr>
        <w:t>(Blank)</w:t>
      </w:r>
      <w:r w:rsidRPr="00B91C5B">
        <w:t xml:space="preserve"> entries to ensure complete and accurate regional analytics.</w:t>
      </w:r>
    </w:p>
    <w:p w:rsidR="003C5F40" w:rsidRPr="00B91C5B" w:rsidRDefault="003C5F40" w:rsidP="003C5F40">
      <w:pPr>
        <w:pStyle w:val="NormalWeb"/>
        <w:numPr>
          <w:ilvl w:val="0"/>
          <w:numId w:val="17"/>
        </w:numPr>
      </w:pPr>
      <w:r w:rsidRPr="00B91C5B">
        <w:rPr>
          <w:rStyle w:val="Strong"/>
        </w:rPr>
        <w:t>Growth Opportunities:</w:t>
      </w:r>
    </w:p>
    <w:p w:rsidR="003C5F40" w:rsidRPr="00B91C5B" w:rsidRDefault="003C5F40" w:rsidP="003C5F40">
      <w:pPr>
        <w:pStyle w:val="NormalWeb"/>
        <w:numPr>
          <w:ilvl w:val="1"/>
          <w:numId w:val="17"/>
        </w:numPr>
      </w:pPr>
      <w:r w:rsidRPr="00B91C5B">
        <w:t>Mid-tier states like RS, PR, and SC could be targeted with localized campaigns to boost engagement and move them to higher tiers.</w:t>
      </w:r>
    </w:p>
    <w:p w:rsidR="003C5F40" w:rsidRPr="00B91C5B" w:rsidRDefault="003C5F40" w:rsidP="003C5F40">
      <w:pPr>
        <w:pStyle w:val="NormalWeb"/>
        <w:numPr>
          <w:ilvl w:val="0"/>
          <w:numId w:val="17"/>
        </w:numPr>
      </w:pPr>
      <w:r w:rsidRPr="00B91C5B">
        <w:rPr>
          <w:rStyle w:val="Strong"/>
        </w:rPr>
        <w:t>Addressing Low Activity:</w:t>
      </w:r>
    </w:p>
    <w:p w:rsidR="003C5F40" w:rsidRPr="00B91C5B" w:rsidRDefault="003C5F40" w:rsidP="003C5F40">
      <w:pPr>
        <w:pStyle w:val="NormalWeb"/>
        <w:numPr>
          <w:ilvl w:val="1"/>
          <w:numId w:val="17"/>
        </w:numPr>
      </w:pPr>
      <w:proofErr w:type="spellStart"/>
      <w:r w:rsidRPr="00B91C5B">
        <w:t>Analyze</w:t>
      </w:r>
      <w:proofErr w:type="spellEnd"/>
      <w:r w:rsidRPr="00B91C5B">
        <w:t xml:space="preserve"> constraints in low-performing states (e.g., delivery delays, payment options) and explore partnerships or promotions to tap into underserved markets.</w:t>
      </w:r>
    </w:p>
    <w:p w:rsidR="00AB604D" w:rsidRPr="00B91C5B" w:rsidRDefault="00AB604D" w:rsidP="00AB604D">
      <w:pPr>
        <w:pStyle w:val="NormalWeb"/>
      </w:pPr>
    </w:p>
    <w:p w:rsidR="00E10636" w:rsidRPr="00B91C5B" w:rsidRDefault="00E10636" w:rsidP="00E10636">
      <w:pPr>
        <w:pStyle w:val="Heading2"/>
        <w:rPr>
          <w:rFonts w:ascii="Times New Roman" w:hAnsi="Times New Roman" w:cs="Times New Roman"/>
        </w:rPr>
      </w:pPr>
      <w:r w:rsidRPr="00B91C5B">
        <w:rPr>
          <w:rStyle w:val="Strong"/>
          <w:rFonts w:ascii="Times New Roman" w:hAnsi="Times New Roman" w:cs="Times New Roman"/>
          <w:b/>
          <w:bCs/>
        </w:rPr>
        <w:t>Seasonal Sale Analysis</w:t>
      </w:r>
    </w:p>
    <w:p w:rsidR="00E10636" w:rsidRPr="00B91C5B" w:rsidRDefault="00E10636" w:rsidP="00E10636">
      <w:pPr>
        <w:pStyle w:val="Heading3"/>
        <w:rPr>
          <w:rFonts w:ascii="Times New Roman" w:hAnsi="Times New Roman" w:cs="Times New Roman"/>
        </w:rPr>
      </w:pPr>
      <w:r w:rsidRPr="00B91C5B">
        <w:rPr>
          <w:rStyle w:val="Strong"/>
          <w:rFonts w:ascii="Times New Roman" w:hAnsi="Times New Roman" w:cs="Times New Roman"/>
          <w:b/>
          <w:bCs/>
        </w:rPr>
        <w:t>Overview</w:t>
      </w:r>
    </w:p>
    <w:p w:rsidR="00E10636" w:rsidRPr="00B91C5B" w:rsidRDefault="00E10636" w:rsidP="00B91C5B">
      <w:pPr>
        <w:pStyle w:val="NormalWeb"/>
      </w:pPr>
      <w:r w:rsidRPr="00B91C5B">
        <w:t xml:space="preserve">The chart above showcases the </w:t>
      </w:r>
      <w:r w:rsidRPr="00B91C5B">
        <w:rPr>
          <w:rStyle w:val="Strong"/>
        </w:rPr>
        <w:t>total sales performance segmented by financial quarters (Q1 to Q4)</w:t>
      </w:r>
      <w:r w:rsidRPr="00B91C5B">
        <w:t>. This analysis helps identify seasonal sales trends and determine peak and low-performing periods within the business cycle.</w:t>
      </w:r>
    </w:p>
    <w:p w:rsidR="00E10636" w:rsidRPr="00B91C5B" w:rsidRDefault="00B91C5B" w:rsidP="00B91C5B">
      <w:pPr>
        <w:jc w:val="center"/>
        <w:rPr>
          <w:rFonts w:ascii="Times New Roman" w:hAnsi="Times New Roman" w:cs="Times New Roman"/>
        </w:rPr>
      </w:pPr>
      <w:r w:rsidRPr="00B91C5B">
        <w:rPr>
          <w:rFonts w:ascii="Times New Roman" w:hAnsi="Times New Roman" w:cs="Times New Roman"/>
          <w:noProof/>
          <w:lang w:val="en-IN" w:eastAsia="en-IN"/>
        </w:rPr>
        <w:drawing>
          <wp:inline distT="0" distB="0" distL="0" distR="0" wp14:anchorId="2BEBFF0C" wp14:editId="17A445FB">
            <wp:extent cx="4003963" cy="2725383"/>
            <wp:effectExtent l="190500" t="190500" r="187325" b="1898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_sale_anaylsis.png"/>
                    <pic:cNvPicPr/>
                  </pic:nvPicPr>
                  <pic:blipFill>
                    <a:blip r:embed="rId13">
                      <a:extLst>
                        <a:ext uri="{28A0092B-C50C-407E-A947-70E740481C1C}">
                          <a14:useLocalDpi xmlns:a14="http://schemas.microsoft.com/office/drawing/2010/main" val="0"/>
                        </a:ext>
                      </a:extLst>
                    </a:blip>
                    <a:stretch>
                      <a:fillRect/>
                    </a:stretch>
                  </pic:blipFill>
                  <pic:spPr>
                    <a:xfrm>
                      <a:off x="0" y="0"/>
                      <a:ext cx="4002168" cy="2724161"/>
                    </a:xfrm>
                    <a:prstGeom prst="rect">
                      <a:avLst/>
                    </a:prstGeom>
                    <a:ln>
                      <a:noFill/>
                    </a:ln>
                    <a:effectLst>
                      <a:outerShdw blurRad="190500" algn="tl" rotWithShape="0">
                        <a:srgbClr val="000000">
                          <a:alpha val="70000"/>
                        </a:srgbClr>
                      </a:outerShdw>
                    </a:effectLst>
                  </pic:spPr>
                </pic:pic>
              </a:graphicData>
            </a:graphic>
          </wp:inline>
        </w:drawing>
      </w:r>
    </w:p>
    <w:p w:rsidR="00E10636" w:rsidRPr="00B91C5B" w:rsidRDefault="00E10636" w:rsidP="00E10636">
      <w:pPr>
        <w:pStyle w:val="Heading3"/>
        <w:rPr>
          <w:rFonts w:ascii="Times New Roman" w:hAnsi="Times New Roman" w:cs="Times New Roman"/>
        </w:rPr>
      </w:pPr>
      <w:r w:rsidRPr="00B91C5B">
        <w:rPr>
          <w:rStyle w:val="Strong"/>
          <w:rFonts w:ascii="Times New Roman" w:hAnsi="Times New Roman" w:cs="Times New Roman"/>
          <w:b/>
          <w:bCs/>
        </w:rPr>
        <w:lastRenderedPageBreak/>
        <w:t>Quarter-wise Sales Breakdown</w:t>
      </w:r>
    </w:p>
    <w:p w:rsidR="00E10636" w:rsidRPr="00B91C5B" w:rsidRDefault="00E10636" w:rsidP="00E10636">
      <w:pPr>
        <w:pStyle w:val="NormalWeb"/>
        <w:numPr>
          <w:ilvl w:val="0"/>
          <w:numId w:val="20"/>
        </w:numPr>
      </w:pPr>
      <w:r w:rsidRPr="00B91C5B">
        <w:rPr>
          <w:rStyle w:val="Strong"/>
        </w:rPr>
        <w:t>Quarter 2 (Q2):</w:t>
      </w:r>
    </w:p>
    <w:p w:rsidR="00E10636" w:rsidRPr="00B91C5B" w:rsidRDefault="00E10636" w:rsidP="00E10636">
      <w:pPr>
        <w:pStyle w:val="NormalWeb"/>
        <w:numPr>
          <w:ilvl w:val="1"/>
          <w:numId w:val="20"/>
        </w:numPr>
      </w:pPr>
      <w:r w:rsidRPr="00B91C5B">
        <w:rPr>
          <w:rStyle w:val="Strong"/>
        </w:rPr>
        <w:t>Total Sales: 4250K</w:t>
      </w:r>
    </w:p>
    <w:p w:rsidR="00E10636" w:rsidRPr="00B91C5B" w:rsidRDefault="00E10636" w:rsidP="00E10636">
      <w:pPr>
        <w:pStyle w:val="NormalWeb"/>
        <w:numPr>
          <w:ilvl w:val="1"/>
          <w:numId w:val="20"/>
        </w:numPr>
      </w:pPr>
      <w:r w:rsidRPr="00B91C5B">
        <w:t xml:space="preserve">This is the </w:t>
      </w:r>
      <w:r w:rsidRPr="00B91C5B">
        <w:rPr>
          <w:rStyle w:val="Strong"/>
        </w:rPr>
        <w:t>best-performing quarter</w:t>
      </w:r>
      <w:r w:rsidRPr="00B91C5B">
        <w:t>, indicating a seasonal sales peak likely influenced by mid-year promotions, festivals, or product launches. This period shows the highest customer activity and purchase volume.</w:t>
      </w:r>
    </w:p>
    <w:p w:rsidR="00E10636" w:rsidRPr="00B91C5B" w:rsidRDefault="00E10636" w:rsidP="00E10636">
      <w:pPr>
        <w:pStyle w:val="NormalWeb"/>
        <w:numPr>
          <w:ilvl w:val="0"/>
          <w:numId w:val="20"/>
        </w:numPr>
      </w:pPr>
      <w:r w:rsidRPr="00B91C5B">
        <w:rPr>
          <w:rStyle w:val="Strong"/>
        </w:rPr>
        <w:t>Quarter 1 (Q1):</w:t>
      </w:r>
    </w:p>
    <w:p w:rsidR="00E10636" w:rsidRPr="00B91C5B" w:rsidRDefault="00E10636" w:rsidP="00E10636">
      <w:pPr>
        <w:pStyle w:val="NormalWeb"/>
        <w:numPr>
          <w:ilvl w:val="1"/>
          <w:numId w:val="20"/>
        </w:numPr>
      </w:pPr>
      <w:r w:rsidRPr="00B91C5B">
        <w:rPr>
          <w:rStyle w:val="Strong"/>
        </w:rPr>
        <w:t>Total Sales: 3564K</w:t>
      </w:r>
    </w:p>
    <w:p w:rsidR="00E10636" w:rsidRPr="00B91C5B" w:rsidRDefault="00E10636" w:rsidP="00E10636">
      <w:pPr>
        <w:pStyle w:val="NormalWeb"/>
        <w:numPr>
          <w:ilvl w:val="1"/>
          <w:numId w:val="20"/>
        </w:numPr>
      </w:pPr>
      <w:r w:rsidRPr="00B91C5B">
        <w:t xml:space="preserve">A strong start to the year, possibly driven by New Year campaigns, clearance sales, or post-holiday shopping </w:t>
      </w:r>
      <w:proofErr w:type="spellStart"/>
      <w:r w:rsidRPr="00B91C5B">
        <w:t>behavior</w:t>
      </w:r>
      <w:proofErr w:type="spellEnd"/>
      <w:r w:rsidRPr="00B91C5B">
        <w:t>.</w:t>
      </w:r>
    </w:p>
    <w:p w:rsidR="00E10636" w:rsidRPr="00B91C5B" w:rsidRDefault="00E10636" w:rsidP="00E10636">
      <w:pPr>
        <w:pStyle w:val="NormalWeb"/>
        <w:numPr>
          <w:ilvl w:val="0"/>
          <w:numId w:val="20"/>
        </w:numPr>
      </w:pPr>
      <w:r w:rsidRPr="00B91C5B">
        <w:rPr>
          <w:rStyle w:val="Strong"/>
        </w:rPr>
        <w:t>Quarter 3 (Q3):</w:t>
      </w:r>
    </w:p>
    <w:p w:rsidR="00E10636" w:rsidRPr="00B91C5B" w:rsidRDefault="00E10636" w:rsidP="00E10636">
      <w:pPr>
        <w:pStyle w:val="NormalWeb"/>
        <w:numPr>
          <w:ilvl w:val="1"/>
          <w:numId w:val="20"/>
        </w:numPr>
      </w:pPr>
      <w:r w:rsidRPr="00B91C5B">
        <w:rPr>
          <w:rStyle w:val="Strong"/>
        </w:rPr>
        <w:t>Total Sales: 3505K</w:t>
      </w:r>
    </w:p>
    <w:p w:rsidR="00E10636" w:rsidRPr="00B91C5B" w:rsidRDefault="00E10636" w:rsidP="00E10636">
      <w:pPr>
        <w:pStyle w:val="NormalWeb"/>
        <w:numPr>
          <w:ilvl w:val="1"/>
          <w:numId w:val="20"/>
        </w:numPr>
      </w:pPr>
      <w:r w:rsidRPr="00B91C5B">
        <w:t>Close in performance to Q1, indicating a steady demand through mid-to-late year. It suggests consistent customer engagement without extreme fluctuations.</w:t>
      </w:r>
    </w:p>
    <w:p w:rsidR="00E10636" w:rsidRPr="00B91C5B" w:rsidRDefault="00E10636" w:rsidP="00E10636">
      <w:pPr>
        <w:pStyle w:val="NormalWeb"/>
        <w:numPr>
          <w:ilvl w:val="0"/>
          <w:numId w:val="20"/>
        </w:numPr>
      </w:pPr>
      <w:r w:rsidRPr="00B91C5B">
        <w:rPr>
          <w:rStyle w:val="Strong"/>
        </w:rPr>
        <w:t>Quarter 4 (Q4):</w:t>
      </w:r>
    </w:p>
    <w:p w:rsidR="00E10636" w:rsidRPr="00B91C5B" w:rsidRDefault="00E10636" w:rsidP="00E10636">
      <w:pPr>
        <w:pStyle w:val="NormalWeb"/>
        <w:numPr>
          <w:ilvl w:val="1"/>
          <w:numId w:val="20"/>
        </w:numPr>
      </w:pPr>
      <w:r w:rsidRPr="00B91C5B">
        <w:rPr>
          <w:rStyle w:val="Strong"/>
        </w:rPr>
        <w:t>Total Sales: 2495K</w:t>
      </w:r>
    </w:p>
    <w:p w:rsidR="00E10636" w:rsidRPr="00B91C5B" w:rsidRDefault="00E10636" w:rsidP="00E10636">
      <w:pPr>
        <w:pStyle w:val="NormalWeb"/>
        <w:numPr>
          <w:ilvl w:val="1"/>
          <w:numId w:val="20"/>
        </w:numPr>
      </w:pPr>
      <w:r w:rsidRPr="00B91C5B">
        <w:t xml:space="preserve">This quarter recorded the </w:t>
      </w:r>
      <w:r w:rsidRPr="00B91C5B">
        <w:rPr>
          <w:rStyle w:val="Strong"/>
        </w:rPr>
        <w:t>lowest total sales</w:t>
      </w:r>
      <w:r w:rsidRPr="00B91C5B">
        <w:t xml:space="preserve"> despite usually hosting major shopping events like Black Friday, Cyber Monday, and holiday sales. This could point to missed marketing opportunities or supply chain issues during this period.</w:t>
      </w:r>
    </w:p>
    <w:p w:rsidR="00E10636" w:rsidRPr="00B91C5B" w:rsidRDefault="00E10636" w:rsidP="00E10636">
      <w:pPr>
        <w:pStyle w:val="Heading3"/>
        <w:rPr>
          <w:rFonts w:ascii="Times New Roman" w:hAnsi="Times New Roman" w:cs="Times New Roman"/>
        </w:rPr>
      </w:pPr>
      <w:r w:rsidRPr="00B91C5B">
        <w:rPr>
          <w:rStyle w:val="Strong"/>
          <w:rFonts w:ascii="Times New Roman" w:hAnsi="Times New Roman" w:cs="Times New Roman"/>
          <w:b/>
          <w:bCs/>
        </w:rPr>
        <w:t>Insights &amp; Recommendations</w:t>
      </w:r>
    </w:p>
    <w:p w:rsidR="00E10636" w:rsidRPr="00B91C5B" w:rsidRDefault="00E10636" w:rsidP="00E10636">
      <w:pPr>
        <w:pStyle w:val="NormalWeb"/>
        <w:numPr>
          <w:ilvl w:val="0"/>
          <w:numId w:val="21"/>
        </w:numPr>
      </w:pPr>
      <w:r w:rsidRPr="00B91C5B">
        <w:rPr>
          <w:rStyle w:val="Strong"/>
        </w:rPr>
        <w:t>Focus on Q2 Campaigns</w:t>
      </w:r>
      <w:proofErr w:type="gramStart"/>
      <w:r w:rsidRPr="00B91C5B">
        <w:rPr>
          <w:rStyle w:val="Strong"/>
        </w:rPr>
        <w:t>:</w:t>
      </w:r>
      <w:proofErr w:type="gramEnd"/>
      <w:r w:rsidRPr="00B91C5B">
        <w:br/>
        <w:t>Leverage Q2’s proven success by increasing marketing spend and optimizing product availability during this peak season.</w:t>
      </w:r>
    </w:p>
    <w:p w:rsidR="00E10636" w:rsidRPr="00B91C5B" w:rsidRDefault="00E10636" w:rsidP="00E10636">
      <w:pPr>
        <w:pStyle w:val="NormalWeb"/>
        <w:numPr>
          <w:ilvl w:val="0"/>
          <w:numId w:val="21"/>
        </w:numPr>
      </w:pPr>
      <w:r w:rsidRPr="00B91C5B">
        <w:rPr>
          <w:rStyle w:val="Strong"/>
        </w:rPr>
        <w:t>Q4 Sales Recovery Strategy</w:t>
      </w:r>
      <w:proofErr w:type="gramStart"/>
      <w:r w:rsidRPr="00B91C5B">
        <w:rPr>
          <w:rStyle w:val="Strong"/>
        </w:rPr>
        <w:t>:</w:t>
      </w:r>
      <w:proofErr w:type="gramEnd"/>
      <w:r w:rsidRPr="00B91C5B">
        <w:br/>
        <w:t>Investigate why Q4 underperformed. Potential improvements could include early promotions, more competitive pricing, or improved delivery timelines before holidays.</w:t>
      </w:r>
    </w:p>
    <w:p w:rsidR="00E10636" w:rsidRPr="00B91C5B" w:rsidRDefault="00E10636" w:rsidP="00E10636">
      <w:pPr>
        <w:pStyle w:val="NormalWeb"/>
        <w:numPr>
          <w:ilvl w:val="0"/>
          <w:numId w:val="21"/>
        </w:numPr>
      </w:pPr>
      <w:r w:rsidRPr="00B91C5B">
        <w:rPr>
          <w:rStyle w:val="Strong"/>
        </w:rPr>
        <w:t>Maintain Momentum in Q1 &amp; Q3</w:t>
      </w:r>
      <w:proofErr w:type="gramStart"/>
      <w:r w:rsidRPr="00B91C5B">
        <w:rPr>
          <w:rStyle w:val="Strong"/>
        </w:rPr>
        <w:t>:</w:t>
      </w:r>
      <w:proofErr w:type="gramEnd"/>
      <w:r w:rsidRPr="00B91C5B">
        <w:br/>
        <w:t>Since these quarters show balanced sales performance, focus on customer retention, loyalty programs, and timely stock replenishment to maintain growth.</w:t>
      </w:r>
    </w:p>
    <w:p w:rsidR="00E10636" w:rsidRPr="00B91C5B" w:rsidRDefault="00E10636" w:rsidP="00E10636">
      <w:pPr>
        <w:pStyle w:val="NormalWeb"/>
        <w:numPr>
          <w:ilvl w:val="0"/>
          <w:numId w:val="21"/>
        </w:numPr>
      </w:pPr>
      <w:r w:rsidRPr="00B91C5B">
        <w:rPr>
          <w:rStyle w:val="Strong"/>
        </w:rPr>
        <w:t>Seasonal Inventory Planning</w:t>
      </w:r>
      <w:proofErr w:type="gramStart"/>
      <w:r w:rsidRPr="00B91C5B">
        <w:rPr>
          <w:rStyle w:val="Strong"/>
        </w:rPr>
        <w:t>:</w:t>
      </w:r>
      <w:proofErr w:type="gramEnd"/>
      <w:r w:rsidRPr="00B91C5B">
        <w:br/>
        <w:t>Use this data to forecast demand and plan inventory levels more accurately for each quarter.</w:t>
      </w:r>
    </w:p>
    <w:p w:rsidR="00B91C5B" w:rsidRPr="00B91C5B" w:rsidRDefault="00B91C5B" w:rsidP="00B91C5B">
      <w:pPr>
        <w:pStyle w:val="Heading2"/>
        <w:rPr>
          <w:rFonts w:ascii="Times New Roman" w:hAnsi="Times New Roman" w:cs="Times New Roman"/>
        </w:rPr>
      </w:pPr>
      <w:r w:rsidRPr="00B91C5B">
        <w:rPr>
          <w:rStyle w:val="Strong"/>
          <w:rFonts w:ascii="Times New Roman" w:hAnsi="Times New Roman" w:cs="Times New Roman"/>
          <w:b/>
          <w:bCs/>
        </w:rPr>
        <w:t>Revenue Analysis (2016–2018)</w:t>
      </w:r>
    </w:p>
    <w:p w:rsidR="00B91C5B" w:rsidRPr="00B91C5B" w:rsidRDefault="00B91C5B" w:rsidP="00B91C5B">
      <w:pPr>
        <w:pStyle w:val="Heading3"/>
        <w:rPr>
          <w:rFonts w:ascii="Times New Roman" w:hAnsi="Times New Roman" w:cs="Times New Roman"/>
        </w:rPr>
      </w:pPr>
      <w:r w:rsidRPr="00B91C5B">
        <w:rPr>
          <w:rStyle w:val="Strong"/>
          <w:rFonts w:ascii="Times New Roman" w:hAnsi="Times New Roman" w:cs="Times New Roman"/>
          <w:b/>
          <w:bCs/>
        </w:rPr>
        <w:t>Overview</w:t>
      </w:r>
    </w:p>
    <w:p w:rsidR="00B91C5B" w:rsidRPr="00B91C5B" w:rsidRDefault="00B91C5B" w:rsidP="00B91C5B">
      <w:pPr>
        <w:pStyle w:val="NormalWeb"/>
      </w:pPr>
      <w:r w:rsidRPr="00B91C5B">
        <w:t>The chart presents the total sales revenue across three consecutive years — 2016, 2017, and 2018 — offering a clear view of the company's annual growth trajectory.</w:t>
      </w:r>
    </w:p>
    <w:p w:rsidR="00B91C5B" w:rsidRPr="00B91C5B" w:rsidRDefault="00B91C5B" w:rsidP="00B91C5B">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4864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_anaylsi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17290"/>
                    </a:xfrm>
                    <a:prstGeom prst="rect">
                      <a:avLst/>
                    </a:prstGeom>
                  </pic:spPr>
                </pic:pic>
              </a:graphicData>
            </a:graphic>
          </wp:inline>
        </w:drawing>
      </w:r>
    </w:p>
    <w:p w:rsidR="00B91C5B" w:rsidRPr="00B91C5B" w:rsidRDefault="00B91C5B" w:rsidP="00B91C5B">
      <w:pPr>
        <w:pStyle w:val="Heading3"/>
        <w:rPr>
          <w:rFonts w:ascii="Times New Roman" w:hAnsi="Times New Roman" w:cs="Times New Roman"/>
        </w:rPr>
      </w:pPr>
      <w:r w:rsidRPr="00B91C5B">
        <w:rPr>
          <w:rStyle w:val="Strong"/>
          <w:rFonts w:ascii="Times New Roman" w:hAnsi="Times New Roman" w:cs="Times New Roman"/>
          <w:b/>
          <w:bCs/>
        </w:rPr>
        <w:t>Year-wise Revenue Breakdown</w:t>
      </w:r>
    </w:p>
    <w:p w:rsidR="00B91C5B" w:rsidRPr="00B91C5B" w:rsidRDefault="00B91C5B" w:rsidP="00B91C5B">
      <w:pPr>
        <w:pStyle w:val="NormalWeb"/>
        <w:numPr>
          <w:ilvl w:val="0"/>
          <w:numId w:val="22"/>
        </w:numPr>
      </w:pPr>
      <w:r w:rsidRPr="00B91C5B">
        <w:rPr>
          <w:rStyle w:val="Strong"/>
        </w:rPr>
        <w:t>2016:</w:t>
      </w:r>
    </w:p>
    <w:p w:rsidR="00B91C5B" w:rsidRPr="00B91C5B" w:rsidRDefault="00B91C5B" w:rsidP="00B91C5B">
      <w:pPr>
        <w:pStyle w:val="NormalWeb"/>
        <w:numPr>
          <w:ilvl w:val="1"/>
          <w:numId w:val="22"/>
        </w:numPr>
      </w:pPr>
      <w:r w:rsidRPr="00B91C5B">
        <w:t xml:space="preserve">Revenue is negligible, indicating either the initial phase of operations or minimal market presence. This year likely involved foundational activities such as platform setup, vendor </w:t>
      </w:r>
      <w:proofErr w:type="spellStart"/>
      <w:r w:rsidRPr="00B91C5B">
        <w:t>onboarding</w:t>
      </w:r>
      <w:proofErr w:type="spellEnd"/>
      <w:r w:rsidRPr="00B91C5B">
        <w:t>, or soft launch efforts.</w:t>
      </w:r>
    </w:p>
    <w:p w:rsidR="00B91C5B" w:rsidRPr="00B91C5B" w:rsidRDefault="00B91C5B" w:rsidP="00B91C5B">
      <w:pPr>
        <w:pStyle w:val="NormalWeb"/>
        <w:numPr>
          <w:ilvl w:val="0"/>
          <w:numId w:val="22"/>
        </w:numPr>
      </w:pPr>
      <w:r w:rsidRPr="00B91C5B">
        <w:rPr>
          <w:rStyle w:val="Strong"/>
        </w:rPr>
        <w:t>2017:</w:t>
      </w:r>
    </w:p>
    <w:p w:rsidR="00B91C5B" w:rsidRPr="00B91C5B" w:rsidRDefault="00B91C5B" w:rsidP="00B91C5B">
      <w:pPr>
        <w:pStyle w:val="NormalWeb"/>
        <w:numPr>
          <w:ilvl w:val="1"/>
          <w:numId w:val="22"/>
        </w:numPr>
      </w:pPr>
      <w:r w:rsidRPr="00B91C5B">
        <w:rPr>
          <w:rStyle w:val="Strong"/>
        </w:rPr>
        <w:t>Total Sales: 6,270K</w:t>
      </w:r>
    </w:p>
    <w:p w:rsidR="00B91C5B" w:rsidRPr="00B91C5B" w:rsidRDefault="00B91C5B" w:rsidP="00B91C5B">
      <w:pPr>
        <w:pStyle w:val="NormalWeb"/>
        <w:numPr>
          <w:ilvl w:val="1"/>
          <w:numId w:val="22"/>
        </w:numPr>
      </w:pPr>
      <w:r w:rsidRPr="00B91C5B">
        <w:t>A significant surge in revenue occurred in 2017, marking a successful scale-up phase. This leap suggests increased customer acquisition, expanded product offerings, improved logistics, and possibly aggressive marketing campaigns.</w:t>
      </w:r>
    </w:p>
    <w:p w:rsidR="00B91C5B" w:rsidRPr="00B91C5B" w:rsidRDefault="00B91C5B" w:rsidP="00B91C5B">
      <w:pPr>
        <w:pStyle w:val="NormalWeb"/>
        <w:numPr>
          <w:ilvl w:val="0"/>
          <w:numId w:val="22"/>
        </w:numPr>
      </w:pPr>
      <w:r w:rsidRPr="00B91C5B">
        <w:rPr>
          <w:rStyle w:val="Strong"/>
        </w:rPr>
        <w:t>2018:</w:t>
      </w:r>
    </w:p>
    <w:p w:rsidR="00B91C5B" w:rsidRPr="00B91C5B" w:rsidRDefault="00B91C5B" w:rsidP="00B91C5B">
      <w:pPr>
        <w:pStyle w:val="NormalWeb"/>
        <w:numPr>
          <w:ilvl w:val="1"/>
          <w:numId w:val="22"/>
        </w:numPr>
      </w:pPr>
      <w:r w:rsidRPr="00B91C5B">
        <w:rPr>
          <w:rStyle w:val="Strong"/>
        </w:rPr>
        <w:t>Total Sales: 7,501K</w:t>
      </w:r>
    </w:p>
    <w:p w:rsidR="00B91C5B" w:rsidRPr="00B91C5B" w:rsidRDefault="00B91C5B" w:rsidP="00B91C5B">
      <w:pPr>
        <w:pStyle w:val="NormalWeb"/>
        <w:numPr>
          <w:ilvl w:val="1"/>
          <w:numId w:val="22"/>
        </w:numPr>
      </w:pPr>
      <w:r w:rsidRPr="00B91C5B">
        <w:t xml:space="preserve">The upward trend continued in 2018 with a </w:t>
      </w:r>
      <w:r w:rsidRPr="00B91C5B">
        <w:rPr>
          <w:rStyle w:val="Strong"/>
        </w:rPr>
        <w:t>19.6% increase</w:t>
      </w:r>
      <w:r w:rsidRPr="00B91C5B">
        <w:t xml:space="preserve"> in total sales compared to the previous year. The business seems to have sustained its momentum through strategic growth initiatives and customer retention.</w:t>
      </w:r>
    </w:p>
    <w:p w:rsidR="00B91C5B" w:rsidRPr="00B91C5B" w:rsidRDefault="00B91C5B" w:rsidP="00B91C5B">
      <w:pPr>
        <w:rPr>
          <w:rFonts w:ascii="Times New Roman" w:hAnsi="Times New Roman" w:cs="Times New Roman"/>
        </w:rPr>
      </w:pPr>
    </w:p>
    <w:p w:rsidR="00B91C5B" w:rsidRPr="00B91C5B" w:rsidRDefault="00B91C5B" w:rsidP="00B91C5B">
      <w:pPr>
        <w:pStyle w:val="Heading3"/>
        <w:rPr>
          <w:rFonts w:ascii="Times New Roman" w:hAnsi="Times New Roman" w:cs="Times New Roman"/>
        </w:rPr>
      </w:pPr>
      <w:r w:rsidRPr="00B91C5B">
        <w:rPr>
          <w:rStyle w:val="Strong"/>
          <w:rFonts w:ascii="Times New Roman" w:hAnsi="Times New Roman" w:cs="Times New Roman"/>
          <w:b/>
          <w:bCs/>
        </w:rPr>
        <w:lastRenderedPageBreak/>
        <w:t>Insights &amp; Recommendations</w:t>
      </w:r>
    </w:p>
    <w:p w:rsidR="00B91C5B" w:rsidRPr="00B91C5B" w:rsidRDefault="00B91C5B" w:rsidP="00B91C5B">
      <w:pPr>
        <w:pStyle w:val="NormalWeb"/>
        <w:numPr>
          <w:ilvl w:val="0"/>
          <w:numId w:val="23"/>
        </w:numPr>
      </w:pPr>
      <w:r w:rsidRPr="00B91C5B">
        <w:rPr>
          <w:rStyle w:val="Strong"/>
        </w:rPr>
        <w:t>Positive Growth Trend</w:t>
      </w:r>
      <w:proofErr w:type="gramStart"/>
      <w:r w:rsidRPr="00B91C5B">
        <w:rPr>
          <w:rStyle w:val="Strong"/>
        </w:rPr>
        <w:t>:</w:t>
      </w:r>
      <w:proofErr w:type="gramEnd"/>
      <w:r w:rsidRPr="00B91C5B">
        <w:br/>
        <w:t>The consistent year-over-year revenue growth confirms the effectiveness of the business strategy and market demand.</w:t>
      </w:r>
    </w:p>
    <w:p w:rsidR="00B91C5B" w:rsidRPr="00B91C5B" w:rsidRDefault="00B91C5B" w:rsidP="00B91C5B">
      <w:pPr>
        <w:pStyle w:val="NormalWeb"/>
        <w:numPr>
          <w:ilvl w:val="0"/>
          <w:numId w:val="23"/>
        </w:numPr>
      </w:pPr>
      <w:r w:rsidRPr="00B91C5B">
        <w:rPr>
          <w:rStyle w:val="Strong"/>
        </w:rPr>
        <w:t>Scalability Proof</w:t>
      </w:r>
      <w:proofErr w:type="gramStart"/>
      <w:r w:rsidRPr="00B91C5B">
        <w:rPr>
          <w:rStyle w:val="Strong"/>
        </w:rPr>
        <w:t>:</w:t>
      </w:r>
      <w:proofErr w:type="gramEnd"/>
      <w:r w:rsidRPr="00B91C5B">
        <w:br/>
        <w:t>The jump from near-zero in 2016 to over 7.5 million in 2018 demonstrates strong scalability. The company should continue to invest in operational efficiency, customer experience, and data-driven marketing.</w:t>
      </w:r>
    </w:p>
    <w:p w:rsidR="00B91C5B" w:rsidRPr="00B91C5B" w:rsidRDefault="00B91C5B" w:rsidP="00B91C5B">
      <w:pPr>
        <w:pStyle w:val="NormalWeb"/>
        <w:numPr>
          <w:ilvl w:val="0"/>
          <w:numId w:val="23"/>
        </w:numPr>
      </w:pPr>
      <w:r w:rsidRPr="00B91C5B">
        <w:rPr>
          <w:rStyle w:val="Strong"/>
        </w:rPr>
        <w:t>Future Planning</w:t>
      </w:r>
      <w:proofErr w:type="gramStart"/>
      <w:r w:rsidRPr="00B91C5B">
        <w:rPr>
          <w:rStyle w:val="Strong"/>
        </w:rPr>
        <w:t>:</w:t>
      </w:r>
      <w:proofErr w:type="gramEnd"/>
      <w:r w:rsidRPr="00B91C5B">
        <w:br/>
        <w:t xml:space="preserve">Forecasting for subsequent years should factor in a 15–20% </w:t>
      </w:r>
      <w:proofErr w:type="spellStart"/>
      <w:r w:rsidRPr="00B91C5B">
        <w:t>YoY</w:t>
      </w:r>
      <w:proofErr w:type="spellEnd"/>
      <w:r w:rsidRPr="00B91C5B">
        <w:t xml:space="preserve"> growth projection while also planning for market saturation or external challenges.</w:t>
      </w:r>
    </w:p>
    <w:p w:rsidR="00364736" w:rsidRPr="00B91C5B" w:rsidRDefault="00364736" w:rsidP="00364736">
      <w:pPr>
        <w:pStyle w:val="NormalWeb"/>
        <w:ind w:left="720"/>
      </w:pPr>
    </w:p>
    <w:p w:rsidR="00A4424A" w:rsidRPr="00B91C5B" w:rsidRDefault="00A4424A" w:rsidP="00A4424A">
      <w:pPr>
        <w:rPr>
          <w:rFonts w:ascii="Times New Roman" w:hAnsi="Times New Roman" w:cs="Times New Roman"/>
        </w:rPr>
      </w:pPr>
    </w:p>
    <w:p w:rsidR="001335CA" w:rsidRPr="00B91C5B" w:rsidRDefault="001335CA">
      <w:pPr>
        <w:rPr>
          <w:rFonts w:ascii="Times New Roman" w:hAnsi="Times New Roman" w:cs="Times New Roman"/>
        </w:rPr>
      </w:pPr>
      <w:bookmarkStart w:id="0" w:name="_GoBack"/>
      <w:bookmarkEnd w:id="0"/>
    </w:p>
    <w:sectPr w:rsidR="001335CA" w:rsidRPr="00B91C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3F7B44"/>
    <w:multiLevelType w:val="multilevel"/>
    <w:tmpl w:val="7E4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D35BF"/>
    <w:multiLevelType w:val="multilevel"/>
    <w:tmpl w:val="2244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B1753D"/>
    <w:multiLevelType w:val="multilevel"/>
    <w:tmpl w:val="CAA4A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536B64"/>
    <w:multiLevelType w:val="multilevel"/>
    <w:tmpl w:val="455C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C7989"/>
    <w:multiLevelType w:val="multilevel"/>
    <w:tmpl w:val="8B1A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532D4"/>
    <w:multiLevelType w:val="multilevel"/>
    <w:tmpl w:val="5942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165FA"/>
    <w:multiLevelType w:val="multilevel"/>
    <w:tmpl w:val="F3B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B23B05"/>
    <w:multiLevelType w:val="multilevel"/>
    <w:tmpl w:val="C60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6502AE"/>
    <w:multiLevelType w:val="multilevel"/>
    <w:tmpl w:val="EF0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D4775F"/>
    <w:multiLevelType w:val="multilevel"/>
    <w:tmpl w:val="87C0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21702B"/>
    <w:multiLevelType w:val="multilevel"/>
    <w:tmpl w:val="E1F4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F922B9"/>
    <w:multiLevelType w:val="multilevel"/>
    <w:tmpl w:val="79F2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DB1B3D"/>
    <w:multiLevelType w:val="multilevel"/>
    <w:tmpl w:val="3244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A62ED1"/>
    <w:multiLevelType w:val="multilevel"/>
    <w:tmpl w:val="A06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21"/>
  </w:num>
  <w:num w:numId="12">
    <w:abstractNumId w:val="18"/>
  </w:num>
  <w:num w:numId="13">
    <w:abstractNumId w:val="16"/>
  </w:num>
  <w:num w:numId="14">
    <w:abstractNumId w:val="19"/>
  </w:num>
  <w:num w:numId="15">
    <w:abstractNumId w:val="22"/>
  </w:num>
  <w:num w:numId="16">
    <w:abstractNumId w:val="11"/>
  </w:num>
  <w:num w:numId="17">
    <w:abstractNumId w:val="14"/>
  </w:num>
  <w:num w:numId="18">
    <w:abstractNumId w:val="20"/>
  </w:num>
  <w:num w:numId="19">
    <w:abstractNumId w:val="10"/>
  </w:num>
  <w:num w:numId="20">
    <w:abstractNumId w:val="12"/>
  </w:num>
  <w:num w:numId="21">
    <w:abstractNumId w:val="9"/>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0079"/>
    <w:rsid w:val="001335CA"/>
    <w:rsid w:val="0015074B"/>
    <w:rsid w:val="0029639D"/>
    <w:rsid w:val="00326F90"/>
    <w:rsid w:val="00364736"/>
    <w:rsid w:val="003C5F40"/>
    <w:rsid w:val="00A4424A"/>
    <w:rsid w:val="00AA1D8D"/>
    <w:rsid w:val="00AB604D"/>
    <w:rsid w:val="00AC5F69"/>
    <w:rsid w:val="00B47730"/>
    <w:rsid w:val="00B91C5B"/>
    <w:rsid w:val="00C971C2"/>
    <w:rsid w:val="00CB0664"/>
    <w:rsid w:val="00E10636"/>
    <w:rsid w:val="00E16088"/>
    <w:rsid w:val="00EC58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3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5CA"/>
    <w:rPr>
      <w:rFonts w:ascii="Tahoma" w:hAnsi="Tahoma" w:cs="Tahoma"/>
      <w:sz w:val="16"/>
      <w:szCs w:val="16"/>
    </w:rPr>
  </w:style>
  <w:style w:type="paragraph" w:styleId="NormalWeb">
    <w:name w:val="Normal (Web)"/>
    <w:basedOn w:val="Normal"/>
    <w:uiPriority w:val="99"/>
    <w:unhideWhenUsed/>
    <w:rsid w:val="003647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3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5CA"/>
    <w:rPr>
      <w:rFonts w:ascii="Tahoma" w:hAnsi="Tahoma" w:cs="Tahoma"/>
      <w:sz w:val="16"/>
      <w:szCs w:val="16"/>
    </w:rPr>
  </w:style>
  <w:style w:type="paragraph" w:styleId="NormalWeb">
    <w:name w:val="Normal (Web)"/>
    <w:basedOn w:val="Normal"/>
    <w:uiPriority w:val="99"/>
    <w:unhideWhenUsed/>
    <w:rsid w:val="003647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8680">
      <w:bodyDiv w:val="1"/>
      <w:marLeft w:val="0"/>
      <w:marRight w:val="0"/>
      <w:marTop w:val="0"/>
      <w:marBottom w:val="0"/>
      <w:divBdr>
        <w:top w:val="none" w:sz="0" w:space="0" w:color="auto"/>
        <w:left w:val="none" w:sz="0" w:space="0" w:color="auto"/>
        <w:bottom w:val="none" w:sz="0" w:space="0" w:color="auto"/>
        <w:right w:val="none" w:sz="0" w:space="0" w:color="auto"/>
      </w:divBdr>
    </w:div>
    <w:div w:id="638149534">
      <w:bodyDiv w:val="1"/>
      <w:marLeft w:val="0"/>
      <w:marRight w:val="0"/>
      <w:marTop w:val="0"/>
      <w:marBottom w:val="0"/>
      <w:divBdr>
        <w:top w:val="none" w:sz="0" w:space="0" w:color="auto"/>
        <w:left w:val="none" w:sz="0" w:space="0" w:color="auto"/>
        <w:bottom w:val="none" w:sz="0" w:space="0" w:color="auto"/>
        <w:right w:val="none" w:sz="0" w:space="0" w:color="auto"/>
      </w:divBdr>
    </w:div>
    <w:div w:id="660886192">
      <w:bodyDiv w:val="1"/>
      <w:marLeft w:val="0"/>
      <w:marRight w:val="0"/>
      <w:marTop w:val="0"/>
      <w:marBottom w:val="0"/>
      <w:divBdr>
        <w:top w:val="none" w:sz="0" w:space="0" w:color="auto"/>
        <w:left w:val="none" w:sz="0" w:space="0" w:color="auto"/>
        <w:bottom w:val="none" w:sz="0" w:space="0" w:color="auto"/>
        <w:right w:val="none" w:sz="0" w:space="0" w:color="auto"/>
      </w:divBdr>
    </w:div>
    <w:div w:id="668682046">
      <w:bodyDiv w:val="1"/>
      <w:marLeft w:val="0"/>
      <w:marRight w:val="0"/>
      <w:marTop w:val="0"/>
      <w:marBottom w:val="0"/>
      <w:divBdr>
        <w:top w:val="none" w:sz="0" w:space="0" w:color="auto"/>
        <w:left w:val="none" w:sz="0" w:space="0" w:color="auto"/>
        <w:bottom w:val="none" w:sz="0" w:space="0" w:color="auto"/>
        <w:right w:val="none" w:sz="0" w:space="0" w:color="auto"/>
      </w:divBdr>
    </w:div>
    <w:div w:id="904949926">
      <w:bodyDiv w:val="1"/>
      <w:marLeft w:val="0"/>
      <w:marRight w:val="0"/>
      <w:marTop w:val="0"/>
      <w:marBottom w:val="0"/>
      <w:divBdr>
        <w:top w:val="none" w:sz="0" w:space="0" w:color="auto"/>
        <w:left w:val="none" w:sz="0" w:space="0" w:color="auto"/>
        <w:bottom w:val="none" w:sz="0" w:space="0" w:color="auto"/>
        <w:right w:val="none" w:sz="0" w:space="0" w:color="auto"/>
      </w:divBdr>
    </w:div>
    <w:div w:id="1331715810">
      <w:bodyDiv w:val="1"/>
      <w:marLeft w:val="0"/>
      <w:marRight w:val="0"/>
      <w:marTop w:val="0"/>
      <w:marBottom w:val="0"/>
      <w:divBdr>
        <w:top w:val="none" w:sz="0" w:space="0" w:color="auto"/>
        <w:left w:val="none" w:sz="0" w:space="0" w:color="auto"/>
        <w:bottom w:val="none" w:sz="0" w:space="0" w:color="auto"/>
        <w:right w:val="none" w:sz="0" w:space="0" w:color="auto"/>
      </w:divBdr>
    </w:div>
    <w:div w:id="1559435827">
      <w:bodyDiv w:val="1"/>
      <w:marLeft w:val="0"/>
      <w:marRight w:val="0"/>
      <w:marTop w:val="0"/>
      <w:marBottom w:val="0"/>
      <w:divBdr>
        <w:top w:val="none" w:sz="0" w:space="0" w:color="auto"/>
        <w:left w:val="none" w:sz="0" w:space="0" w:color="auto"/>
        <w:bottom w:val="none" w:sz="0" w:space="0" w:color="auto"/>
        <w:right w:val="none" w:sz="0" w:space="0" w:color="auto"/>
      </w:divBdr>
    </w:div>
    <w:div w:id="2064791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8B42F-1758-4526-BCB8-FC4BF841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rita paul</cp:lastModifiedBy>
  <cp:revision>2</cp:revision>
  <dcterms:created xsi:type="dcterms:W3CDTF">2025-07-11T11:30:00Z</dcterms:created>
  <dcterms:modified xsi:type="dcterms:W3CDTF">2025-07-11T11:30:00Z</dcterms:modified>
</cp:coreProperties>
</file>