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6"/>
          <w:szCs w:val="36"/>
        </w:rPr>
        <w:t xml:space="preserve">GRAIL — Architecture Completion Status</w:t>
      </w:r>
    </w:p>
    <w:p>
      <w:pPr>
        <w:spacing w:after="40" w:line="276"/>
      </w:pPr>
      <w:r>
        <w:rPr>
          <w:rFonts w:ascii="Calibri" w:cs="Calibri" w:eastAsia="Calibri" w:hAnsi="Calibri"/>
          <w:color w:val="5F6368"/>
          <w:sz w:val="21"/>
          <w:szCs w:val="21"/>
        </w:rPr>
        <w:t xml:space="preserve">Monday standup — 3 August 2026</w:t>
      </w:r>
      <w:r>
        <w:rPr>
          <w:rFonts w:ascii="Calibri" w:cs="Calibri" w:eastAsia="Calibri" w:hAnsi="Calibri"/>
          <w:color w:val="D0D0D0"/>
          <w:sz w:val="21"/>
          <w:szCs w:val="21"/>
        </w:rPr>
        <w:t xml:space="preserve">   |   </w:t>
      </w:r>
      <w:r>
        <w:rPr>
          <w:rFonts w:ascii="Calibri" w:cs="Calibri" w:eastAsia="Calibri" w:hAnsi="Calibri"/>
          <w:color w:val="5F6368"/>
          <w:sz w:val="21"/>
          <w:szCs w:val="21"/>
        </w:rPr>
        <w:t xml:space="preserve">Prasad Devendra Watane, SRH Heidelberg</w:t>
      </w:r>
    </w:p>
    <w:p>
      <w:pPr>
        <w:spacing w:after="60" w:line="276"/>
      </w:pPr>
      <w:r>
        <w:rPr>
          <w:rFonts w:ascii="Calibri" w:cs="Calibri" w:eastAsia="Calibri" w:hAnsi="Calibri"/>
          <w:i/>
          <w:iCs/>
          <w:color w:val="5F6368"/>
          <w:sz w:val="19"/>
          <w:szCs w:val="19"/>
        </w:rPr>
        <w:t xml:space="preserve">Grounded Responsible AI Audit Loop · EU AI Act · consumer credit</w:t>
      </w:r>
    </w:p>
    <w:p>
      <w:pPr>
        <w:pBdr>
          <w:bottom w:val="single" w:color="D0D0D0" w:sz="6"/>
        </w:pBdr>
        <w:spacing w:after="180" w:before="60"/>
      </w:pPr>
      <w:r>
        <w:rPr>
          <w:sz w:val="2"/>
          <w:szCs w:val="2"/>
        </w:rPr>
        <w:t xml:space="preserve"/>
      </w:r>
    </w:p>
    <w:p>
      <w:pPr>
        <w:pStyle w:val="Heading1"/>
        <w:spacing w:after="160" w:before="320"/>
      </w:pPr>
      <w:r>
        <w:rPr>
          <w:rFonts w:ascii="Calibri" w:cs="Calibri" w:eastAsia="Calibri" w:hAnsi="Calibri"/>
          <w:b/>
          <w:bCs/>
          <w:color w:val="1A1A1A"/>
          <w:sz w:val="30"/>
          <w:szCs w:val="30"/>
        </w:rPr>
        <w:t xml:space="preserve">Where the project stands</w:t>
      </w:r>
    </w:p>
    <w:p>
      <w:pPr>
        <w:spacing w:after="140" w:line="276"/>
      </w:pPr>
      <w:r>
        <w:rPr>
          <w:rFonts w:ascii="Calibri" w:cs="Calibri" w:eastAsia="Calibri" w:hAnsi="Calibri"/>
          <w:b/>
          <w:bCs/>
          <w:color w:val="1A1A1A"/>
          <w:sz w:val="21"/>
          <w:szCs w:val="21"/>
        </w:rPr>
        <w:t xml:space="preserve">Two numbers, because one would mislead. </w:t>
      </w:r>
      <w:r>
        <w:rPr>
          <w:rFonts w:ascii="Calibri" w:cs="Calibri" w:eastAsia="Calibri" w:hAnsi="Calibri"/>
          <w:color w:val="1A1A1A"/>
          <w:sz w:val="21"/>
          <w:szCs w:val="21"/>
        </w:rPr>
        <w:t xml:space="preserve">Roughly </w:t>
      </w:r>
      <w:r>
        <w:rPr>
          <w:rFonts w:ascii="Calibri" w:cs="Calibri" w:eastAsia="Calibri" w:hAnsi="Calibri"/>
          <w:b/>
          <w:bCs/>
          <w:color w:val="1A1A1A"/>
          <w:sz w:val="21"/>
          <w:szCs w:val="21"/>
        </w:rPr>
        <w:t xml:space="preserve">55% of the software</w:t>
      </w:r>
      <w:r>
        <w:rPr>
          <w:rFonts w:ascii="Calibri" w:cs="Calibri" w:eastAsia="Calibri" w:hAnsi="Calibri"/>
          <w:color w:val="1A1A1A"/>
          <w:sz w:val="21"/>
          <w:szCs w:val="21"/>
        </w:rPr>
        <w:t xml:space="preserve"> is built, and roughly </w:t>
      </w:r>
      <w:r>
        <w:rPr>
          <w:rFonts w:ascii="Calibri" w:cs="Calibri" w:eastAsia="Calibri" w:hAnsi="Calibri"/>
          <w:b/>
          <w:bCs/>
          <w:color w:val="1A1A1A"/>
          <w:sz w:val="21"/>
          <w:szCs w:val="21"/>
        </w:rPr>
        <w:t xml:space="preserve">15% of the empirical evidence</w:t>
      </w:r>
      <w:r>
        <w:rPr>
          <w:rFonts w:ascii="Calibri" w:cs="Calibri" w:eastAsia="Calibri" w:hAnsi="Calibri"/>
          <w:color w:val="1A1A1A"/>
          <w:sz w:val="21"/>
          <w:szCs w:val="21"/>
        </w:rPr>
        <w:t xml:space="preserve"> exists. The gap between those figures is the whole story: the instrument is well advanced and nothing has been measured with it yet.</w:t>
      </w:r>
    </w:p>
    <w:p>
      <w:pPr>
        <w:spacing w:after="140" w:line="276"/>
      </w:pPr>
      <w:r>
        <w:rPr>
          <w:rFonts w:ascii="Calibri" w:cs="Calibri" w:eastAsia="Calibri" w:hAnsi="Calibri"/>
          <w:color w:val="1A1A1A"/>
          <w:sz w:val="21"/>
          <w:szCs w:val="21"/>
        </w:rPr>
        <w:t xml:space="preserve">Four of the ten architecture stages are complete and tested. The remaining six are where the thesis contribution is actually evidenced — the jury, the judge, the annotation study and the report. No model has yet answered a single probe, so the repository currently contains a validated measuring device and zero measurements.</w:t>
      </w:r>
    </w:p>
    <w:p>
      <w:pPr>
        <w:spacing w:after="140" w:line="276"/>
      </w:pPr>
      <w:r>
        <w:rPr>
          <w:rFonts w:ascii="Calibri" w:cs="Calibri" w:eastAsia="Calibri" w:hAnsi="Calibri"/>
          <w:b/>
          <w:bCs/>
          <w:color w:val="1A1A1A"/>
          <w:sz w:val="21"/>
          <w:szCs w:val="21"/>
        </w:rPr>
        <w:t xml:space="preserve">The binding constraint is not code. </w:t>
      </w:r>
      <w:r>
        <w:rPr>
          <w:rFonts w:ascii="Calibri" w:cs="Calibri" w:eastAsia="Calibri" w:hAnsi="Calibri"/>
          <w:color w:val="1A1A1A"/>
          <w:sz w:val="21"/>
          <w:szCs w:val="21"/>
        </w:rPr>
        <w:t xml:space="preserve">The annotation study needs ethics approval and two recruited annotators before any item can be graded, and success criterion S2 depends entirely on it. That is calendar time which cannot be recovered by working faster later.</w:t>
      </w:r>
    </w:p>
    <w:p>
      <w:pPr>
        <w:pStyle w:val="Heading2"/>
        <w:spacing w:after="120" w:before="240"/>
      </w:pPr>
      <w:r>
        <w:rPr>
          <w:rFonts w:ascii="Calibri" w:cs="Calibri" w:eastAsia="Calibri" w:hAnsi="Calibri"/>
          <w:b/>
          <w:bCs/>
          <w:color w:val="1A1A1A"/>
          <w:sz w:val="24"/>
          <w:szCs w:val="24"/>
        </w:rPr>
        <w:t xml:space="preserve">Standup board — Monday 3 August</w:t>
      </w:r>
    </w:p>
    <w:tbl>
      <w:tblPr>
        <w:tblW w:type="dxa" w:w="9000"/>
        <w:tblBorders>
          <w:top w:val="single" w:color="D0D0D0" w:sz="4"/>
          <w:left w:val="none"/>
          <w:bottom w:val="single" w:color="D0D0D0" w:sz="4"/>
          <w:right w:val="none"/>
          <w:insideH w:val="single" w:color="D0D0D0" w:sz="2"/>
          <w:insideV w:val="none"/>
        </w:tblBorders>
      </w:tblPr>
      <w:tblGrid>
        <w:gridCol w:w="1700"/>
        <w:gridCol w:w="7300"/>
      </w:tblGrid>
      <w:tr>
        <w:trPr>
          <w:tblHeader/>
        </w:trPr>
        <w:tc>
          <w:tcPr>
            <w:tcW w:type="dxa" w:w="17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
            </w:r>
          </w:p>
        </w:tc>
        <w:tc>
          <w:tcPr>
            <w:tcW w:type="dxa" w:w="73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Item</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Shipped</w:t>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Auto-probe stage: 3530 prompts, 1097 cases, reproducible from seed and signature</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Gold pipeline: Green / Amber / escalated router with a certified conformal gate</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Runner, append-only response log, response parsing, positive controls, pilot report</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Sub-domain made swappable: credit and insurance stimulus packs, invariants tested against both</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Fairness sizing corrected — was powered for a single rate, not for a difference</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8A5A00"/>
                <w:sz w:val="19"/>
                <w:szCs w:val="19"/>
              </w:rPr>
              <w:t xml:space="preserve">In flight</w:t>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Nothing. The last stage closed; W1 begins from a clean tree</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Blocked</w:t>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Judge — all five checklist criteria are empty, so no rubric can be built</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Jury — deliberately held until the pilot shows what a response looks like</w:t>
            </w:r>
          </w:p>
        </w:tc>
      </w:tr>
      <w:tr>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S2 evidence — ethics approval and annotators not yet in motion</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Decision</w:t>
            </w:r>
          </w:p>
        </w:tc>
        <w:tc>
          <w:tcPr>
            <w:tcW w:type="dxa" w:w="7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Audited models and judge model still unchosen; the disjointness rule constrains the order</w:t>
            </w:r>
          </w:p>
        </w:tc>
      </w:tr>
    </w:tbl>
    <w:p>
      <w:pPr>
        <w:pStyle w:val="Heading1"/>
        <w:spacing w:after="160" w:before="320"/>
      </w:pPr>
      <w:r>
        <w:rPr>
          <w:rFonts w:ascii="Calibri" w:cs="Calibri" w:eastAsia="Calibri" w:hAnsi="Calibri"/>
          <w:b/>
          <w:bCs/>
          <w:color w:val="1A1A1A"/>
          <w:sz w:val="30"/>
          <w:szCs w:val="30"/>
        </w:rPr>
        <w:t xml:space="preserve">Completion by architecture stage</w:t>
      </w:r>
    </w:p>
    <w:tbl>
      <w:tblPr>
        <w:tblW w:type="dxa" w:w="9000"/>
        <w:tblBorders>
          <w:top w:val="single" w:color="D0D0D0" w:sz="4"/>
          <w:left w:val="none"/>
          <w:bottom w:val="single" w:color="D0D0D0" w:sz="4"/>
          <w:right w:val="none"/>
          <w:insideH w:val="single" w:color="D0D0D0" w:sz="2"/>
          <w:insideV w:val="none"/>
        </w:tblBorders>
      </w:tblPr>
      <w:tblGrid>
        <w:gridCol w:w="3100"/>
        <w:gridCol w:w="1500"/>
        <w:gridCol w:w="4400"/>
      </w:tblGrid>
      <w:tr>
        <w:trPr>
          <w:tblHeader/>
        </w:trPr>
        <w:tc>
          <w:tcPr>
            <w:tcW w:type="dxa" w:w="31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Stage</w:t>
            </w:r>
          </w:p>
        </w:tc>
        <w:tc>
          <w:tcPr>
            <w:tcW w:type="dxa" w:w="15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Status</w:t>
            </w:r>
          </w:p>
        </w:tc>
        <w:tc>
          <w:tcPr>
            <w:tcW w:type="dxa" w:w="44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Evidence / what is missing</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 Ground — clause parser</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EU AI Act parsed to Article→Paragraph→Point; 1143 legal units</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 Ground — retrieval</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recall@3 = 1.00, but on only 10 gold queries</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 Ground — notary gate</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Checklist signed and frozen; 5 clauses, SHA-256 tamper-evident</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 Auto-probe</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3530 prompts over 1097 cases, reproducible from seed + checklist</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 Gold pipeline</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Green/Amber router built; starved of calibration data (see below)</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 Runner + controls</w:t>
            </w:r>
          </w:p>
        </w:tc>
        <w:tc>
          <w:tcPr>
            <w:tcW w:type="dxa" w:w="1500"/>
            <w:tcMar>
              <w:top w:type="dxa" w:w="90"/>
              <w:left w:type="dxa" w:w="130"/>
              <w:bottom w:type="dxa" w:w="90"/>
              <w:right w:type="dxa" w:w="130"/>
            </w:tcMar>
          </w:tcPr>
          <w:p>
            <w:pPr>
              <w:spacing w:after="0" w:line="260"/>
            </w:pPr>
            <w:r>
              <w:rPr>
                <w:rFonts w:ascii="Calibri" w:cs="Calibri" w:eastAsia="Calibri" w:hAnsi="Calibri"/>
                <w:b/>
                <w:bCs/>
                <w:color w:val="1E6B34"/>
                <w:sz w:val="19"/>
                <w:szCs w:val="19"/>
              </w:rPr>
              <w:t xml:space="preserve">Complete</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Append-only hash-chained response log; pilot report; positive controls</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 Execution vs. models</w:t>
            </w:r>
          </w:p>
        </w:tc>
        <w:tc>
          <w:tcPr>
            <w:tcW w:type="dxa" w:w="15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Zero responses logged. Blocks stages 8–10</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8. Jury (deterministic)</w:t>
            </w:r>
          </w:p>
        </w:tc>
        <w:tc>
          <w:tcPr>
            <w:tcW w:type="dxa" w:w="15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Should not be built before the pilot fixes the response format</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 Judge (gated LLM)</w:t>
            </w:r>
          </w:p>
        </w:tc>
        <w:tc>
          <w:tcPr>
            <w:tcW w:type="dxa" w:w="15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Blocked: all 5 checklist criteria are empty, so no rubric exists</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 Annotation study</w:t>
            </w:r>
          </w:p>
        </w:tc>
        <w:tc>
          <w:tcPr>
            <w:tcW w:type="dxa" w:w="15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Longest lead time; ethics and recruitment not yet begun</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11. Ledger + report</w:t>
            </w:r>
          </w:p>
        </w:tc>
        <w:tc>
          <w:tcPr>
            <w:tcW w:type="dxa" w:w="15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Hash-chained ledger pattern already built twice and reusable</w:t>
            </w:r>
          </w:p>
        </w:tc>
      </w:tr>
      <w:tr>
        <w:tc>
          <w:tcPr>
            <w:tcW w:type="dxa" w:w="3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 Generalisation</w:t>
            </w:r>
          </w:p>
        </w:tc>
        <w:tc>
          <w:tcPr>
            <w:tcW w:type="dxa" w:w="1500"/>
            <w:tcMar>
              <w:top w:type="dxa" w:w="90"/>
              <w:left w:type="dxa" w:w="130"/>
              <w:bottom w:type="dxa" w:w="90"/>
              <w:right w:type="dxa" w:w="130"/>
            </w:tcMar>
          </w:tcPr>
          <w:p>
            <w:pPr>
              <w:spacing w:after="0" w:line="260"/>
            </w:pPr>
            <w:r>
              <w:rPr>
                <w:rFonts w:ascii="Calibri" w:cs="Calibri" w:eastAsia="Calibri" w:hAnsi="Calibri"/>
                <w:b/>
                <w:bCs/>
                <w:color w:val="8A5A00"/>
                <w:sz w:val="19"/>
                <w:szCs w:val="19"/>
              </w:rPr>
              <w:t xml:space="preserve">Partial</w:t>
            </w:r>
          </w:p>
        </w:tc>
        <w:tc>
          <w:tcPr>
            <w:tcW w:type="dxa" w:w="4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Insurance pack and swap proven; corpus, re-sign and second jury route outstanding</w:t>
            </w:r>
          </w:p>
        </w:tc>
      </w:tr>
    </w:tbl>
    <w:p>
      <w:pPr>
        <w:spacing w:after="60" w:line="276"/>
      </w:pPr>
      <w:r>
        <w:rPr>
          <w:rFonts w:ascii="Calibri" w:cs="Calibri" w:eastAsia="Calibri" w:hAnsi="Calibri"/>
          <w:color w:val="5F6368"/>
          <w:sz w:val="19"/>
          <w:szCs w:val="19"/>
        </w:rPr>
        <w:t xml:space="preserve">Percentages are weighted by implementation effort, not by stage count. Stages 1–6 carry most of the code written to date; stages 8–11 carry most of the results.</w:t>
      </w:r>
    </w:p>
    <w:p>
      <w:r>
        <w:br w:type="page"/>
      </w:r>
    </w:p>
    <w:p>
      <w:pPr>
        <w:pStyle w:val="Heading1"/>
        <w:spacing w:after="160" w:before="320"/>
      </w:pPr>
      <w:r>
        <w:rPr>
          <w:rFonts w:ascii="Calibri" w:cs="Calibri" w:eastAsia="Calibri" w:hAnsi="Calibri"/>
          <w:b/>
          <w:bCs/>
          <w:color w:val="1A1A1A"/>
          <w:sz w:val="30"/>
          <w:szCs w:val="30"/>
        </w:rPr>
        <w:t xml:space="preserve">What is built, and what makes it defensible</w:t>
      </w:r>
    </w:p>
    <w:p>
      <w:pPr>
        <w:pStyle w:val="Heading2"/>
        <w:spacing w:after="120" w:before="240"/>
      </w:pPr>
      <w:r>
        <w:rPr>
          <w:rFonts w:ascii="Calibri" w:cs="Calibri" w:eastAsia="Calibri" w:hAnsi="Calibri"/>
          <w:b/>
          <w:bCs/>
          <w:color w:val="1A1A1A"/>
          <w:sz w:val="24"/>
          <w:szCs w:val="24"/>
        </w:rPr>
        <w:t xml:space="preserve">Ground — the trust root</w:t>
      </w:r>
    </w:p>
    <w:p>
      <w:pPr>
        <w:spacing w:after="140" w:line="276"/>
      </w:pPr>
      <w:r>
        <w:rPr>
          <w:rFonts w:ascii="Calibri" w:cs="Calibri" w:eastAsia="Calibri" w:hAnsi="Calibri"/>
          <w:color w:val="1A1A1A"/>
          <w:sz w:val="21"/>
          <w:szCs w:val="21"/>
        </w:rPr>
        <w:t xml:space="preserve">Clauses are extracted by deterministic structural parsing, never by RAG. Retrieval is used only at evaluation time, to fetch obligations with their definitions and exceptions. A human signs the derived checklist and every downstream stage refuses to run against an unsigned or altered one — tampering breaks the hash and is detected.</w:t>
      </w:r>
    </w:p>
    <w:p>
      <w:pPr>
        <w:pStyle w:val="Heading2"/>
        <w:spacing w:after="120" w:before="240"/>
      </w:pPr>
      <w:r>
        <w:rPr>
          <w:rFonts w:ascii="Calibri" w:cs="Calibri" w:eastAsia="Calibri" w:hAnsi="Calibri"/>
          <w:b/>
          <w:bCs/>
          <w:color w:val="1A1A1A"/>
          <w:sz w:val="24"/>
          <w:szCs w:val="24"/>
        </w:rPr>
        <w:t xml:space="preserve">Auto-probe — stimuli that cannot quietly be wrong</w:t>
      </w:r>
    </w:p>
    <w:p>
      <w:pPr>
        <w:spacing w:after="140" w:line="276"/>
      </w:pPr>
      <w:r>
        <w:rPr>
          <w:rFonts w:ascii="Calibri" w:cs="Calibri" w:eastAsia="Calibri" w:hAnsi="Calibri"/>
          <w:color w:val="1A1A1A"/>
          <w:sz w:val="21"/>
          <w:szCs w:val="21"/>
        </w:rPr>
        <w:t xml:space="preserve">Probes descend only from the signed checklist, and the signature travels into the probe manifest, so a finding traces back to the exact approved text. Three invariants are enforced at construction rather than asserted in prose:</w:t>
      </w:r>
    </w:p>
    <w:p>
      <w:pPr>
        <w:pStyle w:val="ListParagraph"/>
        <w:numPr>
          <w:ilvl w:val="0"/>
          <w:numId w:val="2"/>
        </w:numPr>
        <w:spacing w:after="90" w:line="276"/>
      </w:pPr>
      <w:r>
        <w:rPr>
          <w:rFonts w:ascii="Calibri" w:cs="Calibri" w:eastAsia="Calibri" w:hAnsi="Calibri"/>
          <w:color w:val="1A1A1A"/>
          <w:sz w:val="21"/>
          <w:szCs w:val="21"/>
        </w:rPr>
        <w:t xml:space="preserve">No probe may contain legal or audit vocabulary — a system that knows it is being tested behaves differently, and the measurement is void.</w:t>
      </w:r>
    </w:p>
    <w:p>
      <w:pPr>
        <w:pStyle w:val="ListParagraph"/>
        <w:numPr>
          <w:ilvl w:val="0"/>
          <w:numId w:val="2"/>
        </w:numPr>
        <w:spacing w:after="90" w:line="276"/>
      </w:pPr>
      <w:r>
        <w:rPr>
          <w:rFonts w:ascii="Calibri" w:cs="Calibri" w:eastAsia="Calibri" w:hAnsi="Calibri"/>
          <w:color w:val="1A1A1A"/>
          <w:sz w:val="21"/>
          <w:szCs w:val="21"/>
        </w:rPr>
        <w:t xml:space="preserve">Counterbalanced pairs must differ in exactly one slot. The profile RNG never depends on the protected arm, so the slot-to-group confound fails at generation rather than surfacing in the results.</w:t>
      </w:r>
    </w:p>
    <w:p>
      <w:pPr>
        <w:pStyle w:val="ListParagraph"/>
        <w:numPr>
          <w:ilvl w:val="0"/>
          <w:numId w:val="2"/>
        </w:numPr>
        <w:spacing w:after="90" w:line="276"/>
      </w:pPr>
      <w:r>
        <w:rPr>
          <w:rFonts w:ascii="Calibri" w:cs="Calibri" w:eastAsia="Calibri" w:hAnsi="Calibri"/>
          <w:color w:val="1A1A1A"/>
          <w:sz w:val="21"/>
          <w:szCs w:val="21"/>
        </w:rPr>
        <w:t xml:space="preserve">Perturbations must preserve the prompt’s digit multiset, so a reword that silently altered a number cannot reach a probe file.</w:t>
      </w:r>
    </w:p>
    <w:p>
      <w:pPr>
        <w:pStyle w:val="Heading2"/>
        <w:spacing w:after="120" w:before="240"/>
      </w:pPr>
      <w:r>
        <w:rPr>
          <w:rFonts w:ascii="Calibri" w:cs="Calibri" w:eastAsia="Calibri" w:hAnsi="Calibri"/>
          <w:b/>
          <w:bCs/>
          <w:color w:val="1A1A1A"/>
          <w:sz w:val="24"/>
          <w:szCs w:val="24"/>
        </w:rPr>
        <w:t xml:space="preserve">Gold pipeline — and its most useful output so far</w:t>
      </w:r>
    </w:p>
    <w:p>
      <w:pPr>
        <w:spacing w:after="140" w:line="276"/>
      </w:pPr>
      <w:r>
        <w:rPr>
          <w:rFonts w:ascii="Calibri" w:cs="Calibri" w:eastAsia="Calibri" w:hAnsi="Calibri"/>
          <w:color w:val="1A1A1A"/>
          <w:sz w:val="21"/>
          <w:szCs w:val="21"/>
        </w:rPr>
        <w:t xml:space="preserve">Every reference answer is Green (computed by a recorded formula or sourced with provenance, reproducible by hand) or Amber (model-proposed and accepted by a conformal gate carrying a certified error bound). Anything the gate cannot accept escalates to a human, and that share is the measured leakage.</w:t>
      </w:r>
    </w:p>
    <w:p>
      <w:pPr>
        <w:spacing w:after="140" w:line="276"/>
      </w:pPr>
      <w:r>
        <w:rPr>
          <w:rFonts w:ascii="Calibri" w:cs="Calibri" w:eastAsia="Calibri" w:hAnsi="Calibri"/>
          <w:b/>
          <w:bCs/>
          <w:color w:val="1A1A1A"/>
          <w:sz w:val="21"/>
          <w:szCs w:val="21"/>
        </w:rPr>
        <w:t xml:space="preserve">The gate currently certifies nothing, and that is the correct result. </w:t>
      </w:r>
      <w:r>
        <w:rPr>
          <w:rFonts w:ascii="Calibri" w:cs="Calibri" w:eastAsia="Calibri" w:hAnsi="Calibri"/>
          <w:color w:val="1A1A1A"/>
          <w:sz w:val="21"/>
          <w:szCs w:val="21"/>
        </w:rPr>
        <w:t xml:space="preserve">With zero observed errors the exact bound from n calibration points is 1 − δ^(1/n), which first reaches 5% at n = 59. The seed bank supplies 6. The split is therefore 6 Green / 0 Amber / 14 escalated — 70% leakage — rather than a 5% bound the data cannot support.</w:t>
      </w:r>
    </w:p>
    <w:p>
      <w:pPr>
        <w:pStyle w:val="Heading2"/>
        <w:spacing w:after="120" w:before="240"/>
      </w:pPr>
      <w:r>
        <w:rPr>
          <w:rFonts w:ascii="Calibri" w:cs="Calibri" w:eastAsia="Calibri" w:hAnsi="Calibri"/>
          <w:b/>
          <w:bCs/>
          <w:color w:val="1A1A1A"/>
          <w:sz w:val="24"/>
          <w:szCs w:val="24"/>
        </w:rPr>
        <w:t xml:space="preserve">Runner and positive controls</w:t>
      </w:r>
    </w:p>
    <w:p>
      <w:pPr>
        <w:spacing w:after="140" w:line="276"/>
      </w:pPr>
      <w:r>
        <w:rPr>
          <w:rFonts w:ascii="Calibri" w:cs="Calibri" w:eastAsia="Calibri" w:hAnsi="Calibri"/>
          <w:color w:val="1A1A1A"/>
          <w:sz w:val="21"/>
          <w:szCs w:val="21"/>
        </w:rPr>
        <w:t xml:space="preserve">Responses are the only artefact here that cannot be regenerated: a probe returns from a seed, a response is a purchase. The log is therefore append-only, hash-chained with a truncation anchor, and cached on probe content, model id and parameters. Refusals are recorded as refusals — scoring them as declines would bias every rate toward the system appearing harsher than it is.</w:t>
      </w:r>
    </w:p>
    <w:p>
      <w:pPr>
        <w:spacing w:after="140" w:line="276"/>
      </w:pPr>
      <w:r>
        <w:rPr>
          <w:rFonts w:ascii="Calibri" w:cs="Calibri" w:eastAsia="Calibri" w:hAnsi="Calibri"/>
          <w:color w:val="1A1A1A"/>
          <w:sz w:val="21"/>
          <w:szCs w:val="21"/>
        </w:rPr>
        <w:t xml:space="preserve">Positive controls close the blind spot every comparison probe shares: if the full run shows no gap, “the system is even-handed” and “the measurement chain is broken” otherwise look identical. Controls carry no clause ids and are structurally excluded from headline statistics.</w:t>
      </w:r>
    </w:p>
    <w:p>
      <w:pPr>
        <w:spacing w:after="140" w:line="276"/>
      </w:pPr>
      <w:r>
        <w:rPr>
          <w:rFonts w:ascii="Calibri" w:cs="Calibri" w:eastAsia="Calibri" w:hAnsi="Calibri"/>
          <w:b/>
          <w:bCs/>
          <w:color w:val="1A1A1A"/>
          <w:sz w:val="21"/>
          <w:szCs w:val="21"/>
        </w:rPr>
        <w:t xml:space="preserve">A control only counts as fired if the discordant pairs favour the expected direction at p &lt; 0.05 on an exact sign test. </w:t>
      </w:r>
      <w:r>
        <w:rPr>
          <w:rFonts w:ascii="Calibri" w:cs="Calibri" w:eastAsia="Calibri" w:hAnsi="Calibri"/>
          <w:color w:val="1A1A1A"/>
          <w:sz w:val="21"/>
          <w:szCs w:val="21"/>
        </w:rPr>
        <w:t xml:space="preserve">“Some pairs differed” is not evidence — a system answering at random differs on about half of them.</w:t>
      </w:r>
    </w:p>
    <w:p>
      <w:pPr>
        <w:pStyle w:val="Heading1"/>
        <w:spacing w:after="160" w:before="320"/>
      </w:pPr>
      <w:r>
        <w:rPr>
          <w:rFonts w:ascii="Calibri" w:cs="Calibri" w:eastAsia="Calibri" w:hAnsi="Calibri"/>
          <w:b/>
          <w:bCs/>
          <w:color w:val="1A1A1A"/>
          <w:sz w:val="30"/>
          <w:szCs w:val="30"/>
        </w:rPr>
        <w:t xml:space="preserve">Thesis success criteria</w:t>
      </w:r>
    </w:p>
    <w:tbl>
      <w:tblPr>
        <w:tblW w:type="dxa" w:w="9000"/>
        <w:tblBorders>
          <w:top w:val="single" w:color="D0D0D0" w:sz="4"/>
          <w:left w:val="none"/>
          <w:bottom w:val="single" w:color="D0D0D0" w:sz="4"/>
          <w:right w:val="none"/>
          <w:insideH w:val="single" w:color="D0D0D0" w:sz="2"/>
          <w:insideV w:val="none"/>
        </w:tblBorders>
      </w:tblPr>
      <w:tblGrid>
        <w:gridCol w:w="1000"/>
        <w:gridCol w:w="3600"/>
        <w:gridCol w:w="2500"/>
        <w:gridCol w:w="1900"/>
      </w:tblGrid>
      <w:tr>
        <w:trPr>
          <w:tblHeader/>
        </w:trPr>
        <w:tc>
          <w:tcPr>
            <w:tcW w:type="dxa" w:w="10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
            </w:r>
          </w:p>
        </w:tc>
        <w:tc>
          <w:tcPr>
            <w:tcW w:type="dxa" w:w="36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Criterion</w:t>
            </w:r>
          </w:p>
        </w:tc>
        <w:tc>
          <w:tcPr>
            <w:tcW w:type="dxa" w:w="25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Current position</w:t>
            </w:r>
          </w:p>
        </w:tc>
        <w:tc>
          <w:tcPr>
            <w:tcW w:type="dxa" w:w="19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Status</w:t>
            </w:r>
          </w:p>
        </w:tc>
      </w:tr>
      <w:t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S1</w:t>
            </w:r>
          </w:p>
        </w:tc>
        <w:tc>
          <w:tcPr>
            <w:tcW w:type="dxa" w:w="3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Clause mapping ≥ 90%; 100% of findings clause-tagged</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recall@3 = 1.00 on 10 queries; every probe carries clause ids</w:t>
            </w:r>
          </w:p>
        </w:tc>
        <w:tc>
          <w:tcPr>
            <w:tcW w:type="dxa" w:w="1900"/>
            <w:tcMar>
              <w:top w:type="dxa" w:w="90"/>
              <w:left w:type="dxa" w:w="130"/>
              <w:bottom w:type="dxa" w:w="90"/>
              <w:right w:type="dxa" w:w="130"/>
            </w:tcMar>
          </w:tcPr>
          <w:p>
            <w:pPr>
              <w:spacing w:after="0" w:line="260"/>
            </w:pPr>
            <w:r>
              <w:rPr>
                <w:rFonts w:ascii="Calibri" w:cs="Calibri" w:eastAsia="Calibri" w:hAnsi="Calibri"/>
                <w:b/>
                <w:bCs/>
                <w:color w:val="8A5A00"/>
                <w:sz w:val="19"/>
                <w:szCs w:val="19"/>
              </w:rPr>
              <w:t xml:space="preserve">On track</w:t>
            </w:r>
          </w:p>
        </w:tc>
      </w:tr>
      <w:t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S2</w:t>
            </w:r>
          </w:p>
        </w:tc>
        <w:tc>
          <w:tcPr>
            <w:tcW w:type="dxa" w:w="3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κ ≥ 0.61 on ≥ 1 dimension; gate selective error ≤ 5% at coverage ≥ 50%</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Annotation study not begun</w:t>
            </w:r>
          </w:p>
        </w:tc>
        <w:tc>
          <w:tcPr>
            <w:tcW w:type="dxa" w:w="19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At risk</w:t>
            </w:r>
          </w:p>
        </w:tc>
      </w:tr>
      <w:t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S3</w:t>
            </w:r>
          </w:p>
        </w:tc>
        <w:tc>
          <w:tcPr>
            <w:tcW w:type="dxa" w:w="3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Both models audited end to end</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0 of 2 audited; models not yet chosen</w:t>
            </w:r>
          </w:p>
        </w:tc>
        <w:tc>
          <w:tcPr>
            <w:tcW w:type="dxa" w:w="1900"/>
            <w:tcMar>
              <w:top w:type="dxa" w:w="90"/>
              <w:left w:type="dxa" w:w="130"/>
              <w:bottom w:type="dxa" w:w="90"/>
              <w:right w:type="dxa" w:w="130"/>
            </w:tcMar>
          </w:tcPr>
          <w:p>
            <w:pPr>
              <w:spacing w:after="0" w:line="260"/>
            </w:pPr>
            <w:r>
              <w:rPr>
                <w:rFonts w:ascii="Calibri" w:cs="Calibri" w:eastAsia="Calibri" w:hAnsi="Calibri"/>
                <w:b/>
                <w:bCs/>
                <w:color w:val="9B2C2C"/>
                <w:sz w:val="19"/>
                <w:szCs w:val="19"/>
              </w:rPr>
              <w:t xml:space="preserve">Not started</w:t>
            </w:r>
          </w:p>
        </w:tc>
      </w:tr>
      <w:t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S4</w:t>
            </w:r>
          </w:p>
        </w:tc>
        <w:tc>
          <w:tcPr>
            <w:tcW w:type="dxa" w:w="3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Negative results count as findings</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One already produced: the 59-point calibration floor</w:t>
            </w:r>
          </w:p>
        </w:tc>
        <w:tc>
          <w:tcPr>
            <w:tcW w:type="dxa" w:w="1900"/>
            <w:tcMar>
              <w:top w:type="dxa" w:w="90"/>
              <w:left w:type="dxa" w:w="130"/>
              <w:bottom w:type="dxa" w:w="90"/>
              <w:right w:type="dxa" w:w="130"/>
            </w:tcMar>
          </w:tcPr>
          <w:p>
            <w:pPr>
              <w:spacing w:after="0" w:line="260"/>
            </w:pPr>
            <w:r>
              <w:rPr>
                <w:rFonts w:ascii="Calibri" w:cs="Calibri" w:eastAsia="Calibri" w:hAnsi="Calibri"/>
                <w:b/>
                <w:bCs/>
                <w:color w:val="8A5A00"/>
                <w:sz w:val="19"/>
                <w:szCs w:val="19"/>
              </w:rPr>
              <w:t xml:space="preserve">Started</w:t>
            </w:r>
          </w:p>
        </w:tc>
      </w:tr>
    </w:tbl>
    <w:p>
      <w:pPr>
        <w:spacing w:after="140" w:line="276"/>
      </w:pPr>
      <w:r>
        <w:rPr>
          <w:rFonts w:ascii="Calibri" w:cs="Calibri" w:eastAsia="Calibri" w:hAnsi="Calibri"/>
          <w:color w:val="5F6368"/>
          <w:sz w:val="19"/>
          <w:szCs w:val="19"/>
        </w:rPr>
        <w:t xml:space="preserve">S1 is the strongest position but should not be quoted yet: ten gold queries is too small a base for a headline retrieval number, and “findings” do not exist until the jury runs. S2 is the criterion most at risk, and the risk is scheduling rather than technical.</w:t>
      </w:r>
    </w:p>
    <w:p>
      <w:pPr>
        <w:pStyle w:val="Heading1"/>
        <w:spacing w:after="160" w:before="320"/>
      </w:pPr>
      <w:r>
        <w:rPr>
          <w:rFonts w:ascii="Calibri" w:cs="Calibri" w:eastAsia="Calibri" w:hAnsi="Calibri"/>
          <w:b/>
          <w:bCs/>
          <w:color w:val="1A1A1A"/>
          <w:sz w:val="30"/>
          <w:szCs w:val="30"/>
        </w:rPr>
        <w:t xml:space="preserve">Codebase</w:t>
      </w:r>
    </w:p>
    <w:tbl>
      <w:tblPr>
        <w:tblW w:type="dxa" w:w="9000"/>
        <w:tblBorders>
          <w:top w:val="single" w:color="D0D0D0" w:sz="4"/>
          <w:left w:val="none"/>
          <w:bottom w:val="single" w:color="D0D0D0" w:sz="4"/>
          <w:right w:val="none"/>
          <w:insideH w:val="single" w:color="D0D0D0" w:sz="2"/>
          <w:insideV w:val="none"/>
        </w:tblBorders>
      </w:tblPr>
      <w:tblGrid>
        <w:gridCol w:w="3400"/>
        <w:gridCol w:w="1600"/>
        <w:gridCol w:w="4000"/>
      </w:tblGrid>
      <w:tr>
        <w:trPr>
          <w:tblHeader/>
        </w:trPr>
        <w:tc>
          <w:tcPr>
            <w:tcW w:type="dxa" w:w="34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Package</w:t>
            </w:r>
          </w:p>
        </w:tc>
        <w:tc>
          <w:tcPr>
            <w:tcW w:type="dxa" w:w="16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Lines</w:t>
            </w:r>
          </w:p>
        </w:tc>
        <w:tc>
          <w:tcPr>
            <w:tcW w:type="dxa" w:w="40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Role</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grail/probe</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1,419</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Probe generation, stimulus packs, sizing, controls</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grail/run</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784</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Runner, response log, parsing, pilot report</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grail/gold</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701</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Formulas, conformal gate, ledger, Green/Amber router</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grail/ingest</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450</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PDF loading, deterministic clause parser, linker</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grail/index</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211</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bge-base embeddings, BM25, RRF fusion</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grail/ground</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184</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Checklist derivation and the notary gate</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grail/retrieve, scope</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114</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Eval-time retrieval; behavioural/procedural partition</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scripts</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597</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Eight command-line entry points</w:t>
            </w:r>
          </w:p>
        </w:tc>
      </w:tr>
      <w:tr>
        <w:tc>
          <w:tcPr>
            <w:tcW w:type="dxa" w:w="34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tests</w:t>
            </w:r>
          </w:p>
        </w:tc>
        <w:tc>
          <w:tcPr>
            <w:tcW w:type="dxa" w:w="16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1,460</w:t>
            </w:r>
          </w:p>
        </w:tc>
        <w:tc>
          <w:tcPr>
            <w:tcW w:type="dxa" w:w="40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132 tests, all passing</w:t>
            </w:r>
          </w:p>
        </w:tc>
      </w:tr>
    </w:tbl>
    <w:p>
      <w:pPr>
        <w:spacing w:after="140" w:line="276"/>
      </w:pPr>
      <w:r>
        <w:rPr>
          <w:rFonts w:ascii="Calibri" w:cs="Calibri" w:eastAsia="Calibri" w:hAnsi="Calibri"/>
          <w:color w:val="5F6368"/>
          <w:sz w:val="19"/>
          <w:szCs w:val="19"/>
        </w:rPr>
        <w:t xml:space="preserve">Test-to-source ratio is roughly 1 : 2.6. That is deliberate for an audit tool: the invariants are the product, and an invariant that is not tested is a claim rather than a property.</w:t>
      </w:r>
    </w:p>
    <w:p>
      <w:r>
        <w:br w:type="page"/>
      </w:r>
    </w:p>
    <w:p>
      <w:pPr>
        <w:pStyle w:val="Heading1"/>
        <w:spacing w:after="160" w:before="320"/>
      </w:pPr>
      <w:r>
        <w:rPr>
          <w:rFonts w:ascii="Calibri" w:cs="Calibri" w:eastAsia="Calibri" w:hAnsi="Calibri"/>
          <w:b/>
          <w:bCs/>
          <w:color w:val="1A1A1A"/>
          <w:sz w:val="30"/>
          <w:szCs w:val="30"/>
        </w:rPr>
        <w:t xml:space="preserve">Week-by-week plan to completion</w:t>
      </w:r>
    </w:p>
    <w:p>
      <w:pPr>
        <w:spacing w:after="140" w:line="276"/>
      </w:pPr>
      <w:r>
        <w:rPr>
          <w:rFonts w:ascii="Calibri" w:cs="Calibri" w:eastAsia="Calibri" w:hAnsi="Calibri"/>
          <w:color w:val="1A1A1A"/>
          <w:sz w:val="21"/>
          <w:szCs w:val="21"/>
        </w:rPr>
        <w:t xml:space="preserve">Ten weeks, reviewed at each Monday standup. The ordering is set by dependency, not preference: the pilot must precede the jury because the jury parses whatever the pilot reveals the responses to look like, and the annotation study must start earliest because it is the only item gated by other people.</w:t>
      </w:r>
    </w:p>
    <w:tbl>
      <w:tblPr>
        <w:tblW w:type="dxa" w:w="9000"/>
        <w:tblBorders>
          <w:top w:val="single" w:color="D0D0D0" w:sz="4"/>
          <w:left w:val="none"/>
          <w:bottom w:val="single" w:color="D0D0D0" w:sz="4"/>
          <w:right w:val="none"/>
          <w:insideH w:val="single" w:color="D0D0D0" w:sz="2"/>
          <w:insideV w:val="none"/>
        </w:tblBorders>
      </w:tblPr>
      <w:tblGrid>
        <w:gridCol w:w="900"/>
        <w:gridCol w:w="1500"/>
        <w:gridCol w:w="3300"/>
        <w:gridCol w:w="3300"/>
      </w:tblGrid>
      <w:tr>
        <w:trPr>
          <w:tblHeader/>
        </w:trPr>
        <w:tc>
          <w:tcPr>
            <w:tcW w:type="dxa" w:w="9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Wk</w:t>
            </w:r>
          </w:p>
        </w:tc>
        <w:tc>
          <w:tcPr>
            <w:tcW w:type="dxa" w:w="15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Standup</w:t>
            </w:r>
          </w:p>
        </w:tc>
        <w:tc>
          <w:tcPr>
            <w:tcW w:type="dxa" w:w="33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Goal for the week</w:t>
            </w:r>
          </w:p>
        </w:tc>
        <w:tc>
          <w:tcPr>
            <w:tcW w:type="dxa" w:w="3300"/>
            <w:shd w:fill="EFEFEF"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Checked at standup</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W1</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 Aug</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Ethics submitted; models chosen; five criteria written and checklist re-signed; pilot run (~95 calls)</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Pilot report: parse rate, refusal rate, base rate, flip rate</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W2</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17 Aug</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Fix whatever the pilot broke; re-size from measured rates; execute the full run</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Response log complete and chain-verified</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W3</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 Aug</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Deterministic jury: two-proportion z-test with bootstrap CI, McNemar, Wilson</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First real fairness number, with its interval</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W4</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31 Aug</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Judge harness: rubric from clause + criterion, k = 5 at t = 0, both-order scoring, version pinned</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Raw judge runs logged and reproducible</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W5</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 Sep</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Conformal gate on the judge; canary drift test; annotation pilot of 30 items</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Coverage and selective error at the chosen τ</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W6</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14 Sep</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Guidelines frozen; main annotation of ~300 items begins, two annotators plus arbiter</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Human–human agreement ceiling reported first</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W7</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21 Sep</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Annotation completes; per-dimension κ; τ recalibrated against the human ceiling</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S2 evidence: κ and gate performance</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W8</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28 Sep</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Append-only ledger and clause-traced report; second model audited</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S3 evidence: both models through the frozen pipeline</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W9</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 Oct</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Insurance corpus signed; generalisation run; second jury route for continuous outcomes</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S4: where the transfer holds and where it breaks</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W10</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 Oct</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Write-up, negative results, buffer</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Everything reproducible from seed and signature</w:t>
            </w:r>
          </w:p>
        </w:tc>
      </w:tr>
    </w:tbl>
    <w:p>
      <w:pPr>
        <w:spacing w:after="140" w:line="276"/>
      </w:pPr>
      <w:r>
        <w:rPr>
          <w:rFonts w:ascii="Calibri" w:cs="Calibri" w:eastAsia="Calibri" w:hAnsi="Calibri"/>
          <w:color w:val="5F6368"/>
          <w:sz w:val="19"/>
          <w:szCs w:val="19"/>
        </w:rPr>
        <w:t xml:space="preserve">W5 to W7 are contingent on ethics turnaround. If approval slips, they slip with it — which is why W1 carries the submission and why the annotation study is not scheduled later than it has to be.</w:t>
      </w:r>
    </w:p>
    <w:p>
      <w:pPr>
        <w:pStyle w:val="Heading2"/>
        <w:spacing w:after="120" w:before="240"/>
      </w:pPr>
      <w:r>
        <w:rPr>
          <w:rFonts w:ascii="Calibri" w:cs="Calibri" w:eastAsia="Calibri" w:hAnsi="Calibri"/>
          <w:b/>
          <w:bCs/>
          <w:color w:val="1A1A1A"/>
          <w:sz w:val="24"/>
          <w:szCs w:val="24"/>
        </w:rPr>
        <w:t xml:space="preserve">Critical path</w:t>
      </w:r>
    </w:p>
    <w:p>
      <w:pPr>
        <w:spacing w:after="140" w:line="276"/>
      </w:pPr>
      <w:r>
        <w:rPr>
          <w:rFonts w:ascii="Calibri" w:cs="Calibri" w:eastAsia="Calibri" w:hAnsi="Calibri"/>
          <w:b/>
          <w:bCs/>
          <w:color w:val="1A1A1A"/>
          <w:sz w:val="21"/>
          <w:szCs w:val="21"/>
        </w:rPr>
        <w:t xml:space="preserve">Ethics → annotation pilot → guidelines → main annotation → κ → S2. </w:t>
      </w:r>
      <w:r>
        <w:rPr>
          <w:rFonts w:ascii="Calibri" w:cs="Calibri" w:eastAsia="Calibri" w:hAnsi="Calibri"/>
          <w:color w:val="1A1A1A"/>
          <w:sz w:val="21"/>
          <w:szCs w:val="21"/>
        </w:rPr>
        <w:t xml:space="preserve">Everything else can be rescheduled or compressed. This chain cannot, because four of its five links depend on other people’s calendars. The jury and judge sit off the critical path: they are well-specified and could each be built in a few days if a week is lost elsewhere.</w:t>
      </w:r>
    </w:p>
    <w:p>
      <w:pPr>
        <w:pStyle w:val="Heading1"/>
        <w:spacing w:after="160" w:before="320"/>
      </w:pPr>
      <w:r>
        <w:rPr>
          <w:rFonts w:ascii="Calibri" w:cs="Calibri" w:eastAsia="Calibri" w:hAnsi="Calibri"/>
          <w:b/>
          <w:bCs/>
          <w:color w:val="1A1A1A"/>
          <w:sz w:val="30"/>
          <w:szCs w:val="30"/>
        </w:rPr>
        <w:t xml:space="preserve">Open risks</w:t>
      </w:r>
    </w:p>
    <w:p>
      <w:pPr>
        <w:pStyle w:val="Heading2"/>
        <w:spacing w:after="120" w:before="240"/>
      </w:pPr>
      <w:r>
        <w:rPr>
          <w:rFonts w:ascii="Calibri" w:cs="Calibri" w:eastAsia="Calibri" w:hAnsi="Calibri"/>
          <w:b/>
          <w:bCs/>
          <w:color w:val="1A1A1A"/>
          <w:sz w:val="24"/>
          <w:szCs w:val="24"/>
        </w:rPr>
        <w:t xml:space="preserve">Scheduling — the annotation study</w:t>
      </w:r>
    </w:p>
    <w:p>
      <w:pPr>
        <w:spacing w:after="140" w:line="276"/>
      </w:pPr>
      <w:r>
        <w:rPr>
          <w:rFonts w:ascii="Calibri" w:cs="Calibri" w:eastAsia="Calibri" w:hAnsi="Calibri"/>
          <w:color w:val="1A1A1A"/>
          <w:sz w:val="21"/>
          <w:szCs w:val="21"/>
        </w:rPr>
        <w:t xml:space="preserve">Ethics approval and annotator recruitment have not started. Every other item on this list can be compressed by working harder; this one cannot. It should move this week irrespective of code progress.</w:t>
      </w:r>
    </w:p>
    <w:p>
      <w:pPr>
        <w:pStyle w:val="Heading2"/>
        <w:spacing w:after="120" w:before="240"/>
      </w:pPr>
      <w:r>
        <w:rPr>
          <w:rFonts w:ascii="Calibri" w:cs="Calibri" w:eastAsia="Calibri" w:hAnsi="Calibri"/>
          <w:b/>
          <w:bCs/>
          <w:color w:val="1A1A1A"/>
          <w:sz w:val="24"/>
          <w:szCs w:val="24"/>
        </w:rPr>
        <w:t xml:space="preserve">Blocking — empty criteria</w:t>
      </w:r>
    </w:p>
    <w:p>
      <w:pPr>
        <w:spacing w:after="140" w:line="276"/>
      </w:pPr>
      <w:r>
        <w:rPr>
          <w:rFonts w:ascii="Calibri" w:cs="Calibri" w:eastAsia="Calibri" w:hAnsi="Calibri"/>
          <w:color w:val="1A1A1A"/>
          <w:sz w:val="21"/>
          <w:szCs w:val="21"/>
        </w:rPr>
        <w:t xml:space="preserve">All five items on the signed checklist have an empty criterion field. The judge’s rubric is clause text plus operationalized criterion plus reference, so 152 transparency probes currently cannot be scored at all. Writing the criteria is notary work and triggers a re-sign, which cascades to a probe regeneration — cheaper now than later.</w:t>
      </w:r>
    </w:p>
    <w:p>
      <w:pPr>
        <w:pStyle w:val="Heading2"/>
        <w:spacing w:after="120" w:before="240"/>
      </w:pPr>
      <w:r>
        <w:rPr>
          <w:rFonts w:ascii="Calibri" w:cs="Calibri" w:eastAsia="Calibri" w:hAnsi="Calibri"/>
          <w:b/>
          <w:bCs/>
          <w:color w:val="1A1A1A"/>
          <w:sz w:val="24"/>
          <w:szCs w:val="24"/>
        </w:rPr>
        <w:t xml:space="preserve">Statistical — resolution</w:t>
      </w:r>
    </w:p>
    <w:p>
      <w:pPr>
        <w:spacing w:after="140" w:line="276"/>
      </w:pPr>
      <w:r>
        <w:rPr>
          <w:rFonts w:ascii="Calibri" w:cs="Calibri" w:eastAsia="Calibri" w:hAnsi="Calibri"/>
          <w:color w:val="1A1A1A"/>
          <w:sz w:val="21"/>
          <w:szCs w:val="21"/>
        </w:rPr>
        <w:t xml:space="preserve">The committed sample detects a 10 percentage-point approval gap in the marginal stratum at 80% power. If the true effect is a few points it will be invisible, and reaching 5 pp would need roughly 1,570 pairs per arm rather than 393. Whether that resolution is adequate is a judgement to record before the full run, not after seeing the result.</w:t>
      </w:r>
    </w:p>
    <w:p>
      <w:pPr>
        <w:pStyle w:val="Heading2"/>
        <w:spacing w:after="120" w:before="240"/>
      </w:pPr>
      <w:r>
        <w:rPr>
          <w:rFonts w:ascii="Calibri" w:cs="Calibri" w:eastAsia="Calibri" w:hAnsi="Calibri"/>
          <w:b/>
          <w:bCs/>
          <w:color w:val="1A1A1A"/>
          <w:sz w:val="24"/>
          <w:szCs w:val="24"/>
        </w:rPr>
        <w:t xml:space="preserve">Construct — synthetic profiles and a single template</w:t>
      </w:r>
    </w:p>
    <w:p>
      <w:pPr>
        <w:spacing w:after="140" w:line="276"/>
      </w:pPr>
      <w:r>
        <w:rPr>
          <w:rFonts w:ascii="Calibri" w:cs="Calibri" w:eastAsia="Calibri" w:hAnsi="Calibri"/>
          <w:color w:val="1A1A1A"/>
          <w:sz w:val="21"/>
          <w:szCs w:val="21"/>
        </w:rPr>
        <w:t xml:space="preserve">Applicant profiles are sampled from ranges chosen for plausibility, not calibrated against any real portfolio, and every probe uses one prompt template. Published work reports that the table-to-text serialization format itself shifts measured disparity, so the template is a live confound. Adopting a public credit dataset would address both, and would also supply the calibration points the conformal gate lacks.</w:t>
      </w:r>
    </w:p>
    <w:p>
      <w:pPr>
        <w:pStyle w:val="Heading1"/>
        <w:spacing w:after="160" w:before="320"/>
      </w:pPr>
      <w:r>
        <w:rPr>
          <w:rFonts w:ascii="Calibri" w:cs="Calibri" w:eastAsia="Calibri" w:hAnsi="Calibri"/>
          <w:b/>
          <w:bCs/>
          <w:color w:val="1A1A1A"/>
          <w:sz w:val="30"/>
          <w:szCs w:val="30"/>
        </w:rPr>
        <w:t xml:space="preserve">W1 commitments — reviewed Monday 10 August</w:t>
      </w:r>
    </w:p>
    <w:p>
      <w:pPr>
        <w:spacing w:after="40" w:line="276"/>
      </w:pPr>
      <w:r>
        <w:rPr>
          <w:rFonts w:ascii="Calibri" w:cs="Calibri" w:eastAsia="Calibri" w:hAnsi="Calibri"/>
          <w:b/>
          <w:bCs/>
          <w:color w:val="1A1A1A"/>
          <w:sz w:val="21"/>
          <w:szCs w:val="21"/>
        </w:rPr>
        <w:t xml:space="preserve">1.  Submit the ethics application; open annotator recruitment.</w:t>
      </w:r>
    </w:p>
    <w:p>
      <w:pPr>
        <w:spacing w:after="140" w:line="276"/>
      </w:pPr>
      <w:r>
        <w:rPr>
          <w:rFonts w:ascii="Calibri" w:cs="Calibri" w:eastAsia="Calibri" w:hAnsi="Calibri"/>
          <w:color w:val="5F6368"/>
          <w:sz w:val="19"/>
          <w:szCs w:val="19"/>
        </w:rPr>
        <w:t xml:space="preserve">No code. Longest lead time on the project, and S2 depends entirely on it. Everything in W5–W7 moves if this does.</w:t>
      </w:r>
    </w:p>
    <w:p>
      <w:pPr>
        <w:spacing w:after="40" w:line="276"/>
      </w:pPr>
      <w:r>
        <w:rPr>
          <w:rFonts w:ascii="Calibri" w:cs="Calibri" w:eastAsia="Calibri" w:hAnsi="Calibri"/>
          <w:b/>
          <w:bCs/>
          <w:color w:val="1A1A1A"/>
          <w:sz w:val="21"/>
          <w:szCs w:val="21"/>
        </w:rPr>
        <w:t xml:space="preserve">2.  Choose the audited models and the judge model.</w:t>
      </w:r>
    </w:p>
    <w:p>
      <w:pPr>
        <w:spacing w:after="140" w:line="276"/>
      </w:pPr>
      <w:r>
        <w:rPr>
          <w:rFonts w:ascii="Calibri" w:cs="Calibri" w:eastAsia="Calibri" w:hAnsi="Calibri"/>
          <w:color w:val="5F6368"/>
          <w:sz w:val="19"/>
          <w:szCs w:val="19"/>
        </w:rPr>
        <w:t xml:space="preserve">Constrained: the judge family must be disjoint from every model it grades, so pick the audited pair first. Nothing in W4 can begin until this is fixed.</w:t>
      </w:r>
    </w:p>
    <w:p>
      <w:pPr>
        <w:spacing w:after="40" w:line="276"/>
      </w:pPr>
      <w:r>
        <w:rPr>
          <w:rFonts w:ascii="Calibri" w:cs="Calibri" w:eastAsia="Calibri" w:hAnsi="Calibri"/>
          <w:b/>
          <w:bCs/>
          <w:color w:val="1A1A1A"/>
          <w:sz w:val="21"/>
          <w:szCs w:val="21"/>
        </w:rPr>
        <w:t xml:space="preserve">3.  Write the five operationalized criteria and re-sign the checklist.</w:t>
      </w:r>
    </w:p>
    <w:p>
      <w:pPr>
        <w:spacing w:after="140" w:line="276"/>
      </w:pPr>
      <w:r>
        <w:rPr>
          <w:rFonts w:ascii="Calibri" w:cs="Calibri" w:eastAsia="Calibri" w:hAnsi="Calibri"/>
          <w:color w:val="5F6368"/>
          <w:sz w:val="19"/>
          <w:szCs w:val="19"/>
        </w:rPr>
        <w:t xml:space="preserve">Roughly an hour of notary work. Unblocks the judge and the 152 transparency probes; triggers a probe regeneration, which is cheaper now than in W4.</w:t>
      </w:r>
    </w:p>
    <w:p>
      <w:pPr>
        <w:spacing w:after="40" w:line="276"/>
      </w:pPr>
      <w:r>
        <w:rPr>
          <w:rFonts w:ascii="Calibri" w:cs="Calibri" w:eastAsia="Calibri" w:hAnsi="Calibri"/>
          <w:b/>
          <w:bCs/>
          <w:color w:val="1A1A1A"/>
          <w:sz w:val="21"/>
          <w:szCs w:val="21"/>
        </w:rPr>
        <w:t xml:space="preserve">4.  Run the pilot — roughly 95 calls, not 3,530.</w:t>
      </w:r>
    </w:p>
    <w:p>
      <w:pPr>
        <w:spacing w:after="140" w:line="276"/>
      </w:pPr>
      <w:r>
        <w:rPr>
          <w:rFonts w:ascii="Calibri" w:cs="Calibri" w:eastAsia="Calibri" w:hAnsi="Calibri"/>
          <w:color w:val="5F6368"/>
          <w:sz w:val="19"/>
          <w:szCs w:val="19"/>
        </w:rPr>
        <w:t xml:space="preserve">Answers the four questions the full run’s sizing rests on: parse rate, refusal rate, base approval rate against the p = 0.5 assumption, and perturbation flip rate against the assumed 10%. Expect it to fail something — that is the point, at 95 calls rather than 3,530.</w:t>
      </w:r>
    </w:p>
    <w:p>
      <w:pPr>
        <w:spacing w:after="160" w:line="276"/>
      </w:pPr>
      <w:r>
        <w:rPr>
          <w:rFonts w:ascii="Calibri" w:cs="Calibri" w:eastAsia="Calibri" w:hAnsi="Calibri"/>
          <w:i/>
          <w:iCs/>
          <w:color w:val="1A1A1A"/>
          <w:sz w:val="21"/>
          <w:szCs w:val="21"/>
        </w:rPr>
        <w:t xml:space="preserve">Carried to the 10 August standup: the pilot report as printed, the re-signed checklist hash, and a decision recorded on whether 10 pp resolution is adequate before the full run is paid for.</w:t>
      </w:r>
    </w:p>
    <w:p>
      <w:pPr>
        <w:pBdr>
          <w:bottom w:val="single" w:color="D0D0D0" w:sz="6"/>
        </w:pBdr>
        <w:spacing w:after="180" w:before="60"/>
      </w:pPr>
      <w:r>
        <w:rPr>
          <w:sz w:val="2"/>
          <w:szCs w:val="2"/>
        </w:rPr>
        <w:t xml:space="preserve"/>
      </w:r>
    </w:p>
    <w:p>
      <w:pPr>
        <w:spacing w:after="140" w:line="276"/>
        <w:jc w:val="center"/>
      </w:pPr>
      <w:r>
        <w:rPr>
          <w:rFonts w:ascii="Calibri" w:cs="Calibri" w:eastAsia="Calibri" w:hAnsi="Calibri"/>
          <w:color w:val="5F6368"/>
          <w:sz w:val="18"/>
          <w:szCs w:val="18"/>
        </w:rPr>
        <w:t xml:space="preserve">Repository: github.com/prasadwatane/CASE-STUDY · 132 tests passing · probe set 6a37fbf5 · checklist fb4c3454</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2026-08-03T10:19:02.053Z</dcterms:created>
  <dcterms:modified xsi:type="dcterms:W3CDTF">2026-08-03T10:19:02.053Z</dcterms:modified>
</cp:coreProperties>
</file>

<file path=docProps/custom.xml><?xml version="1.0" encoding="utf-8"?>
<Properties xmlns="http://schemas.openxmlformats.org/officeDocument/2006/custom-properties" xmlns:vt="http://schemas.openxmlformats.org/officeDocument/2006/docPropsVTypes"/>
</file>