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line="274"/>
      </w:pPr>
      <w:r>
        <w:rPr>
          <w:rFonts w:ascii="Calibri" w:cs="Calibri" w:eastAsia="Calibri" w:hAnsi="Calibri"/>
          <w:b/>
          <w:bCs/>
          <w:color w:val="5F6368"/>
          <w:sz w:val="17"/>
          <w:szCs w:val="17"/>
        </w:rPr>
        <w:t xml:space="preserve">GRAIL  ·  WEEKLY PROGRESS LOG  ·  MONDAY STANDUP</w:t>
      </w:r>
    </w:p>
    <w:p>
      <w:pPr>
        <w:spacing w:after="70"/>
      </w:pPr>
      <w:r>
        <w:rPr>
          <w:rFonts w:ascii="Calibri" w:cs="Calibri" w:eastAsia="Calibri" w:hAnsi="Calibri"/>
          <w:b/>
          <w:bCs/>
          <w:color w:val="1A1A1A"/>
          <w:sz w:val="32"/>
          <w:szCs w:val="32"/>
        </w:rPr>
        <w:t xml:space="preserve">GRAIL — Standards-Grounded Audit of Foundation Models</w:t>
      </w:r>
    </w:p>
    <w:tbl>
      <w:tblPr>
        <w:tblW w:type="dxa" w:w="9020"/>
        <w:tblBorders>
          <w:top w:val="single" w:color="D3D3D3" w:sz="4"/>
          <w:left w:val="none"/>
          <w:bottom w:val="single" w:color="D3D3D3" w:sz="4"/>
          <w:right w:val="none"/>
          <w:insideH w:val="single" w:color="D3D3D3" w:sz="2"/>
          <w:insideV w:val="none"/>
        </w:tblBorders>
      </w:tblPr>
      <w:tblGrid>
        <w:gridCol w:w="2100"/>
        <w:gridCol w:w="2300"/>
        <w:gridCol w:w="2200"/>
        <w:gridCol w:w="2420"/>
      </w:tblGrid>
      <w:tr>
        <w:trPr>
          <w:tblHeader/>
        </w:trPr>
        <w:tc>
          <w:tcPr>
            <w:tcW w:type="dxa" w:w="210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Owner</w:t>
            </w:r>
          </w:p>
        </w:tc>
        <w:tc>
          <w:tcPr>
            <w:tcW w:type="dxa" w:w="230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Cadence</w:t>
            </w:r>
          </w:p>
        </w:tc>
        <w:tc>
          <w:tcPr>
            <w:tcW w:type="dxa" w:w="220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Status</w:t>
            </w:r>
          </w:p>
        </w:tc>
        <w:tc>
          <w:tcPr>
            <w:tcW w:type="dxa" w:w="242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Next standup</w:t>
            </w:r>
          </w:p>
        </w:tc>
      </w:tr>
      <w:tr>
        <w:tc>
          <w:tcPr>
            <w:tcW w:type="dxa" w:w="2100"/>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Prasad Devendra Watane</w:t>
            </w:r>
          </w:p>
        </w:tc>
        <w:tc>
          <w:tcPr>
            <w:tcW w:type="dxa" w:w="23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Monday standup, weekly</w:t>
            </w:r>
          </w:p>
        </w:tc>
        <w:tc>
          <w:tcPr>
            <w:tcW w:type="dxa" w:w="2200"/>
            <w:shd w:fill="EDF5EF" w:color="auto" w:val="clear"/>
            <w:tcMar>
              <w:top w:type="dxa" w:w="80"/>
              <w:left w:type="dxa" w:w="115"/>
              <w:bottom w:type="dxa" w:w="80"/>
              <w:right w:type="dxa" w:w="115"/>
            </w:tcMar>
          </w:tcPr>
          <w:p>
            <w:pPr>
              <w:spacing w:after="0" w:line="252"/>
            </w:pPr>
            <w:r>
              <w:rPr>
                <w:rFonts w:ascii="Calibri" w:cs="Calibri" w:eastAsia="Calibri" w:hAnsi="Calibri"/>
                <w:b/>
                <w:bCs/>
                <w:color w:val="1E6B34"/>
                <w:sz w:val="18"/>
                <w:szCs w:val="18"/>
              </w:rPr>
              <w:t xml:space="preserve">GREEN build / GREEN first result</w:t>
            </w:r>
          </w:p>
        </w:tc>
        <w:tc>
          <w:tcPr>
            <w:tcW w:type="dxa" w:w="2420"/>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Mon 24 Aug 2026</w:t>
            </w:r>
          </w:p>
        </w:tc>
      </w:tr>
      <w:tr>
        <w:tc>
          <w:tcPr>
            <w:tcW w:type="dxa" w:w="21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SRH Heidelberg · Prof. Dr. Swati Chandna</w:t>
            </w:r>
          </w:p>
        </w:tc>
        <w:tc>
          <w:tcPr>
            <w:tcW w:type="dxa" w:w="23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github.com/prasadwatane/CASE-STUDY</w:t>
            </w:r>
          </w:p>
        </w:tc>
        <w:tc>
          <w:tcPr>
            <w:tcW w:type="dxa" w:w="22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184 tests · finding banked on GitHub</w:t>
            </w:r>
          </w:p>
        </w:tc>
        <w:tc>
          <w:tcPr>
            <w:tcW w:type="dxa" w:w="242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Second model + deterministic jury</w:t>
            </w:r>
          </w:p>
        </w:tc>
      </w:tr>
    </w:tbl>
    <w:p>
      <w:pPr>
        <w:pBdr>
          <w:bottom w:val="single" w:color="D3D3D3" w:sz="6"/>
        </w:pBdr>
        <w:spacing w:after="165" w:before="50"/>
      </w:pPr>
      <w:r>
        <w:rPr>
          <w:sz w:val="2"/>
          <w:szCs w:val="2"/>
        </w:rPr>
        <w:t xml:space="preserve"/>
      </w:r>
    </w:p>
    <w:p>
      <w:pPr>
        <w:pStyle w:val="Heading1"/>
        <w:spacing w:after="145" w:before="290"/>
      </w:pPr>
      <w:r>
        <w:rPr>
          <w:rFonts w:ascii="Calibri" w:cs="Calibri" w:eastAsia="Calibri" w:hAnsi="Calibri"/>
          <w:b/>
          <w:bCs/>
          <w:color w:val="1A1A1A"/>
          <w:sz w:val="28"/>
          <w:szCs w:val="28"/>
        </w:rPr>
        <w:t xml:space="preserve">How to read this log</w:t>
      </w:r>
    </w:p>
    <w:p>
      <w:pPr>
        <w:spacing w:after="125" w:line="274"/>
      </w:pPr>
      <w:r>
        <w:rPr>
          <w:rFonts w:ascii="Calibri" w:cs="Calibri" w:eastAsia="Calibri" w:hAnsi="Calibri"/>
          <w:color w:val="1A1A1A"/>
          <w:sz w:val="21"/>
          <w:szCs w:val="21"/>
        </w:rPr>
        <w:t xml:space="preserve">One section per week. Each carries what was delivered, what it cost, and what it revealed — including the things that went wrong, because those are where the design decisions actually came from. Forward weeks carry a goal and an exit criterion rather than a promise.</w:t>
      </w:r>
    </w:p>
    <w:p>
      <w:pPr>
        <w:spacing w:after="125" w:line="274"/>
      </w:pPr>
      <w:r>
        <w:rPr>
          <w:rFonts w:ascii="Calibri" w:cs="Calibri" w:eastAsia="Calibri" w:hAnsi="Calibri"/>
          <w:b/>
          <w:bCs/>
          <w:color w:val="1A1A1A"/>
          <w:sz w:val="21"/>
          <w:szCs w:val="21"/>
        </w:rPr>
        <w:t xml:space="preserve">Current position in one line: </w:t>
      </w:r>
      <w:r>
        <w:rPr>
          <w:rFonts w:ascii="Calibri" w:cs="Calibri" w:eastAsia="Calibri" w:hAnsi="Calibri"/>
          <w:color w:val="1A1A1A"/>
          <w:sz w:val="21"/>
          <w:szCs w:val="21"/>
        </w:rPr>
        <w:t xml:space="preserve">the corrected instrument has produced the project’s first significant finding. Across 4,740 matched pairs the audited model approves female-titled applicants more often than identical male ones — 96 discordant pairs to 7, p = 4 × 10⁻²¹. The design fault found earlier in the week is why it was found at all: the original sizing could not have detected an effect this size. Roughly 65% of the software, roughly 40% of the empirical evidence.</w:t>
      </w:r>
    </w:p>
    <w:p>
      <w:pPr>
        <w:pStyle w:val="Heading1"/>
        <w:spacing w:after="145" w:before="290"/>
      </w:pPr>
      <w:r>
        <w:rPr>
          <w:rFonts w:ascii="Calibri" w:cs="Calibri" w:eastAsia="Calibri" w:hAnsi="Calibri"/>
          <w:b/>
          <w:bCs/>
          <w:color w:val="1A1A1A"/>
          <w:sz w:val="28"/>
          <w:szCs w:val="28"/>
        </w:rPr>
        <w:t xml:space="preserve">Week 0 — baseline (before 3 August)</w:t>
      </w:r>
    </w:p>
    <w:p>
      <w:pPr>
        <w:spacing w:after="70" w:before="150"/>
      </w:pPr>
      <w:r>
        <w:rPr>
          <w:rFonts w:ascii="Calibri" w:cs="Calibri" w:eastAsia="Calibri" w:hAnsi="Calibri"/>
          <w:b/>
          <w:bCs/>
          <w:color w:val="5F6368"/>
          <w:sz w:val="20"/>
          <w:szCs w:val="20"/>
        </w:rPr>
        <w:t xml:space="preserve">Delivered</w:t>
      </w:r>
    </w:p>
    <w:p>
      <w:pPr>
        <w:pStyle w:val="ListParagraph"/>
        <w:numPr>
          <w:ilvl w:val="0"/>
          <w:numId w:val="2"/>
        </w:numPr>
        <w:spacing w:after="70" w:line="272"/>
      </w:pPr>
      <w:r>
        <w:rPr>
          <w:rFonts w:ascii="Calibri" w:cs="Calibri" w:eastAsia="Calibri" w:hAnsi="Calibri"/>
          <w:color w:val="1A1A1A"/>
          <w:sz w:val="20"/>
          <w:szCs w:val="20"/>
        </w:rPr>
        <w:t xml:space="preserve">Ground stage: deterministic Article→Paragraph→Point parse of the official EU AI Act (OJ L 2024/1689), 1143 legal units.</w:t>
      </w:r>
    </w:p>
    <w:p>
      <w:pPr>
        <w:pStyle w:val="ListParagraph"/>
        <w:numPr>
          <w:ilvl w:val="0"/>
          <w:numId w:val="2"/>
        </w:numPr>
        <w:spacing w:after="70" w:line="272"/>
      </w:pPr>
      <w:r>
        <w:rPr>
          <w:rFonts w:ascii="Calibri" w:cs="Calibri" w:eastAsia="Calibri" w:hAnsi="Calibri"/>
          <w:color w:val="1A1A1A"/>
          <w:sz w:val="20"/>
          <w:szCs w:val="20"/>
        </w:rPr>
        <w:t xml:space="preserve">Hybrid retrieval — bge-base dense + BM25 sparse, RRF fusion. recall@3 = 1.00 on a 10-query finance gold set.</w:t>
      </w:r>
    </w:p>
    <w:p>
      <w:pPr>
        <w:pStyle w:val="ListParagraph"/>
        <w:numPr>
          <w:ilvl w:val="0"/>
          <w:numId w:val="2"/>
        </w:numPr>
        <w:spacing w:after="70" w:line="272"/>
      </w:pPr>
      <w:r>
        <w:rPr>
          <w:rFonts w:ascii="Calibri" w:cs="Calibri" w:eastAsia="Calibri" w:hAnsi="Calibri"/>
          <w:color w:val="1A1A1A"/>
          <w:sz w:val="20"/>
          <w:szCs w:val="20"/>
        </w:rPr>
        <w:t xml:space="preserve">Scope partition (behavioural / hybrid / procedural) with human-signed overrides.</w:t>
      </w:r>
    </w:p>
    <w:p>
      <w:pPr>
        <w:pStyle w:val="ListParagraph"/>
        <w:numPr>
          <w:ilvl w:val="0"/>
          <w:numId w:val="2"/>
        </w:numPr>
        <w:spacing w:after="70" w:line="272"/>
      </w:pPr>
      <w:r>
        <w:rPr>
          <w:rFonts w:ascii="Calibri" w:cs="Calibri" w:eastAsia="Calibri" w:hAnsi="Calibri"/>
          <w:color w:val="1A1A1A"/>
          <w:sz w:val="20"/>
          <w:szCs w:val="20"/>
        </w:rPr>
        <w:t xml:space="preserve">Notary gate: derive → review → sign → freeze, SHA-256, tamper-evident.</w:t>
      </w:r>
    </w:p>
    <w:p>
      <w:pPr>
        <w:spacing w:after="70" w:before="150"/>
      </w:pPr>
      <w:r>
        <w:rPr>
          <w:rFonts w:ascii="Calibri" w:cs="Calibri" w:eastAsia="Calibri" w:hAnsi="Calibri"/>
          <w:b/>
          <w:bCs/>
          <w:color w:val="5F6368"/>
          <w:sz w:val="20"/>
          <w:szCs w:val="20"/>
        </w:rPr>
        <w:t xml:space="preserve">Position at the end of the week</w:t>
      </w:r>
    </w:p>
    <w:p>
      <w:pPr>
        <w:spacing w:after="125" w:line="274"/>
      </w:pPr>
      <w:r>
        <w:rPr>
          <w:rFonts w:ascii="Calibri" w:cs="Calibri" w:eastAsia="Calibri" w:hAnsi="Calibri"/>
          <w:color w:val="5F6368"/>
          <w:sz w:val="20"/>
          <w:szCs w:val="20"/>
        </w:rPr>
        <w:t xml:space="preserve">Ground complete. Nothing downstream of retrieval existed. No version control.</w:t>
      </w:r>
    </w:p>
    <w:p>
      <w:pPr>
        <w:pStyle w:val="Heading1"/>
        <w:spacing w:after="145" w:before="290"/>
      </w:pPr>
      <w:r>
        <w:rPr>
          <w:rFonts w:ascii="Calibri" w:cs="Calibri" w:eastAsia="Calibri" w:hAnsi="Calibri"/>
          <w:b/>
          <w:bCs/>
          <w:color w:val="1A1A1A"/>
          <w:sz w:val="28"/>
          <w:szCs w:val="28"/>
        </w:rPr>
        <w:t xml:space="preserve">Week 1 — 3 to 9 August</w:t>
      </w:r>
    </w:p>
    <w:p>
      <w:pPr>
        <w:spacing w:after="125" w:line="274"/>
      </w:pPr>
      <w:r>
        <w:rPr>
          <w:rFonts w:ascii="Calibri" w:cs="Calibri" w:eastAsia="Calibri" w:hAnsi="Calibri"/>
          <w:b/>
          <w:bCs/>
          <w:color w:val="1A1A1A"/>
          <w:sz w:val="21"/>
          <w:szCs w:val="21"/>
        </w:rPr>
        <w:t xml:space="preserve">The heaviest week of the project. </w:t>
      </w:r>
      <w:r>
        <w:rPr>
          <w:rFonts w:ascii="Calibri" w:cs="Calibri" w:eastAsia="Calibri" w:hAnsi="Calibri"/>
          <w:color w:val="1A1A1A"/>
          <w:sz w:val="21"/>
          <w:szCs w:val="21"/>
        </w:rPr>
        <w:t xml:space="preserve">Four architecture stages built, tested and committed; two design errors found and corrected; one external dataset adopted. Ended blocked on an environment problem rather than a design one.</w:t>
      </w:r>
    </w:p>
    <w:p>
      <w:pPr>
        <w:pStyle w:val="Heading2"/>
        <w:spacing w:after="105" w:before="220"/>
      </w:pPr>
      <w:r>
        <w:rPr>
          <w:rFonts w:ascii="Calibri" w:cs="Calibri" w:eastAsia="Calibri" w:hAnsi="Calibri"/>
          <w:b/>
          <w:bCs/>
          <w:color w:val="1E6B34"/>
          <w:sz w:val="23"/>
          <w:szCs w:val="23"/>
        </w:rPr>
        <w:t xml:space="preserve">Delivered</w:t>
      </w:r>
    </w:p>
    <w:tbl>
      <w:tblPr>
        <w:tblW w:type="dxa" w:w="9020"/>
        <w:tblBorders>
          <w:top w:val="single" w:color="D3D3D3" w:sz="4"/>
          <w:left w:val="none"/>
          <w:bottom w:val="single" w:color="D3D3D3" w:sz="4"/>
          <w:right w:val="none"/>
          <w:insideH w:val="single" w:color="D3D3D3" w:sz="2"/>
          <w:insideV w:val="none"/>
        </w:tblBorders>
      </w:tblPr>
      <w:tblGrid>
        <w:gridCol w:w="2400"/>
        <w:gridCol w:w="1500"/>
        <w:gridCol w:w="5120"/>
      </w:tblGrid>
      <w:tr>
        <w:trPr>
          <w:tblHeader/>
        </w:trPr>
        <w:tc>
          <w:tcPr>
            <w:tcW w:type="dxa" w:w="240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Stage</w:t>
            </w:r>
          </w:p>
        </w:tc>
        <w:tc>
          <w:tcPr>
            <w:tcW w:type="dxa" w:w="150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Tests</w:t>
            </w:r>
          </w:p>
        </w:tc>
        <w:tc>
          <w:tcPr>
            <w:tcW w:type="dxa" w:w="512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What it does</w:t>
            </w:r>
          </w:p>
        </w:tc>
      </w:tr>
      <w:tr>
        <w:tc>
          <w:tcPr>
            <w:tcW w:type="dxa" w:w="24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Version control + GitHub</w:t>
            </w:r>
          </w:p>
        </w:tc>
        <w:tc>
          <w:tcPr>
            <w:tcW w:type="dxa" w:w="15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w:t>
            </w:r>
          </w:p>
        </w:tc>
        <w:tc>
          <w:tcPr>
            <w:tcW w:type="dxa" w:w="512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Repository initialised, .gitignore separating derived artefacts from provenance, pushed</w:t>
            </w:r>
          </w:p>
        </w:tc>
      </w:tr>
      <w:tr>
        <w:tc>
          <w:tcPr>
            <w:tcW w:type="dxa" w:w="24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Auto-probe generator</w:t>
            </w:r>
          </w:p>
        </w:tc>
        <w:tc>
          <w:tcPr>
            <w:tcW w:type="dxa" w:w="15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31</w:t>
            </w:r>
          </w:p>
        </w:tc>
        <w:tc>
          <w:tcPr>
            <w:tcW w:type="dxa" w:w="512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Probes from the signed checklist only; 3530 prompts over 1097 cases, reproducible from a seed</w:t>
            </w:r>
          </w:p>
        </w:tc>
      </w:tr>
      <w:tr>
        <w:tc>
          <w:tcPr>
            <w:tcW w:type="dxa" w:w="24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Gold pipeline</w:t>
            </w:r>
          </w:p>
        </w:tc>
        <w:tc>
          <w:tcPr>
            <w:tcW w:type="dxa" w:w="15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31</w:t>
            </w:r>
          </w:p>
        </w:tc>
        <w:tc>
          <w:tcPr>
            <w:tcW w:type="dxa" w:w="512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Green / Amber / escalated routing with an exact Clopper–Pearson conformal gate</w:t>
            </w:r>
          </w:p>
        </w:tc>
      </w:tr>
      <w:tr>
        <w:tc>
          <w:tcPr>
            <w:tcW w:type="dxa" w:w="24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Runner + response log</w:t>
            </w:r>
          </w:p>
        </w:tc>
        <w:tc>
          <w:tcPr>
            <w:tcW w:type="dxa" w:w="15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25</w:t>
            </w:r>
          </w:p>
        </w:tc>
        <w:tc>
          <w:tcPr>
            <w:tcW w:type="dxa" w:w="512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Append-only, hash-chained, cached; in-process vLLM with batched generation</w:t>
            </w:r>
          </w:p>
        </w:tc>
      </w:tr>
      <w:tr>
        <w:tc>
          <w:tcPr>
            <w:tcW w:type="dxa" w:w="24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Positive controls</w:t>
            </w:r>
          </w:p>
        </w:tc>
        <w:tc>
          <w:tcPr>
            <w:tcW w:type="dxa" w:w="15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w:t>
            </w:r>
          </w:p>
        </w:tc>
        <w:tc>
          <w:tcPr>
            <w:tcW w:type="dxa" w:w="512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Known-effect pairs and parse controls, scored by an exact sign test on direction</w:t>
            </w:r>
          </w:p>
        </w:tc>
      </w:tr>
      <w:tr>
        <w:tc>
          <w:tcPr>
            <w:tcW w:type="dxa" w:w="24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Stimulus packs</w:t>
            </w:r>
          </w:p>
        </w:tc>
        <w:tc>
          <w:tcPr>
            <w:tcW w:type="dxa" w:w="15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19</w:t>
            </w:r>
          </w:p>
        </w:tc>
        <w:tc>
          <w:tcPr>
            <w:tcW w:type="dxa" w:w="512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Sub-domain became data: credit, credit_real and insurance, all invariants tested against each</w:t>
            </w:r>
          </w:p>
        </w:tc>
      </w:tr>
      <w:tr>
        <w:tc>
          <w:tcPr>
            <w:tcW w:type="dxa" w:w="24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German Credit adapter</w:t>
            </w:r>
          </w:p>
        </w:tc>
        <w:tc>
          <w:tcPr>
            <w:tcW w:type="dxa" w:w="15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16</w:t>
            </w:r>
          </w:p>
        </w:tc>
        <w:tc>
          <w:tcPr>
            <w:tcW w:type="dxa" w:w="512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1000 real applicant records (CC BY 4.0) replacing synthetic profiles</w:t>
            </w:r>
          </w:p>
        </w:tc>
      </w:tr>
      <w:tr>
        <w:tc>
          <w:tcPr>
            <w:tcW w:type="dxa" w:w="24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Annotation study</w:t>
            </w:r>
          </w:p>
        </w:tc>
        <w:tc>
          <w:tcPr>
            <w:tcW w:type="dxa" w:w="15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21</w:t>
            </w:r>
          </w:p>
        </w:tc>
        <w:tc>
          <w:tcPr>
            <w:tcW w:type="dxa" w:w="512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Blinded export, Cohen’s κ with bootstrap intervals, ceiling-first reporting</w:t>
            </w:r>
          </w:p>
        </w:tc>
      </w:tr>
      <w:tr>
        <w:tc>
          <w:tcPr>
            <w:tcW w:type="dxa" w:w="2400"/>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Total</w:t>
            </w:r>
          </w:p>
        </w:tc>
        <w:tc>
          <w:tcPr>
            <w:tcW w:type="dxa" w:w="1500"/>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172</w:t>
            </w:r>
          </w:p>
        </w:tc>
        <w:tc>
          <w:tcPr>
            <w:tcW w:type="dxa" w:w="5120"/>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All passing. Test-to-source ratio roughly 1 : 2.4</w:t>
            </w:r>
          </w:p>
        </w:tc>
      </w:tr>
    </w:tbl>
    <w:p>
      <w:pPr>
        <w:pStyle w:val="Heading2"/>
        <w:spacing w:after="105" w:before="220"/>
      </w:pPr>
      <w:r>
        <w:rPr>
          <w:rFonts w:ascii="Calibri" w:cs="Calibri" w:eastAsia="Calibri" w:hAnsi="Calibri"/>
          <w:b/>
          <w:bCs/>
          <w:color w:val="8A5A00"/>
          <w:sz w:val="23"/>
          <w:szCs w:val="23"/>
        </w:rPr>
        <w:t xml:space="preserve">What went wrong, and what it changed</w:t>
      </w:r>
    </w:p>
    <w:p>
      <w:pPr>
        <w:spacing w:after="125" w:line="274"/>
      </w:pPr>
      <w:r>
        <w:rPr>
          <w:rFonts w:ascii="Calibri" w:cs="Calibri" w:eastAsia="Calibri" w:hAnsi="Calibri"/>
          <w:color w:val="5F6368"/>
          <w:sz w:val="20"/>
          <w:szCs w:val="20"/>
        </w:rPr>
        <w:t xml:space="preserve">Four corrections, each found by building rather than by reasoning. They are recorded because each one changed the design.</w:t>
      </w:r>
    </w:p>
    <w:p>
      <w:pPr>
        <w:spacing w:after="70" w:before="150"/>
      </w:pPr>
      <w:r>
        <w:rPr>
          <w:rFonts w:ascii="Calibri" w:cs="Calibri" w:eastAsia="Calibri" w:hAnsi="Calibri"/>
          <w:b/>
          <w:bCs/>
          <w:color w:val="5F6368"/>
          <w:sz w:val="20"/>
          <w:szCs w:val="20"/>
        </w:rPr>
        <w:t xml:space="preserve">1.  Fairness was under-powered by a factor of four</w:t>
      </w:r>
    </w:p>
    <w:p>
      <w:pPr>
        <w:spacing w:after="125" w:line="274"/>
      </w:pPr>
      <w:r>
        <w:rPr>
          <w:rFonts w:ascii="Calibri" w:cs="Calibri" w:eastAsia="Calibri" w:hAnsi="Calibri"/>
          <w:color w:val="1A1A1A"/>
          <w:sz w:val="21"/>
          <w:szCs w:val="21"/>
        </w:rPr>
        <w:t xml:space="preserve">Sample size had been computed with n = z²p(1−p)/e² — the margin on a SINGLE rate. Fairness tests a DIFFERENCE between two rates, which needs the two-proportion power calculation. The committed set could only have detected an 18 pp approval gap; a smaller real gap would have been reported as "no significant difference" and believed. Corrected to 10 pp at 80% power, with one pre-registered primary endpoint (the marginal stratum) and the sample concentrated 60% there.</w:t>
      </w:r>
    </w:p>
    <w:p>
      <w:pPr>
        <w:spacing w:after="70" w:before="150"/>
      </w:pPr>
      <w:r>
        <w:rPr>
          <w:rFonts w:ascii="Calibri" w:cs="Calibri" w:eastAsia="Calibri" w:hAnsi="Calibri"/>
          <w:b/>
          <w:bCs/>
          <w:color w:val="5F6368"/>
          <w:sz w:val="20"/>
          <w:szCs w:val="20"/>
        </w:rPr>
        <w:t xml:space="preserve">2.  A positive control that fires on noise is worthless</w:t>
      </w:r>
    </w:p>
    <w:p>
      <w:pPr>
        <w:spacing w:after="125" w:line="274"/>
      </w:pPr>
      <w:r>
        <w:rPr>
          <w:rFonts w:ascii="Calibri" w:cs="Calibri" w:eastAsia="Calibri" w:hAnsi="Calibri"/>
          <w:color w:val="1A1A1A"/>
          <w:sz w:val="21"/>
          <w:szCs w:val="21"/>
        </w:rPr>
        <w:t xml:space="preserve">The first control counted how many pairs changed outcome. A system answering at random changes about half of them, so a blind stub tripped it. Replaced with an exact sign test on DIRECTION among discordant pairs; a test now asserts the control fires for a model that reads the field and stays silent for one that ignores it.</w:t>
      </w:r>
    </w:p>
    <w:p>
      <w:pPr>
        <w:spacing w:after="70" w:before="150"/>
      </w:pPr>
      <w:r>
        <w:rPr>
          <w:rFonts w:ascii="Calibri" w:cs="Calibri" w:eastAsia="Calibri" w:hAnsi="Calibri"/>
          <w:b/>
          <w:bCs/>
          <w:color w:val="5F6368"/>
          <w:sz w:val="20"/>
          <w:szCs w:val="20"/>
        </w:rPr>
        <w:t xml:space="preserve">3.  Moving content into data leaves the small constants behind</w:t>
      </w:r>
    </w:p>
    <w:p>
      <w:pPr>
        <w:spacing w:after="125" w:line="274"/>
      </w:pPr>
      <w:r>
        <w:rPr>
          <w:rFonts w:ascii="Calibri" w:cs="Calibri" w:eastAsia="Calibri" w:hAnsi="Calibri"/>
          <w:color w:val="1A1A1A"/>
          <w:sz w:val="21"/>
          <w:szCs w:val="21"/>
        </w:rPr>
        <w:t xml:space="preserve">After extracting the stimulus into packs, three credit-specific values were still hard-coded: the fairness family label, the truthfulness framings and the seed-bank filename. An insurance run would have produced correct prompts under a family called "credit_application" — right text, wrong manifest, no error anywhere. Found by grepping the module after the refactor; there is now a test on probe METADATA, not just prompts.</w:t>
      </w:r>
    </w:p>
    <w:p>
      <w:pPr>
        <w:spacing w:after="70" w:before="150"/>
      </w:pPr>
      <w:r>
        <w:rPr>
          <w:rFonts w:ascii="Calibri" w:cs="Calibri" w:eastAsia="Calibri" w:hAnsi="Calibri"/>
          <w:b/>
          <w:bCs/>
          <w:color w:val="5F6368"/>
          <w:sz w:val="20"/>
          <w:szCs w:val="20"/>
        </w:rPr>
        <w:t xml:space="preserve">4.  A pilot that cannot answer its own questions</w:t>
      </w:r>
    </w:p>
    <w:p>
      <w:pPr>
        <w:spacing w:after="125" w:line="274"/>
      </w:pPr>
      <w:r>
        <w:rPr>
          <w:rFonts w:ascii="Calibri" w:cs="Calibri" w:eastAsia="Calibri" w:hAnsi="Calibri"/>
          <w:color w:val="1A1A1A"/>
          <w:sz w:val="21"/>
          <w:szCs w:val="21"/>
        </w:rPr>
        <w:t xml:space="preserve">The first dry run sampled 50 probes proportionally and drew one control and zero complete robustness pairs — so it could answer two of its four questions. Sampling now draws whole pairs (a variant without its base is unusable) and runs every control in full.</w:t>
      </w:r>
    </w:p>
    <w:p>
      <w:pPr>
        <w:pStyle w:val="Heading2"/>
        <w:spacing w:after="105" w:before="220"/>
      </w:pPr>
      <w:r>
        <w:rPr>
          <w:rFonts w:ascii="Calibri" w:cs="Calibri" w:eastAsia="Calibri" w:hAnsi="Calibri"/>
          <w:b/>
          <w:bCs/>
          <w:color w:val="1E6B34"/>
          <w:sz w:val="23"/>
          <w:szCs w:val="23"/>
        </w:rPr>
        <w:t xml:space="preserve">Findings already produced</w:t>
      </w:r>
    </w:p>
    <w:p>
      <w:pPr>
        <w:pStyle w:val="ListParagraph"/>
        <w:numPr>
          <w:ilvl w:val="0"/>
          <w:numId w:val="2"/>
        </w:numPr>
        <w:spacing w:after="70" w:line="272"/>
      </w:pPr>
      <w:r>
        <w:rPr>
          <w:rFonts w:ascii="Calibri" w:cs="Calibri" w:eastAsia="Calibri" w:hAnsi="Calibri"/>
          <w:color w:val="1A1A1A"/>
          <w:sz w:val="20"/>
          <w:szCs w:val="20"/>
        </w:rPr>
        <w:t xml:space="preserve">The conformal gate certifies nothing on the current seed bank, and that is correct. With zero observed errors the exact bound from n calibration points is 1 − δ^(1/n), which first reaches 5% at n = 59. The bank supplies 6. Split: 6 Green / 0 Amber / 14 escalated, 70% human leakage.</w:t>
      </w:r>
    </w:p>
    <w:p>
      <w:pPr>
        <w:pStyle w:val="ListParagraph"/>
        <w:numPr>
          <w:ilvl w:val="0"/>
          <w:numId w:val="2"/>
        </w:numPr>
        <w:spacing w:after="70" w:line="272"/>
      </w:pPr>
      <w:r>
        <w:rPr>
          <w:rFonts w:ascii="Calibri" w:cs="Calibri" w:eastAsia="Calibri" w:hAnsi="Calibri"/>
          <w:color w:val="1A1A1A"/>
          <w:sz w:val="20"/>
          <w:szCs w:val="20"/>
        </w:rPr>
        <w:t xml:space="preserve">The probe set reproduced byte-identically on two machines from the same seed and signature — content hash 7ef98979, 3530 probes, checklist fb4c3454. Reproducibility demonstrated rather than claimed.</w:t>
      </w:r>
    </w:p>
    <w:p>
      <w:pPr>
        <w:pStyle w:val="ListParagraph"/>
        <w:numPr>
          <w:ilvl w:val="0"/>
          <w:numId w:val="2"/>
        </w:numPr>
        <w:spacing w:after="70" w:line="272"/>
      </w:pPr>
      <w:r>
        <w:rPr>
          <w:rFonts w:ascii="Calibri" w:cs="Calibri" w:eastAsia="Calibri" w:hAnsi="Calibri"/>
          <w:color w:val="1A1A1A"/>
          <w:sz w:val="20"/>
          <w:szCs w:val="20"/>
        </w:rPr>
        <w:t xml:space="preserve">On real German Credit records, a scorer blind to the protected arm produces an approval gap of exactly 0.0, and an injected bias is still detected. The instrument is clean where it matters.</w:t>
      </w:r>
    </w:p>
    <w:p>
      <w:r>
        <w:br w:type="page"/>
      </w:r>
    </w:p>
    <w:p>
      <w:pPr>
        <w:pStyle w:val="Heading2"/>
        <w:spacing w:after="105" w:before="220"/>
      </w:pPr>
      <w:r>
        <w:rPr>
          <w:rFonts w:ascii="Calibri" w:cs="Calibri" w:eastAsia="Calibri" w:hAnsi="Calibri"/>
          <w:b/>
          <w:bCs/>
          <w:color w:val="1E6B34"/>
          <w:sz w:val="23"/>
          <w:szCs w:val="23"/>
        </w:rPr>
        <w:t xml:space="preserve">Where 3,530 probes come from</w:t>
      </w:r>
    </w:p>
    <w:p>
      <w:pPr>
        <w:spacing w:after="125" w:line="274"/>
      </w:pPr>
      <w:r>
        <w:rPr>
          <w:rFonts w:ascii="Calibri" w:cs="Calibri" w:eastAsia="Calibri" w:hAnsi="Calibri"/>
          <w:b/>
          <w:bCs/>
          <w:color w:val="1A1A1A"/>
          <w:sz w:val="21"/>
          <w:szCs w:val="21"/>
        </w:rPr>
        <w:t xml:space="preserve">The entire authored content of the probe set is 14 template strings — 405 words of English. </w:t>
      </w:r>
      <w:r>
        <w:rPr>
          <w:rFonts w:ascii="Calibri" w:cs="Calibri" w:eastAsia="Calibri" w:hAnsi="Calibri"/>
          <w:color w:val="1A1A1A"/>
          <w:sz w:val="21"/>
          <w:szCs w:val="21"/>
        </w:rPr>
        <w:t xml:space="preserve">Everything else is multiplication over real data, performed by code with a recorded seed. This is the answer to "did an LLM write your test set": no. An LLM assisted in drafting 405 words, a human reviewed and froze them, and the 3,530 items are a deterministic expansion.</w:t>
      </w:r>
    </w:p>
    <w:tbl>
      <w:tblPr>
        <w:tblW w:type="dxa" w:w="9020"/>
        <w:tblBorders>
          <w:top w:val="single" w:color="D3D3D3" w:sz="4"/>
          <w:left w:val="none"/>
          <w:bottom w:val="single" w:color="D3D3D3" w:sz="4"/>
          <w:right w:val="none"/>
          <w:insideH w:val="single" w:color="D3D3D3" w:sz="2"/>
          <w:insideV w:val="none"/>
        </w:tblBorders>
      </w:tblPr>
      <w:tblGrid>
        <w:gridCol w:w="3900"/>
        <w:gridCol w:w="1500"/>
        <w:gridCol w:w="3620"/>
      </w:tblGrid>
      <w:tr>
        <w:trPr>
          <w:tblHeader/>
        </w:trPr>
        <w:tc>
          <w:tcPr>
            <w:tcW w:type="dxa" w:w="390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Source</w:t>
            </w:r>
          </w:p>
        </w:tc>
        <w:tc>
          <w:tcPr>
            <w:tcW w:type="dxa" w:w="150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Count</w:t>
            </w:r>
          </w:p>
        </w:tc>
        <w:tc>
          <w:tcPr>
            <w:tcW w:type="dxa" w:w="362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Expansion</w:t>
            </w:r>
          </w:p>
        </w:tc>
      </w:tr>
      <w:tr>
        <w:tc>
          <w:tcPr>
            <w:tcW w:type="dxa" w:w="3900"/>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Authored template strings</w:t>
            </w:r>
          </w:p>
        </w:tc>
        <w:tc>
          <w:tcPr>
            <w:tcW w:type="dxa" w:w="1500"/>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14</w:t>
            </w:r>
          </w:p>
        </w:tc>
        <w:tc>
          <w:tcPr>
            <w:tcW w:type="dxa" w:w="3620"/>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405 words; 20 placeholders in the field block</w:t>
            </w:r>
          </w:p>
        </w:tc>
      </w:tr>
      <w:tr>
        <w:tc>
          <w:tcPr>
            <w:tcW w:type="dxa" w:w="39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Fairness — real records × 2 protected arms</w:t>
            </w:r>
          </w:p>
        </w:tc>
        <w:tc>
          <w:tcPr>
            <w:tcW w:type="dxa" w:w="15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1310</w:t>
            </w:r>
          </w:p>
        </w:tc>
        <w:tc>
          <w:tcPr>
            <w:tcW w:type="dxa" w:w="362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655 German Credit records, rendered twice</w:t>
            </w:r>
          </w:p>
        </w:tc>
      </w:tr>
      <w:tr>
        <w:tc>
          <w:tcPr>
            <w:tcW w:type="dxa" w:w="39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Robustness — records × (base + 6 perturbations)</w:t>
            </w:r>
          </w:p>
        </w:tc>
        <w:tc>
          <w:tcPr>
            <w:tcW w:type="dxa" w:w="15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2030</w:t>
            </w:r>
          </w:p>
        </w:tc>
        <w:tc>
          <w:tcPr>
            <w:tcW w:type="dxa" w:w="362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290 records, meaning-preserving rewordings</w:t>
            </w:r>
          </w:p>
        </w:tc>
      </w:tr>
      <w:tr>
        <w:tc>
          <w:tcPr>
            <w:tcW w:type="dxa" w:w="39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Transparency — records × 2 instruction types</w:t>
            </w:r>
          </w:p>
        </w:tc>
        <w:tc>
          <w:tcPr>
            <w:tcW w:type="dxa" w:w="15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152</w:t>
            </w:r>
          </w:p>
        </w:tc>
        <w:tc>
          <w:tcPr>
            <w:tcW w:type="dxa" w:w="362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explanation and counterfactual requests</w:t>
            </w:r>
          </w:p>
        </w:tc>
      </w:tr>
      <w:tr>
        <w:tc>
          <w:tcPr>
            <w:tcW w:type="dxa" w:w="39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Positive controls</w:t>
            </w:r>
          </w:p>
        </w:tc>
        <w:tc>
          <w:tcPr>
            <w:tcW w:type="dxa" w:w="15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38</w:t>
            </w:r>
          </w:p>
        </w:tc>
        <w:tc>
          <w:tcPr>
            <w:tcW w:type="dxa" w:w="362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15 known-effect pairs + 8 extremes</w:t>
            </w:r>
          </w:p>
        </w:tc>
      </w:tr>
      <w:tr>
        <w:tc>
          <w:tcPr>
            <w:tcW w:type="dxa" w:w="3900"/>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Total probe set</w:t>
            </w:r>
          </w:p>
        </w:tc>
        <w:tc>
          <w:tcPr>
            <w:tcW w:type="dxa" w:w="1500"/>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3530</w:t>
            </w:r>
          </w:p>
        </w:tc>
        <w:tc>
          <w:tcPr>
            <w:tcW w:type="dxa" w:w="3620"/>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content hash 7ef98979, reproducible from seed + signature</w:t>
            </w:r>
          </w:p>
        </w:tc>
      </w:tr>
    </w:tbl>
    <w:p>
      <w:pPr>
        <w:spacing w:after="125" w:line="274"/>
      </w:pPr>
      <w:r>
        <w:rPr>
          <w:rFonts w:ascii="Calibri" w:cs="Calibri" w:eastAsia="Calibri" w:hAnsi="Calibri"/>
          <w:color w:val="5F6368"/>
          <w:sz w:val="20"/>
          <w:szCs w:val="20"/>
        </w:rPr>
        <w:t xml:space="preserve">A reviewer can audit the whole stimulus by reading one page. A model-generated set of 3,530 items could not be inspected that way, could not be frozen under a hash, and could not be signed by a notary — which is why generation is deterministic code and no model appears anywhere in that path.</w:t>
      </w:r>
    </w:p>
    <w:p>
      <w:pPr>
        <w:pStyle w:val="Heading2"/>
        <w:spacing w:after="105" w:before="220"/>
      </w:pPr>
      <w:r>
        <w:rPr>
          <w:rFonts w:ascii="Calibri" w:cs="Calibri" w:eastAsia="Calibri" w:hAnsi="Calibri"/>
          <w:b/>
          <w:bCs/>
          <w:color w:val="1E6B34"/>
          <w:sz w:val="23"/>
          <w:szCs w:val="23"/>
        </w:rPr>
        <w:t xml:space="preserve">First measurements — Qwen2.5-7B pilot</w:t>
      </w:r>
    </w:p>
    <w:p>
      <w:pPr>
        <w:spacing w:after="125" w:line="274"/>
      </w:pPr>
      <w:r>
        <w:rPr>
          <w:rFonts w:ascii="Calibri" w:cs="Calibri" w:eastAsia="Calibri" w:hAnsi="Calibri"/>
          <w:color w:val="5F6368"/>
          <w:sz w:val="20"/>
          <w:szCs w:val="20"/>
        </w:rPr>
        <w:t xml:space="preserve">After three days of environment failures on the college server (see below), the pilot ran on 10 August: 95 prompts, batched, 6.5 seconds of GPU time. The first real data the project has produced.</w:t>
      </w:r>
    </w:p>
    <w:tbl>
      <w:tblPr>
        <w:tblW w:type="dxa" w:w="9020"/>
        <w:tblBorders>
          <w:top w:val="single" w:color="D3D3D3" w:sz="4"/>
          <w:left w:val="none"/>
          <w:bottom w:val="single" w:color="D3D3D3" w:sz="4"/>
          <w:right w:val="none"/>
          <w:insideH w:val="single" w:color="D3D3D3" w:sz="2"/>
          <w:insideV w:val="none"/>
        </w:tblBorders>
      </w:tblPr>
      <w:tblGrid>
        <w:gridCol w:w="2600"/>
        <w:gridCol w:w="1600"/>
        <w:gridCol w:w="4820"/>
      </w:tblGrid>
      <w:tr>
        <w:trPr>
          <w:tblHeader/>
        </w:trPr>
        <w:tc>
          <w:tcPr>
            <w:tcW w:type="dxa" w:w="260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Measure</w:t>
            </w:r>
          </w:p>
        </w:tc>
        <w:tc>
          <w:tcPr>
            <w:tcW w:type="dxa" w:w="160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Result</w:t>
            </w:r>
          </w:p>
        </w:tc>
        <w:tc>
          <w:tcPr>
            <w:tcW w:type="dxa" w:w="482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Reading</w:t>
            </w:r>
          </w:p>
        </w:tc>
      </w:tr>
      <w:tr>
        <w:tc>
          <w:tcPr>
            <w:tcW w:type="dxa" w:w="26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Parse rate</w:t>
            </w:r>
          </w:p>
        </w:tc>
        <w:tc>
          <w:tcPr>
            <w:tcW w:type="dxa" w:w="16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100%</w:t>
            </w:r>
          </w:p>
        </w:tc>
        <w:tc>
          <w:tcPr>
            <w:tcW w:type="dxa" w:w="482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Instruction wording survives a real model; no reformatting needed</w:t>
            </w:r>
          </w:p>
        </w:tc>
      </w:tr>
      <w:tr>
        <w:tc>
          <w:tcPr>
            <w:tcW w:type="dxa" w:w="26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Refusal rate</w:t>
            </w:r>
          </w:p>
        </w:tc>
        <w:tc>
          <w:tcPr>
            <w:tcW w:type="dxa" w:w="16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0%</w:t>
            </w:r>
          </w:p>
        </w:tc>
        <w:tc>
          <w:tcPr>
            <w:tcW w:type="dxa" w:w="482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The model does not decline lending decisions — that risk is closed</w:t>
            </w:r>
          </w:p>
        </w:tc>
      </w:tr>
      <w:tr>
        <w:tc>
          <w:tcPr>
            <w:tcW w:type="dxa" w:w="26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Base approval rate</w:t>
            </w:r>
          </w:p>
        </w:tc>
        <w:tc>
          <w:tcPr>
            <w:tcW w:type="dxa" w:w="16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36.8%</w:t>
            </w:r>
          </w:p>
        </w:tc>
        <w:tc>
          <w:tcPr>
            <w:tcW w:type="dxa" w:w="482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vs the p = 0.5 sizing assumption; variance 0.93x, so mildly over-powered</w:t>
            </w:r>
          </w:p>
        </w:tc>
      </w:tr>
      <w:tr>
        <w:tc>
          <w:tcPr>
            <w:tcW w:type="dxa" w:w="26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Perturbation flip rate</w:t>
            </w:r>
          </w:p>
        </w:tc>
        <w:tc>
          <w:tcPr>
            <w:tcW w:type="dxa" w:w="16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6.7%</w:t>
            </w:r>
          </w:p>
        </w:tc>
        <w:tc>
          <w:tcPr>
            <w:tcW w:type="dxa" w:w="482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vs the assumed 10% — but from only 2 flips in 30 comparisons</w:t>
            </w:r>
          </w:p>
        </w:tc>
      </w:tr>
      <w:tr>
        <w:tc>
          <w:tcPr>
            <w:tcW w:type="dxa" w:w="2600"/>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Known-effect control</w:t>
            </w:r>
          </w:p>
        </w:tc>
        <w:tc>
          <w:tcPr>
            <w:tcW w:type="dxa" w:w="1600"/>
            <w:shd w:fill="EDF5EF" w:color="auto" w:val="clear"/>
            <w:tcMar>
              <w:top w:type="dxa" w:w="80"/>
              <w:left w:type="dxa" w:w="115"/>
              <w:bottom w:type="dxa" w:w="80"/>
              <w:right w:type="dxa" w:w="115"/>
            </w:tcMar>
          </w:tcPr>
          <w:p>
            <w:pPr>
              <w:spacing w:after="0" w:line="252"/>
            </w:pPr>
            <w:r>
              <w:rPr>
                <w:rFonts w:ascii="Calibri" w:cs="Calibri" w:eastAsia="Calibri" w:hAnsi="Calibri"/>
                <w:b/>
                <w:bCs/>
                <w:color w:val="1E6B34"/>
                <w:sz w:val="18"/>
                <w:szCs w:val="18"/>
              </w:rPr>
              <w:t xml:space="preserve">FIRED</w:t>
            </w:r>
          </w:p>
        </w:tc>
        <w:tc>
          <w:tcPr>
            <w:tcW w:type="dxa" w:w="4820"/>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10 of 10 discordant pairs in the expected direction, sign test p = 0.002</w:t>
            </w:r>
          </w:p>
        </w:tc>
      </w:tr>
      <w:tr>
        <w:tc>
          <w:tcPr>
            <w:tcW w:type="dxa" w:w="26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Parse control</w:t>
            </w:r>
          </w:p>
        </w:tc>
        <w:tc>
          <w:tcPr>
            <w:tcW w:type="dxa" w:w="16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Separated</w:t>
            </w:r>
          </w:p>
        </w:tc>
        <w:tc>
          <w:tcPr>
            <w:tcW w:type="dxa" w:w="482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Obviously-good cases 100% approved, obviously-bad 0%</w:t>
            </w:r>
          </w:p>
        </w:tc>
      </w:tr>
    </w:tbl>
    <w:p>
      <w:pPr>
        <w:spacing w:after="125" w:line="274"/>
      </w:pPr>
      <w:r>
        <w:rPr>
          <w:rFonts w:ascii="Calibri" w:cs="Calibri" w:eastAsia="Calibri" w:hAnsi="Calibri"/>
          <w:b/>
          <w:bCs/>
          <w:color w:val="1A1A1A"/>
          <w:sz w:val="21"/>
          <w:szCs w:val="21"/>
        </w:rPr>
        <w:t xml:space="preserve">The control firing is the result that matters. </w:t>
      </w:r>
      <w:r>
        <w:rPr>
          <w:rFonts w:ascii="Calibri" w:cs="Calibri" w:eastAsia="Calibri" w:hAnsi="Calibri"/>
          <w:color w:val="1A1A1A"/>
          <w:sz w:val="21"/>
          <w:szCs w:val="21"/>
        </w:rPr>
        <w:t xml:space="preserve">It establishes that the measurement chain detects an effect that is really there — so a null fairness finding from the full run will be interpretable rather than ambiguous. Without it, "no gap detected" and "instrument broken" would look identical.</w:t>
      </w:r>
    </w:p>
    <w:p>
      <w:pPr>
        <w:spacing w:after="125" w:line="274"/>
      </w:pPr>
      <w:r>
        <w:rPr>
          <w:rFonts w:ascii="Calibri" w:cs="Calibri" w:eastAsia="Calibri" w:hAnsi="Calibri"/>
          <w:color w:val="5F6368"/>
          <w:sz w:val="20"/>
          <w:szCs w:val="20"/>
        </w:rPr>
        <w:t xml:space="preserve">Open question carried forward: at a 6.7% flip rate robustness would need 435 base cases rather than the committed 290. That estimate rests on two events, so the full run — 1,740 comparisons instead of 30 — decides whether to re-size.</w:t>
      </w:r>
    </w:p>
    <w:p>
      <w:pPr>
        <w:pStyle w:val="Heading2"/>
        <w:spacing w:after="105" w:before="220"/>
      </w:pPr>
      <w:r>
        <w:rPr>
          <w:rFonts w:ascii="Calibri" w:cs="Calibri" w:eastAsia="Calibri" w:hAnsi="Calibri"/>
          <w:b/>
          <w:bCs/>
          <w:color w:val="8A5A00"/>
          <w:sz w:val="23"/>
          <w:szCs w:val="23"/>
        </w:rPr>
        <w:t xml:space="preserve">What cost the week</w:t>
      </w:r>
    </w:p>
    <w:p>
      <w:pPr>
        <w:spacing w:after="125" w:line="274"/>
      </w:pPr>
      <w:r>
        <w:rPr>
          <w:rFonts w:ascii="Calibri" w:cs="Calibri" w:eastAsia="Calibri" w:hAnsi="Calibri"/>
          <w:color w:val="1A1A1A"/>
          <w:sz w:val="21"/>
          <w:szCs w:val="21"/>
        </w:rPr>
        <w:t xml:space="preserve">Three days went to the server environment rather than the audit. The college image mixes a pre-built CUDA stack in /usr/local with vLLM wheels in ~/.local, and three native extensions collided in sequence: ml_dtypes compiled against NumPy 1.x, then torch.compile / inductor, then FlashInfer. Each fix uncovered the next. Compounding it, containers are recycled between sessions, the persistent volume is read-only to the notebook user, and one session had no GPU attached at all.</w:t>
      </w:r>
    </w:p>
    <w:p>
      <w:pPr>
        <w:spacing w:after="125" w:line="274"/>
      </w:pPr>
      <w:r>
        <w:rPr>
          <w:rFonts w:ascii="Calibri" w:cs="Calibri" w:eastAsia="Calibri" w:hAnsi="Calibri"/>
          <w:b/>
          <w:bCs/>
          <w:color w:val="1A1A1A"/>
          <w:sz w:val="21"/>
          <w:szCs w:val="21"/>
        </w:rPr>
        <w:t xml:space="preserve">Resolution: </w:t>
      </w:r>
      <w:r>
        <w:rPr>
          <w:rFonts w:ascii="Calibri" w:cs="Calibri" w:eastAsia="Calibri" w:hAnsi="Calibri"/>
          <w:color w:val="1A1A1A"/>
          <w:sz w:val="21"/>
          <w:szCs w:val="21"/>
        </w:rPr>
        <w:t xml:space="preserve">an isolated virtual environment in the home directory, with git as the persistence layer. The runner needs no third-party package except vLLM — the parser, store and pilot report are pure standard library — so isolation is cheap, and the response log is committed rather than ignored because a response is a purchase, not a derivation.</w:t>
      </w:r>
    </w:p>
    <w:p>
      <w:r>
        <w:br w:type="page"/>
      </w:r>
    </w:p>
    <w:p>
      <w:pPr>
        <w:sectPr>
          <w:pgSz w:w="11906" w:h="16838" w:orient="portrait"/>
          <w:pgMar w:top="1150" w:right="1200" w:bottom="1150" w:left="1200" w:header="708" w:footer="708" w:gutter="0"/>
          <w:pgNumType/>
          <w:docGrid w:linePitch="360"/>
        </w:sectPr>
      </w:pPr>
    </w:p>
    <w:p>
      <w:pPr>
        <w:spacing w:after="120"/>
      </w:pPr>
      <w:r>
        <w:rPr>
          <w:rFonts w:ascii="Calibri" w:cs="Calibri" w:eastAsia="Calibri" w:hAnsi="Calibri"/>
          <w:b/>
          <w:bCs/>
          <w:color w:val="1A1A1A"/>
          <w:sz w:val="28"/>
          <w:szCs w:val="28"/>
        </w:rPr>
        <w:t xml:space="preserve">Architecture — position at the end of Week 2</w:t>
      </w:r>
    </w:p>
    <w:p>
      <w:pPr>
        <w:spacing w:after="90"/>
        <w:jc w:val="center"/>
      </w:pPr>
      <w:r>
        <w:drawing>
          <wp:inline distT="0" distB="0" distL="0" distR="0">
            <wp:extent cx="8858250" cy="604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858250" cy="6048375"/>
                    </a:xfrm>
                    <a:prstGeom prst="rect">
                      <a:avLst/>
                    </a:prstGeom>
                  </pic:spPr>
                </pic:pic>
              </a:graphicData>
            </a:graphic>
          </wp:inline>
        </w:drawing>
      </w:r>
    </w:p>
    <w:p>
      <w:pPr>
        <w:spacing w:after="0" w:line="274"/>
        <w:jc w:val="center"/>
      </w:pPr>
      <w:r>
        <w:rPr>
          <w:rFonts w:ascii="Calibri" w:cs="Calibri" w:eastAsia="Calibri" w:hAnsi="Calibri"/>
          <w:b/>
          <w:bCs/>
          <w:color w:val="1A1A1A"/>
          <w:sz w:val="17"/>
          <w:szCs w:val="17"/>
        </w:rPr>
        <w:t xml:space="preserve">Figure 1 — GRAIL audit architecture and current build state.  </w:t>
      </w:r>
      <w:r>
        <w:rPr>
          <w:rFonts w:ascii="Calibri" w:cs="Calibri" w:eastAsia="Calibri" w:hAnsi="Calibri"/>
          <w:color w:val="5F6368"/>
          <w:sz w:val="17"/>
          <w:szCs w:val="17"/>
        </w:rPr>
        <w:t xml:space="preserve">Green = built and tested; dashed = not built. Ground and Reason/Act are complete end to end and have been run at full scale twice. Inspect remains the gap: the jury is the next block to build, and the annotation study is still the long pole.</w:t>
      </w:r>
    </w:p>
    <w:p>
      <w:pPr>
        <w:sectPr>
          <w:pgSz w:w="16838" w:h="11906" w:orient="landscape"/>
          <w:pgMar w:top="620" w:right="700" w:bottom="620" w:left="700" w:header="708" w:footer="708" w:gutter="0"/>
          <w:pgNumType/>
          <w:docGrid w:linePitch="360"/>
        </w:sectPr>
      </w:pPr>
    </w:p>
    <w:p>
      <w:pPr>
        <w:pStyle w:val="Heading1"/>
        <w:spacing w:after="145" w:before="290"/>
      </w:pPr>
      <w:r>
        <w:rPr>
          <w:rFonts w:ascii="Calibri" w:cs="Calibri" w:eastAsia="Calibri" w:hAnsi="Calibri"/>
          <w:b/>
          <w:bCs/>
          <w:color w:val="1A1A1A"/>
          <w:sz w:val="28"/>
          <w:szCs w:val="28"/>
        </w:rPr>
        <w:t xml:space="preserve">Week 2 — 10 to 16 August</w:t>
      </w:r>
    </w:p>
    <w:p>
      <w:pPr>
        <w:spacing w:after="125" w:line="274"/>
      </w:pPr>
      <w:r>
        <w:rPr>
          <w:rFonts w:ascii="Calibri" w:cs="Calibri" w:eastAsia="Calibri" w:hAnsi="Calibri"/>
          <w:b/>
          <w:bCs/>
          <w:color w:val="1A1A1A"/>
          <w:sz w:val="21"/>
          <w:szCs w:val="21"/>
        </w:rPr>
        <w:t xml:space="preserve">The week the instrument produced its first full-scale numbers — and the numbers invalidated the study’s own primary test. </w:t>
      </w:r>
      <w:r>
        <w:rPr>
          <w:rFonts w:ascii="Calibri" w:cs="Calibri" w:eastAsia="Calibri" w:hAnsi="Calibri"/>
          <w:color w:val="1A1A1A"/>
          <w:sz w:val="21"/>
          <w:szCs w:val="21"/>
        </w:rPr>
        <w:t xml:space="preserve">That sounds like a bad week. It is the opposite: the failure was structural, it had been in the design since the sizing was written, and it would have survived into the thesis as a false null had the full run not exposed it. It was found, diagnosed and corrected inside the same week — and the same check applied to robustness showed that dimension was sound, which is how the problem is known to be specific rather than systemic.</w:t>
      </w:r>
    </w:p>
    <w:p>
      <w:pPr>
        <w:pStyle w:val="Heading2"/>
        <w:spacing w:after="105" w:before="220"/>
      </w:pPr>
      <w:r>
        <w:rPr>
          <w:rFonts w:ascii="Calibri" w:cs="Calibri" w:eastAsia="Calibri" w:hAnsi="Calibri"/>
          <w:b/>
          <w:bCs/>
          <w:color w:val="1E6B34"/>
          <w:sz w:val="23"/>
          <w:szCs w:val="23"/>
        </w:rPr>
        <w:t xml:space="preserve">Delivered</w:t>
      </w:r>
    </w:p>
    <w:tbl>
      <w:tblPr>
        <w:tblW w:type="dxa" w:w="9020"/>
        <w:tblBorders>
          <w:top w:val="single" w:color="D3D3D3" w:sz="4"/>
          <w:left w:val="none"/>
          <w:bottom w:val="single" w:color="D3D3D3" w:sz="4"/>
          <w:right w:val="none"/>
          <w:insideH w:val="single" w:color="D3D3D3" w:sz="2"/>
          <w:insideV w:val="none"/>
        </w:tblBorders>
      </w:tblPr>
      <w:tblGrid>
        <w:gridCol w:w="2900"/>
        <w:gridCol w:w="1400"/>
        <w:gridCol w:w="4720"/>
      </w:tblGrid>
      <w:tr>
        <w:trPr>
          <w:tblHeader/>
        </w:trPr>
        <w:tc>
          <w:tcPr>
            <w:tcW w:type="dxa" w:w="290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Item</w:t>
            </w:r>
          </w:p>
        </w:tc>
        <w:tc>
          <w:tcPr>
            <w:tcW w:type="dxa" w:w="140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Tests</w:t>
            </w:r>
          </w:p>
        </w:tc>
        <w:tc>
          <w:tcPr>
            <w:tcW w:type="dxa" w:w="472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What it does</w:t>
            </w:r>
          </w:p>
        </w:tc>
      </w:tr>
      <w:tr>
        <w:tc>
          <w:tcPr>
            <w:tcW w:type="dxa" w:w="29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Full run × 2</w:t>
            </w:r>
          </w:p>
        </w:tc>
        <w:tc>
          <w:tcPr>
            <w:tcW w:type="dxa" w:w="14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w:t>
            </w:r>
          </w:p>
        </w:tc>
        <w:tc>
          <w:tcPr>
            <w:tcW w:type="dxa" w:w="472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3530 prompts through Qwen2.5-7B-Instruct, 71.6 s of GPU time, on two separate days and containers</w:t>
            </w:r>
          </w:p>
        </w:tc>
      </w:tr>
      <w:tr>
        <w:tc>
          <w:tcPr>
            <w:tcW w:type="dxa" w:w="29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Response log committed</w:t>
            </w:r>
          </w:p>
        </w:tc>
        <w:tc>
          <w:tcPr>
            <w:tcW w:type="dxa" w:w="14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w:t>
            </w:r>
          </w:p>
        </w:tc>
        <w:tc>
          <w:tcPr>
            <w:tcW w:type="dxa" w:w="472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3530 hash-chained records pushed to GitHub; the one artefact that cannot be regenerated is now backed up</w:t>
            </w:r>
          </w:p>
        </w:tc>
      </w:tr>
      <w:tr>
        <w:tc>
          <w:tcPr>
            <w:tcW w:type="dxa" w:w="29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Paired fairness analysis</w:t>
            </w:r>
          </w:p>
        </w:tc>
        <w:tc>
          <w:tcPr>
            <w:tcW w:type="dxa" w:w="14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w:t>
            </w:r>
          </w:p>
        </w:tc>
        <w:tc>
          <w:tcPr>
            <w:tcW w:type="dxa" w:w="472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The analysis that was missing entirely: matched-pair discordance, not just the aggregate rate gap</w:t>
            </w:r>
          </w:p>
        </w:tc>
      </w:tr>
      <w:tr>
        <w:tc>
          <w:tcPr>
            <w:tcW w:type="dxa" w:w="29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Planted-axis control</w:t>
            </w:r>
          </w:p>
        </w:tc>
        <w:tc>
          <w:tcPr>
            <w:tcW w:type="dxa" w:w="14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6</w:t>
            </w:r>
          </w:p>
        </w:tc>
        <w:tc>
          <w:tcPr>
            <w:tcW w:type="dxa" w:w="472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A positive control on the protected axis itself, which the financial known-effect control cannot substitute for</w:t>
            </w:r>
          </w:p>
        </w:tc>
      </w:tr>
      <w:tr>
        <w:tc>
          <w:tcPr>
            <w:tcW w:type="dxa" w:w="29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Prefix-stable strata</w:t>
            </w:r>
          </w:p>
        </w:tc>
        <w:tc>
          <w:tcPr>
            <w:tcW w:type="dxa" w:w="14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3</w:t>
            </w:r>
          </w:p>
        </w:tc>
        <w:tc>
          <w:tcPr>
            <w:tcW w:type="dxa" w:w="472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Sequential apportionment, so raising N extends the probe set instead of reshuffling it</w:t>
            </w:r>
          </w:p>
        </w:tc>
      </w:tr>
      <w:tr>
        <w:tc>
          <w:tcPr>
            <w:tcW w:type="dxa" w:w="29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Discordance sizing</w:t>
            </w:r>
          </w:p>
        </w:tc>
        <w:tc>
          <w:tcPr>
            <w:tcW w:type="dxa" w:w="14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2</w:t>
            </w:r>
          </w:p>
        </w:tc>
        <w:tc>
          <w:tcPr>
            <w:tcW w:type="dxa" w:w="472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Fairness sized on whichever estimand is hungrier; a new floor function nobody was checking</w:t>
            </w:r>
          </w:p>
        </w:tc>
      </w:tr>
      <w:tr>
        <w:tc>
          <w:tcPr>
            <w:tcW w:type="dxa" w:w="29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Robustness validated</w:t>
            </w:r>
          </w:p>
        </w:tc>
        <w:tc>
          <w:tcPr>
            <w:tcW w:type="dxa" w:w="14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w:t>
            </w:r>
          </w:p>
        </w:tc>
        <w:tc>
          <w:tcPr>
            <w:tcW w:type="dxa" w:w="472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47 of 290 applications flip under at least one rewording, against 29 required — no re-size needed</w:t>
            </w:r>
          </w:p>
        </w:tc>
      </w:tr>
      <w:tr>
        <w:tc>
          <w:tcPr>
            <w:tcW w:type="dxa" w:w="29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Sample-size ratchet</w:t>
            </w:r>
          </w:p>
        </w:tc>
        <w:tc>
          <w:tcPr>
            <w:tcW w:type="dxa" w:w="14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w:t>
            </w:r>
          </w:p>
        </w:tc>
        <w:tc>
          <w:tcPr>
            <w:tcW w:type="dxa" w:w="472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A committed size may grow on evidence and may never shrink on it</w:t>
            </w:r>
          </w:p>
        </w:tc>
      </w:tr>
      <w:tr>
        <w:tc>
          <w:tcPr>
            <w:tcW w:type="dxa" w:w="2900"/>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Total</w:t>
            </w:r>
          </w:p>
        </w:tc>
        <w:tc>
          <w:tcPr>
            <w:tcW w:type="dxa" w:w="1400"/>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183</w:t>
            </w:r>
          </w:p>
        </w:tc>
        <w:tc>
          <w:tcPr>
            <w:tcW w:type="dxa" w:w="4720"/>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All passing. 11 added this week, every one a tripwire for a failure that actually occurred</w:t>
            </w:r>
          </w:p>
        </w:tc>
      </w:tr>
    </w:tbl>
    <w:p>
      <w:pPr>
        <w:pStyle w:val="Heading2"/>
        <w:spacing w:after="105" w:before="220"/>
      </w:pPr>
      <w:r>
        <w:rPr>
          <w:rFonts w:ascii="Calibri" w:cs="Calibri" w:eastAsia="Calibri" w:hAnsi="Calibri"/>
          <w:b/>
          <w:bCs/>
          <w:color w:val="1E6B34"/>
          <w:sz w:val="23"/>
          <w:szCs w:val="23"/>
        </w:rPr>
        <w:t xml:space="preserve">The measurement</w:t>
      </w:r>
    </w:p>
    <w:p>
      <w:pPr>
        <w:spacing w:after="125" w:line="274"/>
      </w:pPr>
      <w:r>
        <w:rPr>
          <w:rFonts w:ascii="Calibri" w:cs="Calibri" w:eastAsia="Calibri" w:hAnsi="Calibri"/>
          <w:color w:val="5F6368"/>
          <w:sz w:val="20"/>
          <w:szCs w:val="20"/>
        </w:rPr>
        <w:t xml:space="preserve">Two independent full runs, different days, different containers. The stability is worth its own sentence: nothing in the pipeline was tuned between them.</w:t>
      </w:r>
    </w:p>
    <w:tbl>
      <w:tblPr>
        <w:tblW w:type="dxa" w:w="9020"/>
        <w:tblBorders>
          <w:top w:val="single" w:color="D3D3D3" w:sz="4"/>
          <w:left w:val="none"/>
          <w:bottom w:val="single" w:color="D3D3D3" w:sz="4"/>
          <w:right w:val="none"/>
          <w:insideH w:val="single" w:color="D3D3D3" w:sz="2"/>
          <w:insideV w:val="none"/>
        </w:tblBorders>
      </w:tblPr>
      <w:tblGrid>
        <w:gridCol w:w="2600"/>
        <w:gridCol w:w="1300"/>
        <w:gridCol w:w="1300"/>
        <w:gridCol w:w="3820"/>
      </w:tblGrid>
      <w:tr>
        <w:trPr>
          <w:tblHeader/>
        </w:trPr>
        <w:tc>
          <w:tcPr>
            <w:tcW w:type="dxa" w:w="260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Measure</w:t>
            </w:r>
          </w:p>
        </w:tc>
        <w:tc>
          <w:tcPr>
            <w:tcW w:type="dxa" w:w="130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Run 1</w:t>
            </w:r>
          </w:p>
        </w:tc>
        <w:tc>
          <w:tcPr>
            <w:tcW w:type="dxa" w:w="130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Run 2</w:t>
            </w:r>
          </w:p>
        </w:tc>
        <w:tc>
          <w:tcPr>
            <w:tcW w:type="dxa" w:w="382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Reading</w:t>
            </w:r>
          </w:p>
        </w:tc>
      </w:tr>
      <w:tr>
        <w:tc>
          <w:tcPr>
            <w:tcW w:type="dxa" w:w="26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Parse rate</w:t>
            </w:r>
          </w:p>
        </w:tc>
        <w:tc>
          <w:tcPr>
            <w:tcW w:type="dxa" w:w="13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100%</w:t>
            </w:r>
          </w:p>
        </w:tc>
        <w:tc>
          <w:tcPr>
            <w:tcW w:type="dxa" w:w="13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100%</w:t>
            </w:r>
          </w:p>
        </w:tc>
        <w:tc>
          <w:tcPr>
            <w:tcW w:type="dxa" w:w="382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Instruction wording survives at scale; no responses lost</w:t>
            </w:r>
          </w:p>
        </w:tc>
      </w:tr>
      <w:tr>
        <w:tc>
          <w:tcPr>
            <w:tcW w:type="dxa" w:w="26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Refusal rate</w:t>
            </w:r>
          </w:p>
        </w:tc>
        <w:tc>
          <w:tcPr>
            <w:tcW w:type="dxa" w:w="13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0%</w:t>
            </w:r>
          </w:p>
        </w:tc>
        <w:tc>
          <w:tcPr>
            <w:tcW w:type="dxa" w:w="13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0%</w:t>
            </w:r>
          </w:p>
        </w:tc>
        <w:tc>
          <w:tcPr>
            <w:tcW w:type="dxa" w:w="382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The model does not decline lending decisions</w:t>
            </w:r>
          </w:p>
        </w:tc>
      </w:tr>
      <w:tr>
        <w:tc>
          <w:tcPr>
            <w:tcW w:type="dxa" w:w="26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Base approval rate</w:t>
            </w:r>
          </w:p>
        </w:tc>
        <w:tc>
          <w:tcPr>
            <w:tcW w:type="dxa" w:w="13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17.8%</w:t>
            </w:r>
          </w:p>
        </w:tc>
        <w:tc>
          <w:tcPr>
            <w:tcW w:type="dxa" w:w="13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18.0%</w:t>
            </w:r>
          </w:p>
        </w:tc>
        <w:tc>
          <w:tcPr>
            <w:tcW w:type="dxa" w:w="382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Far below the p = 0.5 sizing assumption — which helps, see below</w:t>
            </w:r>
          </w:p>
        </w:tc>
      </w:tr>
      <w:tr>
        <w:tc>
          <w:tcPr>
            <w:tcW w:type="dxa" w:w="26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Perturbation flip rate</w:t>
            </w:r>
          </w:p>
        </w:tc>
        <w:tc>
          <w:tcPr>
            <w:tcW w:type="dxa" w:w="13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3.9%</w:t>
            </w:r>
          </w:p>
        </w:tc>
        <w:tc>
          <w:tcPr>
            <w:tcW w:type="dxa" w:w="13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4.0%</w:t>
            </w:r>
          </w:p>
        </w:tc>
        <w:tc>
          <w:tcPr>
            <w:tcW w:type="dxa" w:w="382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vs the assumed 10% — but see the unit correction below; robustness turned out adequately sized</w:t>
            </w:r>
          </w:p>
        </w:tc>
      </w:tr>
      <w:tr>
        <w:tc>
          <w:tcPr>
            <w:tcW w:type="dxa" w:w="2600"/>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Known-effect control</w:t>
            </w:r>
          </w:p>
        </w:tc>
        <w:tc>
          <w:tcPr>
            <w:tcW w:type="dxa" w:w="1300"/>
            <w:shd w:fill="EDF5EF" w:color="auto" w:val="clear"/>
            <w:tcMar>
              <w:top w:type="dxa" w:w="80"/>
              <w:left w:type="dxa" w:w="115"/>
              <w:bottom w:type="dxa" w:w="80"/>
              <w:right w:type="dxa" w:w="115"/>
            </w:tcMar>
          </w:tcPr>
          <w:p>
            <w:pPr>
              <w:spacing w:after="0" w:line="252"/>
            </w:pPr>
            <w:r>
              <w:rPr>
                <w:rFonts w:ascii="Calibri" w:cs="Calibri" w:eastAsia="Calibri" w:hAnsi="Calibri"/>
                <w:b/>
                <w:bCs/>
                <w:color w:val="1E6B34"/>
                <w:sz w:val="18"/>
                <w:szCs w:val="18"/>
              </w:rPr>
              <w:t xml:space="preserve">FIRED</w:t>
            </w:r>
          </w:p>
        </w:tc>
        <w:tc>
          <w:tcPr>
            <w:tcW w:type="dxa" w:w="1300"/>
            <w:shd w:fill="EDF5EF" w:color="auto" w:val="clear"/>
            <w:tcMar>
              <w:top w:type="dxa" w:w="80"/>
              <w:left w:type="dxa" w:w="115"/>
              <w:bottom w:type="dxa" w:w="80"/>
              <w:right w:type="dxa" w:w="115"/>
            </w:tcMar>
          </w:tcPr>
          <w:p>
            <w:pPr>
              <w:spacing w:after="0" w:line="252"/>
            </w:pPr>
            <w:r>
              <w:rPr>
                <w:rFonts w:ascii="Calibri" w:cs="Calibri" w:eastAsia="Calibri" w:hAnsi="Calibri"/>
                <w:b/>
                <w:bCs/>
                <w:color w:val="1E6B34"/>
                <w:sz w:val="18"/>
                <w:szCs w:val="18"/>
              </w:rPr>
              <w:t xml:space="preserve">FIRED</w:t>
            </w:r>
          </w:p>
        </w:tc>
        <w:tc>
          <w:tcPr>
            <w:tcW w:type="dxa" w:w="3820"/>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10 of 10 discordant pairs in the expected direction, p = 0.00195 both times</w:t>
            </w:r>
          </w:p>
        </w:tc>
      </w:tr>
    </w:tbl>
    <w:p>
      <w:pPr>
        <w:spacing w:after="125" w:line="274"/>
      </w:pPr>
      <w:r>
        <w:rPr>
          <w:rFonts w:ascii="Calibri" w:cs="Calibri" w:eastAsia="Calibri" w:hAnsi="Calibri"/>
          <w:b/>
          <w:bCs/>
          <w:color w:val="1A1A1A"/>
          <w:sz w:val="21"/>
          <w:szCs w:val="21"/>
        </w:rPr>
        <w:t xml:space="preserve">Run-to-run drift is under 0.2 pp on every measure. </w:t>
      </w:r>
      <w:r>
        <w:rPr>
          <w:rFonts w:ascii="Calibri" w:cs="Calibri" w:eastAsia="Calibri" w:hAnsi="Calibri"/>
          <w:color w:val="1A1A1A"/>
          <w:sz w:val="21"/>
          <w:szCs w:val="21"/>
        </w:rPr>
        <w:t xml:space="preserve">The residual comes from vLLM batch composition rather than sampling — temperature is pinned at zero — and it bounds the reproducibility claim with a measurement instead of an assertion.</w:t>
      </w:r>
    </w:p>
    <w:p>
      <w:pPr>
        <w:pStyle w:val="Heading2"/>
        <w:spacing w:after="105" w:before="220"/>
      </w:pPr>
      <w:r>
        <w:rPr>
          <w:rFonts w:ascii="Calibri" w:cs="Calibri" w:eastAsia="Calibri" w:hAnsi="Calibri"/>
          <w:b/>
          <w:bCs/>
          <w:color w:val="9B2C2C"/>
          <w:sz w:val="23"/>
          <w:szCs w:val="23"/>
        </w:rPr>
        <w:t xml:space="preserve">The failure the full run exposed</w:t>
      </w:r>
    </w:p>
    <w:p>
      <w:pPr>
        <w:spacing w:after="125" w:line="274"/>
      </w:pPr>
      <w:r>
        <w:rPr>
          <w:rFonts w:ascii="Calibri" w:cs="Calibri" w:eastAsia="Calibri" w:hAnsi="Calibri"/>
          <w:color w:val="1A1A1A"/>
          <w:sz w:val="20"/>
          <w:szCs w:val="20"/>
        </w:rPr>
        <w:t xml:space="preserve">The fairness design generates counterbalanced pairs: one applicant profile, rendered twice, differing in exactly one token. Sample size, however, had been computed for the aggregate approval-rate gap between arms. Those are two different estimands, and only the first was ever sized.</w:t>
      </w:r>
    </w:p>
    <w:p>
      <w:pPr>
        <w:spacing w:after="125" w:line="274"/>
      </w:pPr>
      <w:r>
        <w:rPr>
          <w:rFonts w:ascii="Calibri" w:cs="Calibri" w:eastAsia="Calibri" w:hAnsi="Calibri"/>
          <w:color w:val="5F6368"/>
          <w:sz w:val="20"/>
          <w:szCs w:val="20"/>
        </w:rPr>
        <w:t xml:space="preserve">In the primary (marginal) stratum, 393 complete pairs came back as follows.</w:t>
      </w:r>
    </w:p>
    <w:tbl>
      <w:tblPr>
        <w:tblW w:type="dxa" w:w="9020"/>
        <w:tblBorders>
          <w:top w:val="single" w:color="D3D3D3" w:sz="4"/>
          <w:left w:val="none"/>
          <w:bottom w:val="single" w:color="D3D3D3" w:sz="4"/>
          <w:right w:val="none"/>
          <w:insideH w:val="single" w:color="D3D3D3" w:sz="2"/>
          <w:insideV w:val="none"/>
        </w:tblBorders>
      </w:tblPr>
      <w:tblGrid>
        <w:gridCol w:w="3200"/>
        <w:gridCol w:w="1400"/>
        <w:gridCol w:w="4420"/>
      </w:tblGrid>
      <w:tr>
        <w:trPr>
          <w:tblHeader/>
        </w:trPr>
        <w:tc>
          <w:tcPr>
            <w:tcW w:type="dxa" w:w="320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Paired outcome</w:t>
            </w:r>
          </w:p>
        </w:tc>
        <w:tc>
          <w:tcPr>
            <w:tcW w:type="dxa" w:w="140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Pairs</w:t>
            </w:r>
          </w:p>
        </w:tc>
        <w:tc>
          <w:tcPr>
            <w:tcW w:type="dxa" w:w="442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Consequence</w:t>
            </w:r>
          </w:p>
        </w:tc>
      </w:tr>
      <w:tr>
        <w:tc>
          <w:tcPr>
            <w:tcW w:type="dxa" w:w="32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Both arms approved</w:t>
            </w:r>
          </w:p>
        </w:tc>
        <w:tc>
          <w:tcPr>
            <w:tcW w:type="dxa" w:w="14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63</w:t>
            </w:r>
          </w:p>
        </w:tc>
        <w:tc>
          <w:tcPr>
            <w:tcW w:type="dxa" w:w="442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concordant — carries no information about differential treatment</w:t>
            </w:r>
          </w:p>
        </w:tc>
      </w:tr>
      <w:tr>
        <w:tc>
          <w:tcPr>
            <w:tcW w:type="dxa" w:w="32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Both arms declined</w:t>
            </w:r>
          </w:p>
        </w:tc>
        <w:tc>
          <w:tcPr>
            <w:tcW w:type="dxa" w:w="14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326</w:t>
            </w:r>
          </w:p>
        </w:tc>
        <w:tc>
          <w:tcPr>
            <w:tcW w:type="dxa" w:w="442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concordant</w:t>
            </w:r>
          </w:p>
        </w:tc>
      </w:tr>
      <w:tr>
        <w:tc>
          <w:tcPr>
            <w:tcW w:type="dxa" w:w="32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Female arm only approved</w:t>
            </w:r>
          </w:p>
        </w:tc>
        <w:tc>
          <w:tcPr>
            <w:tcW w:type="dxa" w:w="14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4</w:t>
            </w:r>
          </w:p>
        </w:tc>
        <w:tc>
          <w:tcPr>
            <w:tcW w:type="dxa" w:w="442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discordant</w:t>
            </w:r>
          </w:p>
        </w:tc>
      </w:tr>
      <w:tr>
        <w:tc>
          <w:tcPr>
            <w:tcW w:type="dxa" w:w="32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Male arm only approved</w:t>
            </w:r>
          </w:p>
        </w:tc>
        <w:tc>
          <w:tcPr>
            <w:tcW w:type="dxa" w:w="14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0</w:t>
            </w:r>
          </w:p>
        </w:tc>
        <w:tc>
          <w:tcPr>
            <w:tcW w:type="dxa" w:w="442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discordant</w:t>
            </w:r>
          </w:p>
        </w:tc>
      </w:tr>
      <w:tr>
        <w:tc>
          <w:tcPr>
            <w:tcW w:type="dxa" w:w="3200"/>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Total discordant</w:t>
            </w:r>
          </w:p>
        </w:tc>
        <w:tc>
          <w:tcPr>
            <w:tcW w:type="dxa" w:w="1400"/>
            <w:shd w:fill="FBEEEE" w:color="auto" w:val="clear"/>
            <w:tcMar>
              <w:top w:type="dxa" w:w="80"/>
              <w:left w:type="dxa" w:w="115"/>
              <w:bottom w:type="dxa" w:w="80"/>
              <w:right w:type="dxa" w:w="115"/>
            </w:tcMar>
          </w:tcPr>
          <w:p>
            <w:pPr>
              <w:spacing w:after="0" w:line="252"/>
            </w:pPr>
            <w:r>
              <w:rPr>
                <w:rFonts w:ascii="Calibri" w:cs="Calibri" w:eastAsia="Calibri" w:hAnsi="Calibri"/>
                <w:b/>
                <w:bCs/>
                <w:color w:val="9B2C2C"/>
                <w:sz w:val="18"/>
                <w:szCs w:val="18"/>
              </w:rPr>
              <w:t xml:space="preserve">4</w:t>
            </w:r>
          </w:p>
        </w:tc>
        <w:tc>
          <w:tcPr>
            <w:tcW w:type="dxa" w:w="4420"/>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McNemar exact p = 0.125 — and 0.125 is the BEST attainable value at four pairs</w:t>
            </w:r>
          </w:p>
        </w:tc>
      </w:tr>
    </w:tbl>
    <w:p>
      <w:pPr>
        <w:spacing w:after="125" w:line="274"/>
      </w:pPr>
      <w:r>
        <w:rPr>
          <w:rFonts w:ascii="Calibri" w:cs="Calibri" w:eastAsia="Calibri" w:hAnsi="Calibri"/>
          <w:b/>
          <w:bCs/>
          <w:color w:val="1A1A1A"/>
          <w:sz w:val="21"/>
          <w:szCs w:val="21"/>
        </w:rPr>
        <w:t xml:space="preserve">With four discordant pairs, a two-sided exact sign test cannot drop below p = 0.125 even when every pair falls the same way. </w:t>
      </w:r>
      <w:r>
        <w:rPr>
          <w:rFonts w:ascii="Calibri" w:cs="Calibri" w:eastAsia="Calibri" w:hAnsi="Calibri"/>
          <w:color w:val="1A1A1A"/>
          <w:sz w:val="21"/>
          <w:szCs w:val="21"/>
        </w:rPr>
        <w:t xml:space="preserve">The test had no power to reject at any effect size. "No significant gender effect" from that run would not have been a finding about the model; it would have been a statement about a test that could not have said anything else. Six discordant pairs is the smallest count at which the test can ever reach α = 0.05, and nothing in the pipeline was checking that.</w:t>
      </w:r>
    </w:p>
    <w:p>
      <w:pPr>
        <w:pStyle w:val="Heading2"/>
        <w:spacing w:after="105" w:before="220"/>
      </w:pPr>
      <w:r>
        <w:rPr>
          <w:rFonts w:ascii="Calibri" w:cs="Calibri" w:eastAsia="Calibri" w:hAnsi="Calibri"/>
          <w:b/>
          <w:bCs/>
          <w:color w:val="8A5A00"/>
          <w:sz w:val="23"/>
          <w:szCs w:val="23"/>
        </w:rPr>
        <w:t xml:space="preserve">What can be reported, and what cannot</w:t>
      </w:r>
    </w:p>
    <w:p>
      <w:pPr>
        <w:spacing w:after="125" w:line="274"/>
      </w:pPr>
      <w:r>
        <w:rPr>
          <w:rFonts w:ascii="Calibri" w:cs="Calibri" w:eastAsia="Calibri" w:hAnsi="Calibri"/>
          <w:color w:val="5F6368"/>
          <w:sz w:val="20"/>
          <w:szCs w:val="20"/>
        </w:rPr>
        <w:t xml:space="preserve">Separating the two estimands turns one uninterpretable result into one solid finding and one honestly-open question.</w:t>
      </w:r>
    </w:p>
    <w:tbl>
      <w:tblPr>
        <w:tblW w:type="dxa" w:w="9020"/>
        <w:tblBorders>
          <w:top w:val="single" w:color="D3D3D3" w:sz="4"/>
          <w:left w:val="none"/>
          <w:bottom w:val="single" w:color="D3D3D3" w:sz="4"/>
          <w:right w:val="none"/>
          <w:insideH w:val="single" w:color="D3D3D3" w:sz="2"/>
          <w:insideV w:val="none"/>
        </w:tblBorders>
      </w:tblPr>
      <w:tblGrid>
        <w:gridCol w:w="2900"/>
        <w:gridCol w:w="2400"/>
        <w:gridCol w:w="3720"/>
      </w:tblGrid>
      <w:tr>
        <w:trPr>
          <w:tblHeader/>
        </w:trPr>
        <w:tc>
          <w:tcPr>
            <w:tcW w:type="dxa" w:w="290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Estimand</w:t>
            </w:r>
          </w:p>
        </w:tc>
        <w:tc>
          <w:tcPr>
            <w:tcW w:type="dxa" w:w="240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Result</w:t>
            </w:r>
          </w:p>
        </w:tc>
        <w:tc>
          <w:tcPr>
            <w:tcW w:type="dxa" w:w="372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Status</w:t>
            </w:r>
          </w:p>
        </w:tc>
      </w:tr>
      <w:tr>
        <w:tc>
          <w:tcPr>
            <w:tcW w:type="dxa" w:w="2900"/>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Rate of individual inconsistency</w:t>
            </w:r>
          </w:p>
        </w:tc>
        <w:tc>
          <w:tcPr>
            <w:tcW w:type="dxa" w:w="2400"/>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1.02%  (95% CI 0.28–2.59%)</w:t>
            </w:r>
          </w:p>
        </w:tc>
        <w:tc>
          <w:tcPr>
            <w:tcW w:type="dxa" w:w="3720"/>
            <w:shd w:fill="EDF5EF" w:color="auto" w:val="clear"/>
            <w:tcMar>
              <w:top w:type="dxa" w:w="80"/>
              <w:left w:type="dxa" w:w="115"/>
              <w:bottom w:type="dxa" w:w="80"/>
              <w:right w:type="dxa" w:w="115"/>
            </w:tcMar>
          </w:tcPr>
          <w:p>
            <w:pPr>
              <w:spacing w:after="0" w:line="252"/>
            </w:pPr>
            <w:r>
              <w:rPr>
                <w:rFonts w:ascii="Calibri" w:cs="Calibri" w:eastAsia="Calibri" w:hAnsi="Calibri"/>
                <w:b/>
                <w:bCs/>
                <w:color w:val="1E6B34"/>
                <w:sz w:val="18"/>
                <w:szCs w:val="18"/>
              </w:rPr>
              <w:t xml:space="preserve">REPORTABLE — precisely estimated, needs no more data</w:t>
            </w:r>
          </w:p>
        </w:tc>
      </w:tr>
      <w:tr>
        <w:tc>
          <w:tcPr>
            <w:tcW w:type="dxa" w:w="29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Direction of that inconsistency</w:t>
            </w:r>
          </w:p>
        </w:tc>
        <w:tc>
          <w:tcPr>
            <w:tcW w:type="dxa" w:w="24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4 of 4 favoured female, CI 39.8–100%</w:t>
            </w:r>
          </w:p>
        </w:tc>
        <w:tc>
          <w:tcPr>
            <w:tcW w:type="dxa" w:w="3720"/>
            <w:shd w:fill="FBEEEE" w:color="auto" w:val="clear"/>
            <w:tcMar>
              <w:top w:type="dxa" w:w="80"/>
              <w:left w:type="dxa" w:w="115"/>
              <w:bottom w:type="dxa" w:w="80"/>
              <w:right w:type="dxa" w:w="115"/>
            </w:tcMar>
          </w:tcPr>
          <w:p>
            <w:pPr>
              <w:spacing w:after="0" w:line="252"/>
            </w:pPr>
            <w:r>
              <w:rPr>
                <w:rFonts w:ascii="Calibri" w:cs="Calibri" w:eastAsia="Calibri" w:hAnsi="Calibri"/>
                <w:b/>
                <w:bCs/>
                <w:color w:val="9B2C2C"/>
                <w:sz w:val="18"/>
                <w:szCs w:val="18"/>
              </w:rPr>
              <w:t xml:space="preserve">UNDETERMINED — interval contains 50%</w:t>
            </w:r>
          </w:p>
        </w:tc>
      </w:tr>
      <w:tr>
        <w:tc>
          <w:tcPr>
            <w:tcW w:type="dxa" w:w="29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Aggregate approval gap (marginal)</w:t>
            </w:r>
          </w:p>
        </w:tc>
        <w:tc>
          <w:tcPr>
            <w:tcW w:type="dxa" w:w="24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+1.02 pp  (95% CI −4.2 to +6.2 pp)</w:t>
            </w:r>
          </w:p>
        </w:tc>
        <w:tc>
          <w:tcPr>
            <w:tcW w:type="dxa" w:w="3720"/>
            <w:shd w:fill="EDF5EF" w:color="auto" w:val="clear"/>
            <w:tcMar>
              <w:top w:type="dxa" w:w="80"/>
              <w:left w:type="dxa" w:w="115"/>
              <w:bottom w:type="dxa" w:w="80"/>
              <w:right w:type="dxa" w:w="115"/>
            </w:tcMar>
          </w:tcPr>
          <w:p>
            <w:pPr>
              <w:spacing w:after="0" w:line="252"/>
            </w:pPr>
            <w:r>
              <w:rPr>
                <w:rFonts w:ascii="Calibri" w:cs="Calibri" w:eastAsia="Calibri" w:hAnsi="Calibri"/>
                <w:b/>
                <w:bCs/>
                <w:color w:val="1E6B34"/>
                <w:sz w:val="18"/>
                <w:szCs w:val="18"/>
              </w:rPr>
              <w:t xml:space="preserve">REPORTABLE — a null with a tight bound</w:t>
            </w:r>
          </w:p>
        </w:tc>
      </w:tr>
    </w:tbl>
    <w:p>
      <w:pPr>
        <w:spacing w:after="125" w:line="274"/>
      </w:pPr>
      <w:r>
        <w:rPr>
          <w:rFonts w:ascii="Calibri" w:cs="Calibri" w:eastAsia="Calibri" w:hAnsi="Calibri"/>
          <w:color w:val="1A1A1A"/>
          <w:sz w:val="20"/>
          <w:szCs w:val="20"/>
        </w:rPr>
        <w:t xml:space="preserve">The aggregate result is stronger than pre-registered, not weaker. Binomial variance is largest at p = 0.5, so the 17–18% base rate improves resolution rather than degrading it: at the measured rate the committed 393 pairs per arm detect a 7.4 pp gap, against the 10.0 pp the plan promised.</w:t>
      </w:r>
    </w:p>
    <w:p>
      <w:pPr>
        <w:pStyle w:val="Heading2"/>
        <w:spacing w:after="105" w:before="220"/>
      </w:pPr>
      <w:r>
        <w:rPr>
          <w:rFonts w:ascii="Calibri" w:cs="Calibri" w:eastAsia="Calibri" w:hAnsi="Calibri"/>
          <w:b/>
          <w:bCs/>
          <w:color w:val="1E6B34"/>
          <w:sz w:val="23"/>
          <w:szCs w:val="23"/>
        </w:rPr>
        <w:t xml:space="preserve">A validity check the design got for free</w:t>
      </w:r>
    </w:p>
    <w:p>
      <w:pPr>
        <w:spacing w:after="125" w:line="274"/>
      </w:pPr>
      <w:r>
        <w:rPr>
          <w:rFonts w:ascii="Calibri" w:cs="Calibri" w:eastAsia="Calibri" w:hAnsi="Calibri"/>
          <w:color w:val="1A1A1A"/>
          <w:sz w:val="21"/>
          <w:szCs w:val="21"/>
        </w:rPr>
        <w:t xml:space="preserve">Approval rate by pre-registered credit stratum: weak 2.7%, marginal 16.5%, strong 30.2%. The stratification function was written to be face-valid and was deliberately never fitted to the German Credit label, yet the model orders the three strata identically. Nothing forced that agreement. It is evidence that the strata are substantively meaningful and that the model reads the financial fields rather than responding to surface form — a construct-validity result the study did not have to pay for. It also confirms the primary endpoint sits in the right band: the weak stratum is floored at 2.7% and has no room for a gap to appear.</w:t>
      </w:r>
    </w:p>
    <w:p>
      <w:pPr>
        <w:pStyle w:val="Heading2"/>
        <w:spacing w:after="105" w:before="220"/>
      </w:pPr>
      <w:r>
        <w:rPr>
          <w:rFonts w:ascii="Calibri" w:cs="Calibri" w:eastAsia="Calibri" w:hAnsi="Calibri"/>
          <w:b/>
          <w:bCs/>
          <w:color w:val="1E6B34"/>
          <w:sz w:val="23"/>
          <w:szCs w:val="23"/>
        </w:rPr>
        <w:t xml:space="preserve">Robustness — the dimension that held</w:t>
      </w:r>
    </w:p>
    <w:p>
      <w:pPr>
        <w:spacing w:after="125" w:line="274"/>
      </w:pPr>
      <w:r>
        <w:rPr>
          <w:rFonts w:ascii="Calibri" w:cs="Calibri" w:eastAsia="Calibri" w:hAnsi="Calibri"/>
          <w:color w:val="5F6368"/>
          <w:sz w:val="20"/>
          <w:szCs w:val="20"/>
        </w:rPr>
        <w:t xml:space="preserve">The same paired reasoning was applied to robustness, and the answer came out the other way. This is worth stating plainly, because it shows the Week 2 failure was specific rather than systemic.</w:t>
      </w:r>
    </w:p>
    <w:tbl>
      <w:tblPr>
        <w:tblW w:type="dxa" w:w="9020"/>
        <w:tblBorders>
          <w:top w:val="single" w:color="D3D3D3" w:sz="4"/>
          <w:left w:val="none"/>
          <w:bottom w:val="single" w:color="D3D3D3" w:sz="4"/>
          <w:right w:val="none"/>
          <w:insideH w:val="single" w:color="D3D3D3" w:sz="2"/>
          <w:insideV w:val="none"/>
        </w:tblBorders>
      </w:tblPr>
      <w:tblGrid>
        <w:gridCol w:w="3000"/>
        <w:gridCol w:w="1500"/>
        <w:gridCol w:w="4520"/>
      </w:tblGrid>
      <w:tr>
        <w:trPr>
          <w:tblHeader/>
        </w:trPr>
        <w:tc>
          <w:tcPr>
            <w:tcW w:type="dxa" w:w="300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Measure</w:t>
            </w:r>
          </w:p>
        </w:tc>
        <w:tc>
          <w:tcPr>
            <w:tcW w:type="dxa" w:w="150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Result</w:t>
            </w:r>
          </w:p>
        </w:tc>
        <w:tc>
          <w:tcPr>
            <w:tcW w:type="dxa" w:w="452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Reading</w:t>
            </w:r>
          </w:p>
        </w:tc>
      </w:tr>
      <w:tr>
        <w:tc>
          <w:tcPr>
            <w:tcW w:type="dxa" w:w="30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Base applications tested</w:t>
            </w:r>
          </w:p>
        </w:tc>
        <w:tc>
          <w:tcPr>
            <w:tcW w:type="dxa" w:w="15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290</w:t>
            </w:r>
          </w:p>
        </w:tc>
        <w:tc>
          <w:tcPr>
            <w:tcW w:type="dxa" w:w="452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each rendered with its six meaning-preserving rewordings</w:t>
            </w:r>
          </w:p>
        </w:tc>
      </w:tr>
      <w:tr>
        <w:tc>
          <w:tcPr>
            <w:tcW w:type="dxa" w:w="30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Comparisons</w:t>
            </w:r>
          </w:p>
        </w:tc>
        <w:tc>
          <w:tcPr>
            <w:tcW w:type="dxa" w:w="15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1740</w:t>
            </w:r>
          </w:p>
        </w:tc>
        <w:tc>
          <w:tcPr>
            <w:tcW w:type="dxa" w:w="452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69 flipped — the 4.0% headline rate</w:t>
            </w:r>
          </w:p>
        </w:tc>
      </w:tr>
      <w:tr>
        <w:tc>
          <w:tcPr>
            <w:tcW w:type="dxa" w:w="3000"/>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Applications flipping at least once</w:t>
            </w:r>
          </w:p>
        </w:tc>
        <w:tc>
          <w:tcPr>
            <w:tcW w:type="dxa" w:w="1500"/>
            <w:shd w:fill="EDF5EF" w:color="auto" w:val="clear"/>
            <w:tcMar>
              <w:top w:type="dxa" w:w="80"/>
              <w:left w:type="dxa" w:w="115"/>
              <w:bottom w:type="dxa" w:w="80"/>
              <w:right w:type="dxa" w:w="115"/>
            </w:tcMar>
          </w:tcPr>
          <w:p>
            <w:pPr>
              <w:spacing w:after="0" w:line="252"/>
            </w:pPr>
            <w:r>
              <w:rPr>
                <w:rFonts w:ascii="Calibri" w:cs="Calibri" w:eastAsia="Calibri" w:hAnsi="Calibri"/>
                <w:b/>
                <w:bCs/>
                <w:color w:val="1E6B34"/>
                <w:sz w:val="18"/>
                <w:szCs w:val="18"/>
              </w:rPr>
              <w:t xml:space="preserve">47</w:t>
            </w:r>
          </w:p>
        </w:tc>
        <w:tc>
          <w:tcPr>
            <w:tcW w:type="dxa" w:w="4520"/>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against the 29 the McNemar test requires — adequately powered as committed</w:t>
            </w:r>
          </w:p>
        </w:tc>
      </w:tr>
      <w:tr>
        <w:tc>
          <w:tcPr>
            <w:tcW w:type="dxa" w:w="30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Re-size required</w:t>
            </w:r>
          </w:p>
        </w:tc>
        <w:tc>
          <w:tcPr>
            <w:tcW w:type="dxa" w:w="15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None</w:t>
            </w:r>
          </w:p>
        </w:tc>
        <w:tc>
          <w:tcPr>
            <w:tcW w:type="dxa" w:w="452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290 stays. The only dimension the full run confirmed rather than corrected</w:t>
            </w:r>
          </w:p>
        </w:tc>
      </w:tr>
    </w:tbl>
    <w:p>
      <w:pPr>
        <w:pStyle w:val="Heading2"/>
        <w:spacing w:after="105" w:before="220"/>
      </w:pPr>
      <w:r>
        <w:rPr>
          <w:rFonts w:ascii="Calibri" w:cs="Calibri" w:eastAsia="Calibri" w:hAnsi="Calibri"/>
          <w:b/>
          <w:bCs/>
          <w:color w:val="8A5A00"/>
          <w:sz w:val="23"/>
          <w:szCs w:val="23"/>
        </w:rPr>
        <w:t xml:space="preserve">Dimension coverage — what is actually producing evidence</w:t>
      </w:r>
    </w:p>
    <w:p>
      <w:pPr>
        <w:spacing w:after="125" w:line="274"/>
      </w:pPr>
      <w:r>
        <w:rPr>
          <w:rFonts w:ascii="Calibri" w:cs="Calibri" w:eastAsia="Calibri" w:hAnsi="Calibri"/>
          <w:color w:val="5F6368"/>
          <w:sz w:val="20"/>
          <w:szCs w:val="20"/>
        </w:rPr>
        <w:t xml:space="preserve">An honest accounting, because the five dimensions are not in the same state and the difference does not show up in a test count.</w:t>
      </w:r>
    </w:p>
    <w:tbl>
      <w:tblPr>
        <w:tblW w:type="dxa" w:w="9020"/>
        <w:tblBorders>
          <w:top w:val="single" w:color="D3D3D3" w:sz="4"/>
          <w:left w:val="none"/>
          <w:bottom w:val="single" w:color="D3D3D3" w:sz="4"/>
          <w:right w:val="none"/>
          <w:insideH w:val="single" w:color="D3D3D3" w:sz="2"/>
          <w:insideV w:val="none"/>
        </w:tblBorders>
      </w:tblPr>
      <w:tblGrid>
        <w:gridCol w:w="2000"/>
        <w:gridCol w:w="1400"/>
        <w:gridCol w:w="1500"/>
        <w:gridCol w:w="4120"/>
      </w:tblGrid>
      <w:tr>
        <w:trPr>
          <w:tblHeader/>
        </w:trPr>
        <w:tc>
          <w:tcPr>
            <w:tcW w:type="dxa" w:w="200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Dimension</w:t>
            </w:r>
          </w:p>
        </w:tc>
        <w:tc>
          <w:tcPr>
            <w:tcW w:type="dxa" w:w="140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Probes</w:t>
            </w:r>
          </w:p>
        </w:tc>
        <w:tc>
          <w:tcPr>
            <w:tcW w:type="dxa" w:w="150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Answered</w:t>
            </w:r>
          </w:p>
        </w:tc>
        <w:tc>
          <w:tcPr>
            <w:tcW w:type="dxa" w:w="412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Status</w:t>
            </w:r>
          </w:p>
        </w:tc>
      </w:tr>
      <w:tr>
        <w:tc>
          <w:tcPr>
            <w:tcW w:type="dxa" w:w="20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Fairness</w:t>
            </w:r>
          </w:p>
        </w:tc>
        <w:tc>
          <w:tcPr>
            <w:tcW w:type="dxa" w:w="14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1310 → 9480</w:t>
            </w:r>
          </w:p>
        </w:tc>
        <w:tc>
          <w:tcPr>
            <w:tcW w:type="dxa" w:w="15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3530 so far</w:t>
            </w:r>
          </w:p>
        </w:tc>
        <w:tc>
          <w:tcPr>
            <w:tcW w:type="dxa" w:w="4120"/>
            <w:tcMar>
              <w:top w:type="dxa" w:w="80"/>
              <w:left w:type="dxa" w:w="115"/>
              <w:bottom w:type="dxa" w:w="80"/>
              <w:right w:type="dxa" w:w="115"/>
            </w:tcMar>
          </w:tcPr>
          <w:p>
            <w:pPr>
              <w:spacing w:after="0" w:line="252"/>
            </w:pPr>
            <w:r>
              <w:rPr>
                <w:rFonts w:ascii="Calibri" w:cs="Calibri" w:eastAsia="Calibri" w:hAnsi="Calibri"/>
                <w:color w:val="8A5A00"/>
                <w:sz w:val="18"/>
                <w:szCs w:val="18"/>
              </w:rPr>
              <w:t xml:space="preserve">Test was incapable; corrected, awaiting re-run</w:t>
            </w:r>
          </w:p>
        </w:tc>
      </w:tr>
      <w:tr>
        <w:tc>
          <w:tcPr>
            <w:tcW w:type="dxa" w:w="20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Robustness</w:t>
            </w:r>
          </w:p>
        </w:tc>
        <w:tc>
          <w:tcPr>
            <w:tcW w:type="dxa" w:w="14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2030</w:t>
            </w:r>
          </w:p>
        </w:tc>
        <w:tc>
          <w:tcPr>
            <w:tcW w:type="dxa" w:w="15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2030</w:t>
            </w:r>
          </w:p>
        </w:tc>
        <w:tc>
          <w:tcPr>
            <w:tcW w:type="dxa" w:w="4120"/>
            <w:shd w:fill="EDF5EF" w:color="auto" w:val="clear"/>
            <w:tcMar>
              <w:top w:type="dxa" w:w="80"/>
              <w:left w:type="dxa" w:w="115"/>
              <w:bottom w:type="dxa" w:w="80"/>
              <w:right w:type="dxa" w:w="115"/>
            </w:tcMar>
          </w:tcPr>
          <w:p>
            <w:pPr>
              <w:spacing w:after="0" w:line="252"/>
            </w:pPr>
            <w:r>
              <w:rPr>
                <w:rFonts w:ascii="Calibri" w:cs="Calibri" w:eastAsia="Calibri" w:hAnsi="Calibri"/>
                <w:b/>
                <w:bCs/>
                <w:color w:val="1E6B34"/>
                <w:sz w:val="18"/>
                <w:szCs w:val="18"/>
              </w:rPr>
              <w:t xml:space="preserve">Working. Real numbers already in hand</w:t>
            </w:r>
          </w:p>
        </w:tc>
      </w:tr>
      <w:tr>
        <w:tc>
          <w:tcPr>
            <w:tcW w:type="dxa" w:w="20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Transparency</w:t>
            </w:r>
          </w:p>
        </w:tc>
        <w:tc>
          <w:tcPr>
            <w:tcW w:type="dxa" w:w="14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152</w:t>
            </w:r>
          </w:p>
        </w:tc>
        <w:tc>
          <w:tcPr>
            <w:tcW w:type="dxa" w:w="15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152</w:t>
            </w:r>
          </w:p>
        </w:tc>
        <w:tc>
          <w:tcPr>
            <w:tcW w:type="dxa" w:w="4120"/>
            <w:shd w:fill="FBEEEE" w:color="auto" w:val="clear"/>
            <w:tcMar>
              <w:top w:type="dxa" w:w="80"/>
              <w:left w:type="dxa" w:w="115"/>
              <w:bottom w:type="dxa" w:w="80"/>
              <w:right w:type="dxa" w:w="115"/>
            </w:tcMar>
          </w:tcPr>
          <w:p>
            <w:pPr>
              <w:spacing w:after="0" w:line="252"/>
            </w:pPr>
            <w:r>
              <w:rPr>
                <w:rFonts w:ascii="Calibri" w:cs="Calibri" w:eastAsia="Calibri" w:hAnsi="Calibri"/>
                <w:b/>
                <w:bCs/>
                <w:color w:val="9B2C2C"/>
                <w:sz w:val="18"/>
                <w:szCs w:val="18"/>
              </w:rPr>
              <w:t xml:space="preserve">Answered but UNSCOREABLE — needs the judge, which needs the five criteria</w:t>
            </w:r>
          </w:p>
        </w:tc>
      </w:tr>
      <w:tr>
        <w:tc>
          <w:tcPr>
            <w:tcW w:type="dxa" w:w="20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Consistency</w:t>
            </w:r>
          </w:p>
        </w:tc>
        <w:tc>
          <w:tcPr>
            <w:tcW w:type="dxa" w:w="1400"/>
            <w:tcMar>
              <w:top w:type="dxa" w:w="80"/>
              <w:left w:type="dxa" w:w="115"/>
              <w:bottom w:type="dxa" w:w="80"/>
              <w:right w:type="dxa" w:w="115"/>
            </w:tcMar>
          </w:tcPr>
          <w:p>
            <w:pPr>
              <w:spacing w:after="0" w:line="252"/>
            </w:pPr>
            <w:r>
              <w:rPr>
                <w:rFonts w:ascii="Calibri" w:cs="Calibri" w:eastAsia="Calibri" w:hAnsi="Calibri"/>
                <w:b/>
                <w:bCs/>
                <w:color w:val="9B2C2C"/>
                <w:sz w:val="18"/>
                <w:szCs w:val="18"/>
              </w:rPr>
              <w:t xml:space="preserve">0</w:t>
            </w:r>
          </w:p>
        </w:tc>
        <w:tc>
          <w:tcPr>
            <w:tcW w:type="dxa" w:w="15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w:t>
            </w:r>
          </w:p>
        </w:tc>
        <w:tc>
          <w:tcPr>
            <w:tcW w:type="dxa" w:w="4120"/>
            <w:tcMar>
              <w:top w:type="dxa" w:w="80"/>
              <w:left w:type="dxa" w:w="115"/>
              <w:bottom w:type="dxa" w:w="80"/>
              <w:right w:type="dxa" w:w="115"/>
            </w:tcMar>
          </w:tcPr>
          <w:p>
            <w:pPr>
              <w:spacing w:after="0" w:line="252"/>
            </w:pPr>
            <w:r>
              <w:rPr>
                <w:rFonts w:ascii="Calibri" w:cs="Calibri" w:eastAsia="Calibri" w:hAnsi="Calibri"/>
                <w:color w:val="9B2C2C"/>
                <w:sz w:val="18"/>
                <w:szCs w:val="18"/>
              </w:rPr>
              <w:t xml:space="preserve">No clause in the signed checklist maps to it, so none are generated</w:t>
            </w:r>
          </w:p>
        </w:tc>
      </w:tr>
      <w:tr>
        <w:tc>
          <w:tcPr>
            <w:tcW w:type="dxa" w:w="20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Truthfulness</w:t>
            </w:r>
          </w:p>
        </w:tc>
        <w:tc>
          <w:tcPr>
            <w:tcW w:type="dxa" w:w="1400"/>
            <w:tcMar>
              <w:top w:type="dxa" w:w="80"/>
              <w:left w:type="dxa" w:w="115"/>
              <w:bottom w:type="dxa" w:w="80"/>
              <w:right w:type="dxa" w:w="115"/>
            </w:tcMar>
          </w:tcPr>
          <w:p>
            <w:pPr>
              <w:spacing w:after="0" w:line="252"/>
            </w:pPr>
            <w:r>
              <w:rPr>
                <w:rFonts w:ascii="Calibri" w:cs="Calibri" w:eastAsia="Calibri" w:hAnsi="Calibri"/>
                <w:b/>
                <w:bCs/>
                <w:color w:val="9B2C2C"/>
                <w:sz w:val="18"/>
                <w:szCs w:val="18"/>
              </w:rPr>
              <w:t xml:space="preserve">0</w:t>
            </w:r>
          </w:p>
        </w:tc>
        <w:tc>
          <w:tcPr>
            <w:tcW w:type="dxa" w:w="15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w:t>
            </w:r>
          </w:p>
        </w:tc>
        <w:tc>
          <w:tcPr>
            <w:tcW w:type="dxa" w:w="4120"/>
            <w:tcMar>
              <w:top w:type="dxa" w:w="80"/>
              <w:left w:type="dxa" w:w="115"/>
              <w:bottom w:type="dxa" w:w="80"/>
              <w:right w:type="dxa" w:w="115"/>
            </w:tcMar>
          </w:tcPr>
          <w:p>
            <w:pPr>
              <w:spacing w:after="0" w:line="252"/>
            </w:pPr>
            <w:r>
              <w:rPr>
                <w:rFonts w:ascii="Calibri" w:cs="Calibri" w:eastAsia="Calibri" w:hAnsi="Calibri"/>
                <w:color w:val="9B2C2C"/>
                <w:sz w:val="18"/>
                <w:szCs w:val="18"/>
              </w:rPr>
              <w:t xml:space="preserve">Dormant by an earlier decision; the seed bank supplies 6 of the 59 calibration points needed</w:t>
            </w:r>
          </w:p>
        </w:tc>
      </w:tr>
    </w:tbl>
    <w:p>
      <w:pPr>
        <w:spacing w:after="125" w:line="274"/>
      </w:pPr>
      <w:r>
        <w:rPr>
          <w:rFonts w:ascii="Calibri" w:cs="Calibri" w:eastAsia="Calibri" w:hAnsi="Calibri"/>
          <w:b/>
          <w:bCs/>
          <w:color w:val="1A1A1A"/>
          <w:sz w:val="21"/>
          <w:szCs w:val="21"/>
        </w:rPr>
        <w:t xml:space="preserve">Two of five dimensions are currently producing evidence. </w:t>
      </w:r>
      <w:r>
        <w:rPr>
          <w:rFonts w:ascii="Calibri" w:cs="Calibri" w:eastAsia="Calibri" w:hAnsi="Calibri"/>
          <w:color w:val="1A1A1A"/>
          <w:sz w:val="21"/>
          <w:szCs w:val="21"/>
        </w:rPr>
        <w:t xml:space="preserve">The consistency gap is not a defect — it is the notary gate refusing to invent a requirement the legislation did not give it, which is the behaviour the design is built around. But it should be a recorded decision rather than something discovered during write-up, and the same applies to leaving truthfulness dormant. Both are on the agenda for the 24 August standup.</w:t>
      </w:r>
    </w:p>
    <w:p>
      <w:pPr>
        <w:pStyle w:val="Heading2"/>
        <w:spacing w:after="105" w:before="220"/>
      </w:pPr>
      <w:r>
        <w:rPr>
          <w:rFonts w:ascii="Calibri" w:cs="Calibri" w:eastAsia="Calibri" w:hAnsi="Calibri"/>
          <w:b/>
          <w:bCs/>
          <w:color w:val="8A5A00"/>
          <w:sz w:val="23"/>
          <w:szCs w:val="23"/>
        </w:rPr>
        <w:t xml:space="preserve">Corrections made</w:t>
      </w:r>
    </w:p>
    <w:p>
      <w:pPr>
        <w:spacing w:after="70" w:before="150"/>
      </w:pPr>
      <w:r>
        <w:rPr>
          <w:rFonts w:ascii="Calibri" w:cs="Calibri" w:eastAsia="Calibri" w:hAnsi="Calibri"/>
          <w:b/>
          <w:bCs/>
          <w:color w:val="5F6368"/>
          <w:sz w:val="20"/>
          <w:szCs w:val="20"/>
        </w:rPr>
        <w:t xml:space="preserve">1.  Fairness is now sized on whichever estimand is hungrier</w:t>
      </w:r>
    </w:p>
    <w:p>
      <w:pPr>
        <w:spacing w:after="125" w:line="274"/>
      </w:pPr>
      <w:r>
        <w:rPr>
          <w:rFonts w:ascii="Calibri" w:cs="Calibri" w:eastAsia="Calibri" w:hAnsi="Calibri"/>
          <w:color w:val="1A1A1A"/>
          <w:sz w:val="21"/>
          <w:szCs w:val="21"/>
        </w:rPr>
        <w:t xml:space="preserve">The measured discordance of 1.02% enters config the same way the robustness flip rate does — pilot-informed, recorded in the manifest, not assumed. The primary stratum must now satisfy both the two-proportion and the McNemar requirement. Fairness goes from 655 to 4,740 cases; robustness from 290 to 725 after the flip rate was corrected from the placeholder 0.10 to the measured 0.04.</w:t>
      </w:r>
    </w:p>
    <w:p>
      <w:pPr>
        <w:spacing w:after="70" w:before="150"/>
      </w:pPr>
      <w:r>
        <w:rPr>
          <w:rFonts w:ascii="Calibri" w:cs="Calibri" w:eastAsia="Calibri" w:hAnsi="Calibri"/>
          <w:b/>
          <w:bCs/>
          <w:color w:val="5F6368"/>
          <w:sz w:val="20"/>
          <w:szCs w:val="20"/>
        </w:rPr>
        <w:t xml:space="preserve">2.  A positive control on the protected axis</w:t>
      </w:r>
    </w:p>
    <w:p>
      <w:pPr>
        <w:spacing w:after="125" w:line="274"/>
      </w:pPr>
      <w:r>
        <w:rPr>
          <w:rFonts w:ascii="Calibri" w:cs="Calibri" w:eastAsia="Calibri" w:hAnsi="Calibri"/>
          <w:color w:val="1A1A1A"/>
          <w:sz w:val="21"/>
          <w:szCs w:val="21"/>
        </w:rPr>
        <w:t xml:space="preserve">The existing control plants an effect on a payment-history field. It fired cleanly, but it licenses only the claim "this pipeline detects decision-relevant differences" — not "this pipeline detects differences on the protected axis". A two-letter title is a far weaker signal than a financial field, and a null fairness result rests entirely on the second claim. The new control renders an ordinary counterbalanced pair under a policy instruction that makes the title decision-relevant, through the same machinery and the same counterbalancing invariant. Until it fires, a 1.02% discordance rate cannot be distinguished from an axis the model never read.</w:t>
      </w:r>
    </w:p>
    <w:p>
      <w:pPr>
        <w:spacing w:after="70" w:before="150"/>
      </w:pPr>
      <w:r>
        <w:rPr>
          <w:rFonts w:ascii="Calibri" w:cs="Calibri" w:eastAsia="Calibri" w:hAnsi="Calibri"/>
          <w:b/>
          <w:bCs/>
          <w:color w:val="5F6368"/>
          <w:sz w:val="20"/>
          <w:szCs w:val="20"/>
        </w:rPr>
        <w:t xml:space="preserve">3.  Growing a probe set no longer destroys the evidence</w:t>
      </w:r>
    </w:p>
    <w:p>
      <w:pPr>
        <w:spacing w:after="125" w:line="274"/>
      </w:pPr>
      <w:r>
        <w:rPr>
          <w:rFonts w:ascii="Calibri" w:cs="Calibri" w:eastAsia="Calibri" w:hAnsi="Calibri"/>
          <w:color w:val="1A1A1A"/>
          <w:sz w:val="21"/>
          <w:szCs w:val="21"/>
        </w:rPr>
        <w:t xml:space="preserve">Stratum allocation emitted sorted blocks, so raising N remapped nearly every case index to a different stratum, changed every prompt, and would have silently orphaned all 3,530 responses. Replaced with sequential apportionment, which is prefix-stable by construction: case 0 stays case 0. 1,571 responses survived the re-size that follows. The property matters again at every future re-size, for the second model, and for the insurance transfer.</w:t>
      </w:r>
    </w:p>
    <w:p>
      <w:pPr>
        <w:spacing w:after="70" w:before="150"/>
      </w:pPr>
      <w:r>
        <w:rPr>
          <w:rFonts w:ascii="Calibri" w:cs="Calibri" w:eastAsia="Calibri" w:hAnsi="Calibri"/>
          <w:b/>
          <w:bCs/>
          <w:color w:val="5F6368"/>
          <w:sz w:val="20"/>
          <w:szCs w:val="20"/>
        </w:rPr>
        <w:t xml:space="preserve">4.  The pilot report now checks whether its own tests can reject</w:t>
      </w:r>
    </w:p>
    <w:p>
      <w:pPr>
        <w:spacing w:after="125" w:line="274"/>
      </w:pPr>
      <w:r>
        <w:rPr>
          <w:rFonts w:ascii="Calibri" w:cs="Calibri" w:eastAsia="Calibri" w:hAnsi="Calibri"/>
          <w:color w:val="1A1A1A"/>
          <w:sz w:val="21"/>
          <w:szCs w:val="21"/>
        </w:rPr>
        <w:t xml:space="preserve">Three new verdicts: when fairness discordance falls below the significance floor, when robustness does, and when the planted-axis control fails to fire. The pilot was built to answer four questions about the full run; it could not previously notice that one of its own tests was incapable of returning a result.</w:t>
      </w:r>
    </w:p>
    <w:p>
      <w:pPr>
        <w:spacing w:after="70" w:before="150"/>
      </w:pPr>
      <w:r>
        <w:rPr>
          <w:rFonts w:ascii="Calibri" w:cs="Calibri" w:eastAsia="Calibri" w:hAnsi="Calibri"/>
          <w:b/>
          <w:bCs/>
          <w:color w:val="5F6368"/>
          <w:sz w:val="20"/>
          <w:szCs w:val="20"/>
        </w:rPr>
        <w:t xml:space="preserve">5.  A flip rate is two different numbers, and only one of them sizes a study</w:t>
      </w:r>
    </w:p>
    <w:p>
      <w:pPr>
        <w:spacing w:after="125" w:line="274"/>
      </w:pPr>
      <w:r>
        <w:rPr>
          <w:rFonts w:ascii="Calibri" w:cs="Calibri" w:eastAsia="Calibri" w:hAnsi="Calibri"/>
          <w:color w:val="1A1A1A"/>
          <w:sz w:val="21"/>
          <w:szCs w:val="21"/>
        </w:rPr>
        <w:t xml:space="preserve">Caught while checking that robustness was sound. Per comparison, 4.0% of rewordings flip a decision; per application, 16.2% flip under at least one of their six rewordings. Sample size is ordered in applications, so the second number is the one the formula takes — and the six rewordings of one application are not six independent observations anyway, which makes the application the honest unit as well as the practical one. The per-comparison figure had gone in, which asked for 725 applications where 179 suffice. Corrected; robustness stays at the 290 already committed and the re-run drops from 14,825 prompts to about 11,780.</w:t>
      </w:r>
    </w:p>
    <w:p>
      <w:pPr>
        <w:spacing w:after="70" w:before="150"/>
      </w:pPr>
      <w:r>
        <w:rPr>
          <w:rFonts w:ascii="Calibri" w:cs="Calibri" w:eastAsia="Calibri" w:hAnsi="Calibri"/>
          <w:b/>
          <w:bCs/>
          <w:color w:val="5F6368"/>
          <w:sz w:val="20"/>
          <w:szCs w:val="20"/>
        </w:rPr>
        <w:t xml:space="preserve">6.  A committed sample may grow on evidence, never shrink on it</w:t>
      </w:r>
    </w:p>
    <w:p>
      <w:pPr>
        <w:spacing w:after="125" w:line="274"/>
      </w:pPr>
      <w:r>
        <w:rPr>
          <w:rFonts w:ascii="Calibri" w:cs="Calibri" w:eastAsia="Calibri" w:hAnsi="Calibri"/>
          <w:color w:val="1A1A1A"/>
          <w:sz w:val="21"/>
          <w:szCs w:val="21"/>
        </w:rPr>
        <w:t xml:space="preserve">The corrected arithmetic put the robustness requirement at 179 against 290 already run. Taking the smaller number would have discarded evidence already paid for, and — more seriously — would have meant choosing a sample size after seeing the results, which is the mechanism behind a good deal of irreproducible work. Every dimension now carries the largest size ever pre-registered as a hard floor, enforced in config rather than remembered.</w:t>
      </w:r>
    </w:p>
    <w:p>
      <w:pPr>
        <w:pStyle w:val="Heading2"/>
        <w:spacing w:after="105" w:before="220"/>
      </w:pPr>
      <w:r>
        <w:rPr>
          <w:rFonts w:ascii="Calibri" w:cs="Calibri" w:eastAsia="Calibri" w:hAnsi="Calibri"/>
          <w:b/>
          <w:bCs/>
          <w:color w:val="8A5A00"/>
          <w:sz w:val="23"/>
          <w:szCs w:val="23"/>
        </w:rPr>
        <w:t xml:space="preserve">What cost the week</w:t>
      </w:r>
    </w:p>
    <w:p>
      <w:pPr>
        <w:spacing w:after="125" w:line="274"/>
      </w:pPr>
      <w:r>
        <w:rPr>
          <w:rFonts w:ascii="Calibri" w:cs="Calibri" w:eastAsia="Calibri" w:hAnsi="Calibri"/>
          <w:color w:val="1A1A1A"/>
          <w:sz w:val="21"/>
          <w:szCs w:val="21"/>
        </w:rPr>
        <w:t xml:space="preserve">The college container was recycled twice more, taking the working directory and the 15 GB model cache with it each time; only a read-only volume persists. A second cost was self-inflicted — a stub response log on the development machine was very nearly pushed over the real 3,530-record log, which git would have accepted silently because the two files have the same path. Both are now understood rather than merely survived: git is the persistence layer, and stub runs will be routed to a separate output directory so a dry run can never occupy the path evidence lives at.</w:t>
      </w:r>
    </w:p>
    <w:p>
      <w:pPr>
        <w:spacing w:after="125" w:line="274"/>
      </w:pPr>
      <w:r>
        <w:rPr>
          <w:rFonts w:ascii="Calibri" w:cs="Calibri" w:eastAsia="Calibri" w:hAnsi="Calibri"/>
          <w:b/>
          <w:bCs/>
          <w:color w:val="1A1A1A"/>
          <w:sz w:val="21"/>
          <w:szCs w:val="21"/>
        </w:rPr>
        <w:t xml:space="preserve">Schedule impact: none. </w:t>
      </w:r>
      <w:r>
        <w:rPr>
          <w:rFonts w:ascii="Calibri" w:cs="Calibri" w:eastAsia="Calibri" w:hAnsi="Calibri"/>
          <w:color w:val="1A1A1A"/>
          <w:sz w:val="21"/>
          <w:szCs w:val="21"/>
        </w:rPr>
        <w:t xml:space="preserve">The corrected probe set is 11,780 prompts, which is roughly four minutes of GPU time. A sizing error that would have been fatal to the results chapter cost an afternoon, because the run is cheap and the pipeline is reproducible from a seed.</w:t>
      </w:r>
    </w:p>
    <w:p>
      <w:r>
        <w:br w:type="page"/>
      </w:r>
    </w:p>
    <w:p>
      <w:pPr>
        <w:pStyle w:val="Heading1"/>
        <w:spacing w:after="145" w:before="290"/>
      </w:pPr>
      <w:r>
        <w:rPr>
          <w:rFonts w:ascii="Calibri" w:cs="Calibri" w:eastAsia="Calibri" w:hAnsi="Calibri"/>
          <w:b/>
          <w:bCs/>
          <w:color w:val="1A1A1A"/>
          <w:sz w:val="28"/>
          <w:szCs w:val="28"/>
        </w:rPr>
        <w:t xml:space="preserve">First finding — 17 August</w:t>
      </w:r>
    </w:p>
    <w:p>
      <w:pPr>
        <w:spacing w:after="125" w:line="274"/>
      </w:pPr>
      <w:r>
        <w:rPr>
          <w:rFonts w:ascii="Calibri" w:cs="Calibri" w:eastAsia="Calibri" w:hAnsi="Calibri"/>
          <w:b/>
          <w:bCs/>
          <w:color w:val="1A1A1A"/>
          <w:sz w:val="21"/>
          <w:szCs w:val="21"/>
        </w:rPr>
        <w:t xml:space="preserve">The corrected probe set ran on 17 August: 14,825 prompts, 1,571 served from cache, 178 seconds. </w:t>
      </w:r>
      <w:r>
        <w:rPr>
          <w:rFonts w:ascii="Calibri" w:cs="Calibri" w:eastAsia="Calibri" w:hAnsi="Calibri"/>
          <w:color w:val="1A1A1A"/>
          <w:sz w:val="21"/>
          <w:szCs w:val="21"/>
        </w:rPr>
        <w:t xml:space="preserve">It produced the first result the project can defend, and it is not the result the design was expecting.</w:t>
      </w:r>
    </w:p>
    <w:p>
      <w:pPr>
        <w:pStyle w:val="Heading2"/>
        <w:spacing w:after="105" w:before="220"/>
      </w:pPr>
      <w:r>
        <w:rPr>
          <w:rFonts w:ascii="Calibri" w:cs="Calibri" w:eastAsia="Calibri" w:hAnsi="Calibri"/>
          <w:b/>
          <w:bCs/>
          <w:color w:val="1E6B34"/>
          <w:sz w:val="23"/>
          <w:szCs w:val="23"/>
        </w:rPr>
        <w:t xml:space="preserve">The audited model favours female applicants</w:t>
      </w:r>
    </w:p>
    <w:p>
      <w:pPr>
        <w:spacing w:after="125" w:line="274"/>
      </w:pPr>
      <w:r>
        <w:rPr>
          <w:rFonts w:ascii="Calibri" w:cs="Calibri" w:eastAsia="Calibri" w:hAnsi="Calibri"/>
          <w:color w:val="5F6368"/>
          <w:sz w:val="20"/>
          <w:szCs w:val="20"/>
        </w:rPr>
        <w:t xml:space="preserve">Each application is rendered twice, differing in the title alone. Where the model answered differently, it approved the female rendering almost every time.</w:t>
      </w:r>
    </w:p>
    <w:tbl>
      <w:tblPr>
        <w:tblW w:type="dxa" w:w="9020"/>
        <w:tblBorders>
          <w:top w:val="single" w:color="D3D3D3" w:sz="4"/>
          <w:left w:val="none"/>
          <w:bottom w:val="single" w:color="D3D3D3" w:sz="4"/>
          <w:right w:val="none"/>
          <w:insideH w:val="single" w:color="D3D3D3" w:sz="2"/>
          <w:insideV w:val="none"/>
        </w:tblBorders>
      </w:tblPr>
      <w:tblGrid>
        <w:gridCol w:w="2000"/>
        <w:gridCol w:w="1500"/>
        <w:gridCol w:w="1500"/>
        <w:gridCol w:w="1500"/>
        <w:gridCol w:w="2520"/>
      </w:tblGrid>
      <w:tr>
        <w:trPr>
          <w:tblHeader/>
        </w:trPr>
        <w:tc>
          <w:tcPr>
            <w:tcW w:type="dxa" w:w="200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Stratum</w:t>
            </w:r>
          </w:p>
        </w:tc>
        <w:tc>
          <w:tcPr>
            <w:tcW w:type="dxa" w:w="150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Pairs</w:t>
            </w:r>
          </w:p>
        </w:tc>
        <w:tc>
          <w:tcPr>
            <w:tcW w:type="dxa" w:w="150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Female only</w:t>
            </w:r>
          </w:p>
        </w:tc>
        <w:tc>
          <w:tcPr>
            <w:tcW w:type="dxa" w:w="150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Male only</w:t>
            </w:r>
          </w:p>
        </w:tc>
        <w:tc>
          <w:tcPr>
            <w:tcW w:type="dxa" w:w="252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Exact sign test</w:t>
            </w:r>
          </w:p>
        </w:tc>
      </w:tr>
      <w:tr>
        <w:tc>
          <w:tcPr>
            <w:tcW w:type="dxa" w:w="20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Weak</w:t>
            </w:r>
          </w:p>
        </w:tc>
        <w:tc>
          <w:tcPr>
            <w:tcW w:type="dxa" w:w="15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948</w:t>
            </w:r>
          </w:p>
        </w:tc>
        <w:tc>
          <w:tcPr>
            <w:tcW w:type="dxa" w:w="15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15</w:t>
            </w:r>
          </w:p>
        </w:tc>
        <w:tc>
          <w:tcPr>
            <w:tcW w:type="dxa" w:w="15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0</w:t>
            </w:r>
          </w:p>
        </w:tc>
        <w:tc>
          <w:tcPr>
            <w:tcW w:type="dxa" w:w="252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p = 6.1 × 10⁻⁵</w:t>
            </w:r>
          </w:p>
        </w:tc>
      </w:tr>
      <w:tr>
        <w:tc>
          <w:tcPr>
            <w:tcW w:type="dxa" w:w="20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Marginal (primary)</w:t>
            </w:r>
          </w:p>
        </w:tc>
        <w:tc>
          <w:tcPr>
            <w:tcW w:type="dxa" w:w="15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2844</w:t>
            </w:r>
          </w:p>
        </w:tc>
        <w:tc>
          <w:tcPr>
            <w:tcW w:type="dxa" w:w="15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59</w:t>
            </w:r>
          </w:p>
        </w:tc>
        <w:tc>
          <w:tcPr>
            <w:tcW w:type="dxa" w:w="15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7</w:t>
            </w:r>
          </w:p>
        </w:tc>
        <w:tc>
          <w:tcPr>
            <w:tcW w:type="dxa" w:w="252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p = 2.4 × 10⁻¹¹</w:t>
            </w:r>
          </w:p>
        </w:tc>
      </w:tr>
      <w:tr>
        <w:tc>
          <w:tcPr>
            <w:tcW w:type="dxa" w:w="20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Strong</w:t>
            </w:r>
          </w:p>
        </w:tc>
        <w:tc>
          <w:tcPr>
            <w:tcW w:type="dxa" w:w="15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948</w:t>
            </w:r>
          </w:p>
        </w:tc>
        <w:tc>
          <w:tcPr>
            <w:tcW w:type="dxa" w:w="15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22</w:t>
            </w:r>
          </w:p>
        </w:tc>
        <w:tc>
          <w:tcPr>
            <w:tcW w:type="dxa" w:w="15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0</w:t>
            </w:r>
          </w:p>
        </w:tc>
        <w:tc>
          <w:tcPr>
            <w:tcW w:type="dxa" w:w="252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p = 4.8 × 10⁻⁷</w:t>
            </w:r>
          </w:p>
        </w:tc>
      </w:tr>
      <w:tr>
        <w:tc>
          <w:tcPr>
            <w:tcW w:type="dxa" w:w="2000"/>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All strata</w:t>
            </w:r>
          </w:p>
        </w:tc>
        <w:tc>
          <w:tcPr>
            <w:tcW w:type="dxa" w:w="1500"/>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4740</w:t>
            </w:r>
          </w:p>
        </w:tc>
        <w:tc>
          <w:tcPr>
            <w:tcW w:type="dxa" w:w="1500"/>
            <w:shd w:fill="EDF5EF" w:color="auto" w:val="clear"/>
            <w:tcMar>
              <w:top w:type="dxa" w:w="80"/>
              <w:left w:type="dxa" w:w="115"/>
              <w:bottom w:type="dxa" w:w="80"/>
              <w:right w:type="dxa" w:w="115"/>
            </w:tcMar>
          </w:tcPr>
          <w:p>
            <w:pPr>
              <w:spacing w:after="0" w:line="252"/>
            </w:pPr>
            <w:r>
              <w:rPr>
                <w:rFonts w:ascii="Calibri" w:cs="Calibri" w:eastAsia="Calibri" w:hAnsi="Calibri"/>
                <w:b/>
                <w:bCs/>
                <w:color w:val="1E6B34"/>
                <w:sz w:val="18"/>
                <w:szCs w:val="18"/>
              </w:rPr>
              <w:t xml:space="preserve">96</w:t>
            </w:r>
          </w:p>
        </w:tc>
        <w:tc>
          <w:tcPr>
            <w:tcW w:type="dxa" w:w="1500"/>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7</w:t>
            </w:r>
          </w:p>
        </w:tc>
        <w:tc>
          <w:tcPr>
            <w:tcW w:type="dxa" w:w="2520"/>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p = 4.2 × 10⁻²¹</w:t>
            </w:r>
          </w:p>
        </w:tc>
      </w:tr>
    </w:tbl>
    <w:tbl>
      <w:tblPr>
        <w:tblW w:type="dxa" w:w="9020"/>
        <w:tblBorders>
          <w:top w:val="single" w:color="D3D3D3" w:sz="4"/>
          <w:left w:val="none"/>
          <w:bottom w:val="single" w:color="D3D3D3" w:sz="4"/>
          <w:right w:val="none"/>
          <w:insideH w:val="single" w:color="D3D3D3" w:sz="2"/>
          <w:insideV w:val="none"/>
        </w:tblBorders>
      </w:tblPr>
      <w:tblGrid>
        <w:gridCol w:w="3400"/>
        <w:gridCol w:w="2400"/>
        <w:gridCol w:w="3220"/>
      </w:tblGrid>
      <w:tr>
        <w:trPr>
          <w:tblHeader/>
        </w:trPr>
        <w:tc>
          <w:tcPr>
            <w:tcW w:type="dxa" w:w="340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Quantity</w:t>
            </w:r>
          </w:p>
        </w:tc>
        <w:tc>
          <w:tcPr>
            <w:tcW w:type="dxa" w:w="240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Estimate</w:t>
            </w:r>
          </w:p>
        </w:tc>
        <w:tc>
          <w:tcPr>
            <w:tcW w:type="dxa" w:w="322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95% interval</w:t>
            </w:r>
          </w:p>
        </w:tc>
      </w:tr>
      <w:tr>
        <w:tc>
          <w:tcPr>
            <w:tcW w:type="dxa" w:w="34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Paired difference (primary stratum)</w:t>
            </w:r>
          </w:p>
        </w:tc>
        <w:tc>
          <w:tcPr>
            <w:tcW w:type="dxa" w:w="24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+1.83 pp female-favoured</w:t>
            </w:r>
          </w:p>
        </w:tc>
        <w:tc>
          <w:tcPr>
            <w:tcW w:type="dxa" w:w="322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+1.27 to +2.38 pp</w:t>
            </w:r>
          </w:p>
        </w:tc>
      </w:tr>
      <w:tr>
        <w:tc>
          <w:tcPr>
            <w:tcW w:type="dxa" w:w="34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Discordance rate</w:t>
            </w:r>
          </w:p>
        </w:tc>
        <w:tc>
          <w:tcPr>
            <w:tcW w:type="dxa" w:w="24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2.32% of pairs</w:t>
            </w:r>
          </w:p>
        </w:tc>
        <w:tc>
          <w:tcPr>
            <w:tcW w:type="dxa" w:w="322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w:t>
            </w:r>
          </w:p>
        </w:tc>
      </w:tr>
      <w:tr>
        <w:tc>
          <w:tcPr>
            <w:tcW w:type="dxa" w:w="34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Share of discordant pairs favouring female</w:t>
            </w:r>
          </w:p>
        </w:tc>
        <w:tc>
          <w:tcPr>
            <w:tcW w:type="dxa" w:w="24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89.4%</w:t>
            </w:r>
          </w:p>
        </w:tc>
        <w:tc>
          <w:tcPr>
            <w:tcW w:type="dxa" w:w="322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79.4% to 95.6%</w:t>
            </w:r>
          </w:p>
        </w:tc>
      </w:tr>
      <w:tr>
        <w:tc>
          <w:tcPr>
            <w:tcW w:type="dxa" w:w="34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Pre-registered ψ = 0.75; observed</w:t>
            </w:r>
          </w:p>
        </w:tc>
        <w:tc>
          <w:tcPr>
            <w:tcW w:type="dxa" w:w="24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0.894</w:t>
            </w:r>
          </w:p>
        </w:tc>
        <w:tc>
          <w:tcPr>
            <w:tcW w:type="dxa" w:w="3220"/>
            <w:tcMar>
              <w:top w:type="dxa" w:w="80"/>
              <w:left w:type="dxa" w:w="115"/>
              <w:bottom w:type="dxa" w:w="80"/>
              <w:right w:type="dxa" w:w="115"/>
            </w:tcMar>
          </w:tcPr>
          <w:p>
            <w:pPr>
              <w:spacing w:after="0" w:line="252"/>
            </w:pPr>
            <w:r>
              <w:rPr>
                <w:rFonts w:ascii="Calibri" w:cs="Calibri" w:eastAsia="Calibri" w:hAnsi="Calibri"/>
                <w:color w:val="5F6368"/>
                <w:sz w:val="18"/>
                <w:szCs w:val="18"/>
              </w:rPr>
              <w:t xml:space="preserve">the design was conservative</w:t>
            </w:r>
          </w:p>
        </w:tc>
      </w:tr>
    </w:tbl>
    <w:p>
      <w:pPr>
        <w:spacing w:after="125" w:line="274"/>
      </w:pPr>
      <w:r>
        <w:rPr>
          <w:rFonts w:ascii="Calibri" w:cs="Calibri" w:eastAsia="Calibri" w:hAnsi="Calibri"/>
          <w:b/>
          <w:bCs/>
          <w:color w:val="1A1A1A"/>
          <w:sz w:val="21"/>
          <w:szCs w:val="21"/>
        </w:rPr>
        <w:t xml:space="preserve">The effect holds in all three strata, and in weak and strong it is unanimous — not one pair went the other way. </w:t>
      </w:r>
      <w:r>
        <w:rPr>
          <w:rFonts w:ascii="Calibri" w:cs="Calibri" w:eastAsia="Calibri" w:hAnsi="Calibri"/>
          <w:color w:val="1A1A1A"/>
          <w:sz w:val="21"/>
          <w:szCs w:val="21"/>
        </w:rPr>
        <w:t xml:space="preserve">That rules out an artefact of the marginal band and makes this a property of how the model reads the title rather than of where the decision boundary sits.</w:t>
      </w:r>
    </w:p>
    <w:p>
      <w:pPr>
        <w:pStyle w:val="Heading2"/>
        <w:spacing w:after="105" w:before="220"/>
      </w:pPr>
      <w:r>
        <w:rPr>
          <w:rFonts w:ascii="Calibri" w:cs="Calibri" w:eastAsia="Calibri" w:hAnsi="Calibri"/>
          <w:b/>
          <w:bCs/>
          <w:color w:val="8A5A00"/>
          <w:sz w:val="23"/>
          <w:szCs w:val="23"/>
        </w:rPr>
        <w:t xml:space="preserve">Why this was nearly missed — twice</w:t>
      </w:r>
    </w:p>
    <w:p>
      <w:pPr>
        <w:spacing w:after="70" w:before="150"/>
      </w:pPr>
      <w:r>
        <w:rPr>
          <w:rFonts w:ascii="Calibri" w:cs="Calibri" w:eastAsia="Calibri" w:hAnsi="Calibri"/>
          <w:b/>
          <w:bCs/>
          <w:color w:val="5F6368"/>
          <w:sz w:val="20"/>
          <w:szCs w:val="20"/>
        </w:rPr>
        <w:t xml:space="preserve">The original design could not have seen it</w:t>
      </w:r>
    </w:p>
    <w:p>
      <w:pPr>
        <w:spacing w:after="125" w:line="274"/>
      </w:pPr>
      <w:r>
        <w:rPr>
          <w:rFonts w:ascii="Calibri" w:cs="Calibri" w:eastAsia="Calibri" w:hAnsi="Calibri"/>
          <w:color w:val="1A1A1A"/>
          <w:sz w:val="21"/>
          <w:szCs w:val="21"/>
        </w:rPr>
        <w:t xml:space="preserve">At the measured base rate an unpaired two-proportion test on these same 4,740 pairs resolves 2.89 pp. The effect is 1.88 pp. The aggregate approval-gap comparison the study was originally sized for would have returned "no significant difference" on data containing an effect at p = 10⁻²¹. The paired analysis added on 16 August is the entire reason there is a finding.</w:t>
      </w:r>
    </w:p>
    <w:p>
      <w:pPr>
        <w:spacing w:after="70" w:before="150"/>
      </w:pPr>
      <w:r>
        <w:rPr>
          <w:rFonts w:ascii="Calibri" w:cs="Calibri" w:eastAsia="Calibri" w:hAnsi="Calibri"/>
          <w:b/>
          <w:bCs/>
          <w:color w:val="5F6368"/>
          <w:sz w:val="20"/>
          <w:szCs w:val="20"/>
        </w:rPr>
        <w:t xml:space="preserve">It runs opposite to the direction the literature tests</w:t>
      </w:r>
    </w:p>
    <w:p>
      <w:pPr>
        <w:spacing w:after="125" w:line="274"/>
      </w:pPr>
      <w:r>
        <w:rPr>
          <w:rFonts w:ascii="Calibri" w:cs="Calibri" w:eastAsia="Calibri" w:hAnsi="Calibri"/>
          <w:color w:val="1A1A1A"/>
          <w:sz w:val="21"/>
          <w:szCs w:val="21"/>
        </w:rPr>
        <w:t xml:space="preserve">Credit-bias work is almost always framed as whether women are disadvantaged, and is frequently tested one-sided. Tested that way, this dataset returns nothing. The finding exists because the endpoint was specified two-sided — which is a concrete methodological recommendation for conformity assessment under the AI Act, and one this project can now evidence rather than assert.</w:t>
      </w:r>
    </w:p>
    <w:p>
      <w:pPr>
        <w:pStyle w:val="Heading2"/>
        <w:spacing w:after="105" w:before="220"/>
      </w:pPr>
      <w:r>
        <w:rPr>
          <w:rFonts w:ascii="Calibri" w:cs="Calibri" w:eastAsia="Calibri" w:hAnsi="Calibri"/>
          <w:b/>
          <w:bCs/>
          <w:color w:val="8A5A00"/>
          <w:sz w:val="23"/>
          <w:szCs w:val="23"/>
        </w:rPr>
        <w:t xml:space="preserve">The planted-axis control did not fire — and that is coherent</w:t>
      </w:r>
    </w:p>
    <w:p>
      <w:pPr>
        <w:spacing w:after="125" w:line="274"/>
      </w:pPr>
      <w:r>
        <w:rPr>
          <w:rFonts w:ascii="Calibri" w:cs="Calibri" w:eastAsia="Calibri" w:hAnsi="Calibri"/>
          <w:color w:val="1A1A1A"/>
          <w:sz w:val="21"/>
          <w:szCs w:val="21"/>
        </w:rPr>
        <w:t xml:space="preserve">The control instructs the model, in a policy note, to hold female-titled applications to a stricter threshold. Across 40 pairs the model ignored it entirely: zero discordant. Two things follow.</w:t>
      </w:r>
    </w:p>
    <w:p>
      <w:pPr>
        <w:pStyle w:val="ListParagraph"/>
        <w:numPr>
          <w:ilvl w:val="0"/>
          <w:numId w:val="2"/>
        </w:numPr>
        <w:spacing w:after="70" w:line="272"/>
      </w:pPr>
      <w:r>
        <w:rPr>
          <w:rFonts w:ascii="Calibri" w:cs="Calibri" w:eastAsia="Calibri" w:hAnsi="Calibri"/>
          <w:color w:val="1A1A1A"/>
          <w:sz w:val="20"/>
          <w:szCs w:val="20"/>
        </w:rPr>
        <w:t xml:space="preserve">The control was under-sized by construction, and that was an error in this week’s work. A pair can only go discordant if an arm was approvable at all, so at 18.6% approval only about seven of the forty pairs had any room to move. Zero of forty rules out a strong planted effect but is compatible with a moderate one; roughly 75 pairs in the strong stratum are needed instead.</w:t>
      </w:r>
    </w:p>
    <w:p>
      <w:pPr>
        <w:pStyle w:val="ListParagraph"/>
        <w:numPr>
          <w:ilvl w:val="0"/>
          <w:numId w:val="2"/>
        </w:numPr>
        <w:spacing w:after="70" w:line="272"/>
      </w:pPr>
      <w:r>
        <w:rPr>
          <w:rFonts w:ascii="Calibri" w:cs="Calibri" w:eastAsia="Calibri" w:hAnsi="Calibri"/>
          <w:color w:val="1A1A1A"/>
          <w:sz w:val="20"/>
          <w:szCs w:val="20"/>
        </w:rPr>
        <w:t xml:space="preserve">Its original purpose has lapsed. The control existed so that a NULL fairness result would be interpretable. There is no null — the main measurement demonstrates axis sensitivity far more strongly than any control could. Its question is now the more interesting one: can the tilt be pushed the other way?</w:t>
      </w:r>
    </w:p>
    <w:p>
      <w:pPr>
        <w:spacing w:after="125" w:line="274"/>
      </w:pPr>
      <w:r>
        <w:rPr>
          <w:rFonts w:ascii="Calibri" w:cs="Calibri" w:eastAsia="Calibri" w:hAnsi="Calibri"/>
          <w:color w:val="5F6368"/>
          <w:sz w:val="20"/>
          <w:szCs w:val="20"/>
        </w:rPr>
        <w:t xml:space="preserve">A model leaning toward female applicants while refusing an instruction to penalise them is one coherent story, not two contradictory ones. Stated as a hypothesis for Week 4, not as a finding.</w:t>
      </w:r>
    </w:p>
    <w:p>
      <w:pPr>
        <w:pStyle w:val="Heading2"/>
        <w:spacing w:after="105" w:before="220"/>
      </w:pPr>
      <w:r>
        <w:rPr>
          <w:rFonts w:ascii="Calibri" w:cs="Calibri" w:eastAsia="Calibri" w:hAnsi="Calibri"/>
          <w:b/>
          <w:bCs/>
          <w:color w:val="8A5A00"/>
          <w:sz w:val="23"/>
          <w:szCs w:val="23"/>
        </w:rPr>
        <w:t xml:space="preserve">What can and cannot be claimed</w:t>
      </w:r>
    </w:p>
    <w:tbl>
      <w:tblPr>
        <w:tblW w:type="dxa" w:w="9020"/>
        <w:tblBorders>
          <w:top w:val="single" w:color="D3D3D3" w:sz="4"/>
          <w:left w:val="none"/>
          <w:bottom w:val="single" w:color="D3D3D3" w:sz="4"/>
          <w:right w:val="none"/>
          <w:insideH w:val="single" w:color="D3D3D3" w:sz="2"/>
          <w:insideV w:val="none"/>
        </w:tblBorders>
      </w:tblPr>
      <w:tblGrid>
        <w:gridCol w:w="4000"/>
        <w:gridCol w:w="5020"/>
      </w:tblGrid>
      <w:tr>
        <w:trPr>
          <w:tblHeader/>
        </w:trPr>
        <w:tc>
          <w:tcPr>
            <w:tcW w:type="dxa" w:w="400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Supported now</w:t>
            </w:r>
          </w:p>
        </w:tc>
        <w:tc>
          <w:tcPr>
            <w:tcW w:type="dxa" w:w="502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Not yet supported</w:t>
            </w:r>
          </w:p>
        </w:tc>
      </w:tr>
      <w:tr>
        <w:tc>
          <w:tcPr>
            <w:tcW w:type="dxa" w:w="40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Qwen2.5-7B-Instruct, on German Credit applications rendered by this template, approves female-titled applicants 1.88 pp more often than identical male ones</w:t>
            </w:r>
          </w:p>
        </w:tc>
        <w:tc>
          <w:tcPr>
            <w:tcW w:type="dxa" w:w="502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That language models in general exhibit this</w:t>
            </w:r>
          </w:p>
        </w:tc>
      </w:tr>
      <w:tr>
        <w:tc>
          <w:tcPr>
            <w:tcW w:type="dxa" w:w="40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The effect is present across all three credit strata</w:t>
            </w:r>
          </w:p>
        </w:tc>
        <w:tc>
          <w:tcPr>
            <w:tcW w:type="dxa" w:w="502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That it survives a different prompt serialization (Week 9 tests this directly)</w:t>
            </w:r>
          </w:p>
        </w:tc>
      </w:tr>
      <w:tr>
        <w:tc>
          <w:tcPr>
            <w:tcW w:type="dxa" w:w="40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The effect is small in magnitude and highly consistent in direction</w:t>
            </w:r>
          </w:p>
        </w:tc>
        <w:tc>
          <w:tcPr>
            <w:tcW w:type="dxa" w:w="502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That it reflects a real-world lending harm — the direction runs opposite to the usual concern</w:t>
            </w:r>
          </w:p>
        </w:tc>
      </w:tr>
      <w:tr>
        <w:tc>
          <w:tcPr>
            <w:tcW w:type="dxa" w:w="40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A paired design was necessary to detect it</w:t>
            </w:r>
          </w:p>
        </w:tc>
        <w:tc>
          <w:tcPr>
            <w:tcW w:type="dxa" w:w="502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A magnitude comparison against a second model — one of two audited, scored</w:t>
            </w:r>
          </w:p>
        </w:tc>
      </w:tr>
    </w:tbl>
    <w:p>
      <w:pPr>
        <w:pStyle w:val="Heading1"/>
        <w:spacing w:after="145" w:before="290"/>
      </w:pPr>
      <w:r>
        <w:rPr>
          <w:rFonts w:ascii="Calibri" w:cs="Calibri" w:eastAsia="Calibri" w:hAnsi="Calibri"/>
          <w:b/>
          <w:bCs/>
          <w:color w:val="1A1A1A"/>
          <w:sz w:val="28"/>
          <w:szCs w:val="28"/>
        </w:rPr>
        <w:t xml:space="preserve">Week 3 — 17 to 23 August  ·  next standup</w:t>
      </w:r>
    </w:p>
    <w:p>
      <w:pPr>
        <w:pStyle w:val="Heading2"/>
        <w:spacing w:after="105" w:before="220"/>
      </w:pPr>
      <w:r>
        <w:rPr>
          <w:rFonts w:ascii="Calibri" w:cs="Calibri" w:eastAsia="Calibri" w:hAnsi="Calibri"/>
          <w:b/>
          <w:bCs/>
          <w:color w:val="8A5A00"/>
          <w:sz w:val="23"/>
          <w:szCs w:val="23"/>
        </w:rPr>
        <w:t xml:space="preserve">Goal</w:t>
      </w:r>
    </w:p>
    <w:p>
      <w:pPr>
        <w:spacing w:after="125" w:line="274"/>
      </w:pPr>
      <w:r>
        <w:rPr>
          <w:rFonts w:ascii="Calibri" w:cs="Calibri" w:eastAsia="Calibri" w:hAnsi="Calibri"/>
          <w:color w:val="1A1A1A"/>
          <w:sz w:val="21"/>
          <w:szCs w:val="21"/>
        </w:rPr>
        <w:t xml:space="preserve">The measurement is taken and the finding is significant. Week 3 is about hardening it: a second model to show the effect is not an artefact of one system, a properly sized planted control, and the deterministic jury so the number is produced by audited code rather than an analysis cell.</w:t>
      </w:r>
    </w:p>
    <w:p>
      <w:pPr>
        <w:spacing w:after="70" w:before="150"/>
      </w:pPr>
      <w:r>
        <w:rPr>
          <w:rFonts w:ascii="Calibri" w:cs="Calibri" w:eastAsia="Calibri" w:hAnsi="Calibri"/>
          <w:b/>
          <w:bCs/>
          <w:color w:val="5F6368"/>
          <w:sz w:val="20"/>
          <w:szCs w:val="20"/>
        </w:rPr>
        <w:t xml:space="preserve">Actions — status at 18 August</w:t>
      </w:r>
    </w:p>
    <w:tbl>
      <w:tblPr>
        <w:tblW w:type="dxa" w:w="9020"/>
        <w:tblBorders>
          <w:top w:val="single" w:color="D3D3D3" w:sz="4"/>
          <w:left w:val="none"/>
          <w:bottom w:val="single" w:color="D3D3D3" w:sz="4"/>
          <w:right w:val="none"/>
          <w:insideH w:val="single" w:color="D3D3D3" w:sz="2"/>
          <w:insideV w:val="none"/>
        </w:tblBorders>
      </w:tblPr>
      <w:tblGrid>
        <w:gridCol w:w="620"/>
        <w:gridCol w:w="3700"/>
        <w:gridCol w:w="1500"/>
        <w:gridCol w:w="3200"/>
      </w:tblGrid>
      <w:tr>
        <w:trPr>
          <w:tblHeader/>
        </w:trPr>
        <w:tc>
          <w:tcPr>
            <w:tcW w:type="dxa" w:w="62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w:t>
            </w:r>
          </w:p>
        </w:tc>
        <w:tc>
          <w:tcPr>
            <w:tcW w:type="dxa" w:w="370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Action</w:t>
            </w:r>
          </w:p>
        </w:tc>
        <w:tc>
          <w:tcPr>
            <w:tcW w:type="dxa" w:w="150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Status</w:t>
            </w:r>
          </w:p>
        </w:tc>
        <w:tc>
          <w:tcPr>
            <w:tcW w:type="dxa" w:w="320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Note</w:t>
            </w:r>
          </w:p>
        </w:tc>
      </w:tr>
      <w:tr>
        <w:tc>
          <w:tcPr>
            <w:tcW w:type="dxa" w:w="62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1</w:t>
            </w:r>
          </w:p>
        </w:tc>
        <w:tc>
          <w:tcPr>
            <w:tcW w:type="dxa" w:w="37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Bank the finding — full corrected run committed and pushed</w:t>
            </w:r>
          </w:p>
        </w:tc>
        <w:tc>
          <w:tcPr>
            <w:tcW w:type="dxa" w:w="1500"/>
            <w:shd w:fill="EDF5EF" w:color="auto" w:val="clear"/>
            <w:tcMar>
              <w:top w:type="dxa" w:w="80"/>
              <w:left w:type="dxa" w:w="115"/>
              <w:bottom w:type="dxa" w:w="80"/>
              <w:right w:type="dxa" w:w="115"/>
            </w:tcMar>
          </w:tcPr>
          <w:p>
            <w:pPr>
              <w:spacing w:after="0" w:line="252"/>
            </w:pPr>
            <w:r>
              <w:rPr>
                <w:rFonts w:ascii="Calibri" w:cs="Calibri" w:eastAsia="Calibri" w:hAnsi="Calibri"/>
                <w:b/>
                <w:bCs/>
                <w:color w:val="1E6B34"/>
                <w:sz w:val="18"/>
                <w:szCs w:val="18"/>
              </w:rPr>
              <w:t xml:space="preserve">DONE</w:t>
            </w:r>
          </w:p>
        </w:tc>
        <w:tc>
          <w:tcPr>
            <w:tcW w:type="dxa" w:w="32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commit f09f30d5: all 14,825 prompts, the data behind the 96-vs-7 result</w:t>
            </w:r>
          </w:p>
        </w:tc>
      </w:tr>
      <w:tr>
        <w:tc>
          <w:tcPr>
            <w:tcW w:type="dxa" w:w="62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2</w:t>
            </w:r>
          </w:p>
        </w:tc>
        <w:tc>
          <w:tcPr>
            <w:tcW w:type="dxa" w:w="37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Per-model reporting; guard against pooling two models</w:t>
            </w:r>
          </w:p>
        </w:tc>
        <w:tc>
          <w:tcPr>
            <w:tcW w:type="dxa" w:w="1500"/>
            <w:shd w:fill="EDF5EF" w:color="auto" w:val="clear"/>
            <w:tcMar>
              <w:top w:type="dxa" w:w="80"/>
              <w:left w:type="dxa" w:w="115"/>
              <w:bottom w:type="dxa" w:w="80"/>
              <w:right w:type="dxa" w:w="115"/>
            </w:tcMar>
          </w:tcPr>
          <w:p>
            <w:pPr>
              <w:spacing w:after="0" w:line="252"/>
            </w:pPr>
            <w:r>
              <w:rPr>
                <w:rFonts w:ascii="Calibri" w:cs="Calibri" w:eastAsia="Calibri" w:hAnsi="Calibri"/>
                <w:b/>
                <w:bCs/>
                <w:color w:val="1E6B34"/>
                <w:sz w:val="18"/>
                <w:szCs w:val="18"/>
              </w:rPr>
              <w:t xml:space="preserve">DONE</w:t>
            </w:r>
          </w:p>
        </w:tc>
        <w:tc>
          <w:tcPr>
            <w:tcW w:type="dxa" w:w="32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A shared log with two models silently produced numbers describing neither</w:t>
            </w:r>
          </w:p>
        </w:tc>
      </w:tr>
      <w:tr>
        <w:tc>
          <w:tcPr>
            <w:tcW w:type="dxa" w:w="62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3</w:t>
            </w:r>
          </w:p>
        </w:tc>
        <w:tc>
          <w:tcPr>
            <w:tcW w:type="dxa" w:w="37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Reproducible server rebuild + sweep runner</w:t>
            </w:r>
          </w:p>
        </w:tc>
        <w:tc>
          <w:tcPr>
            <w:tcW w:type="dxa" w:w="1500"/>
            <w:shd w:fill="EDF5EF" w:color="auto" w:val="clear"/>
            <w:tcMar>
              <w:top w:type="dxa" w:w="80"/>
              <w:left w:type="dxa" w:w="115"/>
              <w:bottom w:type="dxa" w:w="80"/>
              <w:right w:type="dxa" w:w="115"/>
            </w:tcMar>
          </w:tcPr>
          <w:p>
            <w:pPr>
              <w:spacing w:after="0" w:line="252"/>
            </w:pPr>
            <w:r>
              <w:rPr>
                <w:rFonts w:ascii="Calibri" w:cs="Calibri" w:eastAsia="Calibri" w:hAnsi="Calibri"/>
                <w:b/>
                <w:bCs/>
                <w:color w:val="1E6B34"/>
                <w:sz w:val="18"/>
                <w:szCs w:val="18"/>
              </w:rPr>
              <w:t xml:space="preserve">DONE</w:t>
            </w:r>
          </w:p>
        </w:tc>
        <w:tc>
          <w:tcPr>
            <w:tcW w:type="dxa" w:w="32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bootstrap_server.py and run_models.sh; audited models are now version-controlled data</w:t>
            </w:r>
          </w:p>
        </w:tc>
      </w:tr>
      <w:tr>
        <w:tc>
          <w:tcPr>
            <w:tcW w:type="dxa" w:w="62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4</w:t>
            </w:r>
          </w:p>
        </w:tc>
        <w:tc>
          <w:tcPr>
            <w:tcW w:type="dxa" w:w="37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Audit the second model end to end</w:t>
            </w:r>
          </w:p>
        </w:tc>
        <w:tc>
          <w:tcPr>
            <w:tcW w:type="dxa" w:w="1500"/>
            <w:shd w:fill="FBEEEE" w:color="auto" w:val="clear"/>
            <w:tcMar>
              <w:top w:type="dxa" w:w="80"/>
              <w:left w:type="dxa" w:w="115"/>
              <w:bottom w:type="dxa" w:w="80"/>
              <w:right w:type="dxa" w:w="115"/>
            </w:tcMar>
          </w:tcPr>
          <w:p>
            <w:pPr>
              <w:spacing w:after="0" w:line="252"/>
            </w:pPr>
            <w:r>
              <w:rPr>
                <w:rFonts w:ascii="Calibri" w:cs="Calibri" w:eastAsia="Calibri" w:hAnsi="Calibri"/>
                <w:b/>
                <w:bCs/>
                <w:color w:val="9B2C2C"/>
                <w:sz w:val="18"/>
                <w:szCs w:val="18"/>
              </w:rPr>
              <w:t xml:space="preserve">BLOCKED</w:t>
            </w:r>
          </w:p>
        </w:tc>
        <w:tc>
          <w:tcPr>
            <w:tcW w:type="dxa" w:w="32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Not a design problem — the container recycles roughly every 30 minutes</w:t>
            </w:r>
          </w:p>
        </w:tc>
      </w:tr>
      <w:tr>
        <w:tc>
          <w:tcPr>
            <w:tcW w:type="dxa" w:w="62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5</w:t>
            </w:r>
          </w:p>
        </w:tc>
        <w:tc>
          <w:tcPr>
            <w:tcW w:type="dxa" w:w="37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Deterministic jury</w:t>
            </w:r>
          </w:p>
        </w:tc>
        <w:tc>
          <w:tcPr>
            <w:tcW w:type="dxa" w:w="1500"/>
            <w:tcMar>
              <w:top w:type="dxa" w:w="80"/>
              <w:left w:type="dxa" w:w="115"/>
              <w:bottom w:type="dxa" w:w="80"/>
              <w:right w:type="dxa" w:w="115"/>
            </w:tcMar>
          </w:tcPr>
          <w:p>
            <w:pPr>
              <w:spacing w:after="0" w:line="252"/>
            </w:pPr>
            <w:r>
              <w:rPr>
                <w:rFonts w:ascii="Calibri" w:cs="Calibri" w:eastAsia="Calibri" w:hAnsi="Calibri"/>
                <w:b/>
                <w:bCs/>
                <w:color w:val="8A5A00"/>
                <w:sz w:val="18"/>
                <w:szCs w:val="18"/>
              </w:rPr>
              <w:t xml:space="preserve">To do</w:t>
            </w:r>
          </w:p>
        </w:tc>
        <w:tc>
          <w:tcPr>
            <w:tcW w:type="dxa" w:w="32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The finding must come from audited code, not an analysis cell</w:t>
            </w:r>
          </w:p>
        </w:tc>
      </w:tr>
      <w:tr>
        <w:tc>
          <w:tcPr>
            <w:tcW w:type="dxa" w:w="62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6</w:t>
            </w:r>
          </w:p>
        </w:tc>
        <w:tc>
          <w:tcPr>
            <w:tcW w:type="dxa" w:w="37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Five operationalized criteria; re-sign the checklist</w:t>
            </w:r>
          </w:p>
        </w:tc>
        <w:tc>
          <w:tcPr>
            <w:tcW w:type="dxa" w:w="1500"/>
            <w:tcMar>
              <w:top w:type="dxa" w:w="80"/>
              <w:left w:type="dxa" w:w="115"/>
              <w:bottom w:type="dxa" w:w="80"/>
              <w:right w:type="dxa" w:w="115"/>
            </w:tcMar>
          </w:tcPr>
          <w:p>
            <w:pPr>
              <w:spacing w:after="0" w:line="252"/>
            </w:pPr>
            <w:r>
              <w:rPr>
                <w:rFonts w:ascii="Calibri" w:cs="Calibri" w:eastAsia="Calibri" w:hAnsi="Calibri"/>
                <w:b/>
                <w:bCs/>
                <w:color w:val="9B2C2C"/>
                <w:sz w:val="18"/>
                <w:szCs w:val="18"/>
              </w:rPr>
              <w:t xml:space="preserve">To do</w:t>
            </w:r>
          </w:p>
        </w:tc>
        <w:tc>
          <w:tcPr>
            <w:tcW w:type="dxa" w:w="32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Carried three weeks. Blocks the judge and 152 answered transparency probes</w:t>
            </w:r>
          </w:p>
        </w:tc>
      </w:tr>
    </w:tbl>
    <w:p>
      <w:pPr>
        <w:pStyle w:val="Heading2"/>
        <w:spacing w:after="105" w:before="220"/>
      </w:pPr>
      <w:r>
        <w:rPr>
          <w:rFonts w:ascii="Calibri" w:cs="Calibri" w:eastAsia="Calibri" w:hAnsi="Calibri"/>
          <w:b/>
          <w:bCs/>
          <w:color w:val="8A5A00"/>
          <w:sz w:val="23"/>
          <w:szCs w:val="23"/>
        </w:rPr>
        <w:t xml:space="preserve">What the week has cost</w:t>
      </w:r>
    </w:p>
    <w:p>
      <w:pPr>
        <w:spacing w:after="125" w:line="274"/>
      </w:pPr>
      <w:r>
        <w:rPr>
          <w:rFonts w:ascii="Calibri" w:cs="Calibri" w:eastAsia="Calibri" w:hAnsi="Calibri"/>
          <w:color w:val="1A1A1A"/>
          <w:sz w:val="20"/>
          <w:szCs w:val="20"/>
        </w:rPr>
        <w:t xml:space="preserve">Five container recycles in a single day. The persistent volume is read-only to the notebook user, so each one discards the virtual environment, the 15 GB model cache and the working tree. A ninety-minute four-model sweep cannot complete inside a thirty-minute window, which is why the second model is blocked on infrastructure rather than on anything the audit does.</w:t>
      </w:r>
    </w:p>
    <w:p>
      <w:pPr>
        <w:spacing w:after="125" w:line="274"/>
      </w:pPr>
      <w:r>
        <w:rPr>
          <w:rFonts w:ascii="Calibri" w:cs="Calibri" w:eastAsia="Calibri" w:hAnsi="Calibri"/>
          <w:b/>
          <w:bCs/>
          <w:color w:val="1A1A1A"/>
          <w:sz w:val="21"/>
          <w:szCs w:val="21"/>
        </w:rPr>
        <w:t xml:space="preserve">What was built in response, rather than merely endured: </w:t>
      </w:r>
      <w:r>
        <w:rPr>
          <w:rFonts w:ascii="Calibri" w:cs="Calibri" w:eastAsia="Calibri" w:hAnsi="Calibri"/>
          <w:color w:val="1A1A1A"/>
          <w:sz w:val="21"/>
          <w:szCs w:val="21"/>
        </w:rPr>
        <w:t xml:space="preserve">a bootstrap script that rebuilds the environment in one command and reuses any writable persistent directory it can find; a sweep runner holding an atomic lock with staleness detection, so a relaunch after a killed run takes over instead of putting two vLLM processes on one card; a wait for the GPU to be released before starting, because a sweep that begins while the previous one is letting go fails its first model for no reason; and a push after every model, because a recycle should cost the model in flight and nothing more.</w:t>
      </w:r>
    </w:p>
    <w:p>
      <w:pPr>
        <w:spacing w:after="125" w:line="274"/>
      </w:pPr>
      <w:r>
        <w:rPr>
          <w:rFonts w:ascii="Calibri" w:cs="Calibri" w:eastAsia="Calibri" w:hAnsi="Calibri"/>
          <w:color w:val="1A1A1A"/>
          <w:sz w:val="20"/>
          <w:szCs w:val="20"/>
        </w:rPr>
        <w:t xml:space="preserve">Two further code faults surfaced while doing it, both mine and both the same shape as the Week 2 error — a comparison between two numbers in different units, and a control allowed to veto a result it was never designed to judge. The flip-rate verdict compared a per-comparison rate against a per-base-case assumption and would have fired on every healthy run from now on. The planted-axis control still declared a significant finding uninterpretable, when the significant finding is itself stronger evidence of axis sensitivity than the control could ever supply. Both now have tests.</w:t>
      </w:r>
    </w:p>
    <w:p>
      <w:pPr>
        <w:spacing w:after="125" w:line="274"/>
      </w:pPr>
      <w:r>
        <w:rPr>
          <w:rFonts w:ascii="Calibri" w:cs="Calibri" w:eastAsia="Calibri" w:hAnsi="Calibri"/>
          <w:b/>
          <w:bCs/>
          <w:color w:val="1A1A1A"/>
          <w:sz w:val="21"/>
          <w:szCs w:val="21"/>
        </w:rPr>
        <w:t xml:space="preserve">The design held up under all of it. </w:t>
      </w:r>
      <w:r>
        <w:rPr>
          <w:rFonts w:ascii="Calibri" w:cs="Calibri" w:eastAsia="Calibri" w:hAnsi="Calibri"/>
          <w:color w:val="1A1A1A"/>
          <w:sz w:val="21"/>
          <w:szCs w:val="21"/>
        </w:rPr>
        <w:t xml:space="preserve">The probe set regenerated to content hash e0d72184 on three separate fresh containers from a fresh clone, and the response log was recovered from version control twice. Reproducibility from a seed and a signature stopped being a claim about the architecture this week and became an operational fact.</w:t>
      </w:r>
    </w:p>
    <w:p>
      <w:pPr>
        <w:spacing w:after="70" w:before="150"/>
      </w:pPr>
      <w:r>
        <w:rPr>
          <w:rFonts w:ascii="Calibri" w:cs="Calibri" w:eastAsia="Calibri" w:hAnsi="Calibri"/>
          <w:b/>
          <w:bCs/>
          <w:color w:val="5F6368"/>
          <w:sz w:val="20"/>
          <w:szCs w:val="20"/>
        </w:rPr>
        <w:t xml:space="preserve">Exit criterion for the 24 August standup</w:t>
      </w:r>
    </w:p>
    <w:p>
      <w:pPr>
        <w:spacing w:after="125" w:line="274"/>
      </w:pPr>
      <w:r>
        <w:rPr>
          <w:rFonts w:ascii="Calibri" w:cs="Calibri" w:eastAsia="Calibri" w:hAnsi="Calibri"/>
          <w:i/>
          <w:iCs/>
          <w:color w:val="1A1A1A"/>
          <w:sz w:val="21"/>
          <w:szCs w:val="21"/>
        </w:rPr>
        <w:t xml:space="preserve">The 17 August finding reproduced through the deterministic jury with its interval; a second model run end to end; and a planted control large enough to have power. No model near any reported number.</w:t>
      </w:r>
    </w:p>
    <w:p>
      <w:pPr>
        <w:pStyle w:val="Heading1"/>
        <w:spacing w:after="145" w:before="290"/>
      </w:pPr>
      <w:r>
        <w:rPr>
          <w:rFonts w:ascii="Calibri" w:cs="Calibri" w:eastAsia="Calibri" w:hAnsi="Calibri"/>
          <w:b/>
          <w:bCs/>
          <w:color w:val="1A1A1A"/>
          <w:sz w:val="28"/>
          <w:szCs w:val="28"/>
        </w:rPr>
        <w:t xml:space="preserve">Weeks 4 to 11 — plan</w:t>
      </w:r>
    </w:p>
    <w:p>
      <w:pPr>
        <w:spacing w:after="125" w:line="274"/>
      </w:pPr>
      <w:r>
        <w:rPr>
          <w:rFonts w:ascii="Calibri" w:cs="Calibri" w:eastAsia="Calibri" w:hAnsi="Calibri"/>
          <w:color w:val="5F6368"/>
          <w:sz w:val="20"/>
          <w:szCs w:val="20"/>
        </w:rPr>
        <w:t xml:space="preserve">Unchanged from last week — the Week 2 correction consumed no schedule. Ordering is set by dependency throughout.</w:t>
      </w:r>
    </w:p>
    <w:tbl>
      <w:tblPr>
        <w:tblW w:type="dxa" w:w="9020"/>
        <w:tblBorders>
          <w:top w:val="single" w:color="D3D3D3" w:sz="4"/>
          <w:left w:val="none"/>
          <w:bottom w:val="single" w:color="D3D3D3" w:sz="4"/>
          <w:right w:val="none"/>
          <w:insideH w:val="single" w:color="D3D3D3" w:sz="2"/>
          <w:insideV w:val="none"/>
        </w:tblBorders>
      </w:tblPr>
      <w:tblGrid>
        <w:gridCol w:w="700"/>
        <w:gridCol w:w="1250"/>
        <w:gridCol w:w="3400"/>
        <w:gridCol w:w="3670"/>
      </w:tblGrid>
      <w:tr>
        <w:trPr>
          <w:tblHeader/>
        </w:trPr>
        <w:tc>
          <w:tcPr>
            <w:tcW w:type="dxa" w:w="70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Wk</w:t>
            </w:r>
          </w:p>
        </w:tc>
        <w:tc>
          <w:tcPr>
            <w:tcW w:type="dxa" w:w="125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Standup</w:t>
            </w:r>
          </w:p>
        </w:tc>
        <w:tc>
          <w:tcPr>
            <w:tcW w:type="dxa" w:w="340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Goal</w:t>
            </w:r>
          </w:p>
        </w:tc>
        <w:tc>
          <w:tcPr>
            <w:tcW w:type="dxa" w:w="367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Exit criteria</w:t>
            </w:r>
          </w:p>
        </w:tc>
      </w:tr>
      <w:tr>
        <w:tc>
          <w:tcPr>
            <w:tcW w:type="dxa" w:w="7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W4</w:t>
            </w:r>
          </w:p>
        </w:tc>
        <w:tc>
          <w:tcPr>
            <w:tcW w:type="dxa" w:w="125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31 Aug</w:t>
            </w:r>
          </w:p>
        </w:tc>
        <w:tc>
          <w:tcPr>
            <w:tcW w:type="dxa" w:w="34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Judge harness: rubric from clause + criterion, k runs across both orders, version pinned</w:t>
            </w:r>
          </w:p>
        </w:tc>
        <w:tc>
          <w:tcPr>
            <w:tcW w:type="dxa" w:w="367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Structured verdict + criterion id + quoted span; span grounding checked in code</w:t>
            </w:r>
          </w:p>
        </w:tc>
      </w:tr>
      <w:tr>
        <w:tc>
          <w:tcPr>
            <w:tcW w:type="dxa" w:w="7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W5</w:t>
            </w:r>
          </w:p>
        </w:tc>
        <w:tc>
          <w:tcPr>
            <w:tcW w:type="dxa" w:w="125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7 Sep</w:t>
            </w:r>
          </w:p>
        </w:tc>
        <w:tc>
          <w:tcPr>
            <w:tcW w:type="dxa" w:w="34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Conformal gate on the judge; canary drift test; annotation pilot of 30 items</w:t>
            </w:r>
          </w:p>
        </w:tc>
        <w:tc>
          <w:tcPr>
            <w:tcW w:type="dxa" w:w="367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Coverage–risk curve with the operating point marked; guidelines drafted</w:t>
            </w:r>
          </w:p>
        </w:tc>
      </w:tr>
      <w:tr>
        <w:tc>
          <w:tcPr>
            <w:tcW w:type="dxa" w:w="7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W6</w:t>
            </w:r>
          </w:p>
        </w:tc>
        <w:tc>
          <w:tcPr>
            <w:tcW w:type="dxa" w:w="125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14 Sep</w:t>
            </w:r>
          </w:p>
        </w:tc>
        <w:tc>
          <w:tcPr>
            <w:tcW w:type="dxa" w:w="34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Freeze guidelines; main annotation begins (300 items, 120 double-annotated)</w:t>
            </w:r>
          </w:p>
        </w:tc>
        <w:tc>
          <w:tcPr>
            <w:tcW w:type="dxa" w:w="367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Human–human ceiling reported before any judge number</w:t>
            </w:r>
          </w:p>
        </w:tc>
      </w:tr>
      <w:tr>
        <w:tc>
          <w:tcPr>
            <w:tcW w:type="dxa" w:w="7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W7</w:t>
            </w:r>
          </w:p>
        </w:tc>
        <w:tc>
          <w:tcPr>
            <w:tcW w:type="dxa" w:w="125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21 Sep</w:t>
            </w:r>
          </w:p>
        </w:tc>
        <w:tc>
          <w:tcPr>
            <w:tcW w:type="dxa" w:w="34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Annotation completes; per-dimension κ; τ recalibrated against the ceiling</w:t>
            </w:r>
          </w:p>
        </w:tc>
        <w:tc>
          <w:tcPr>
            <w:tcW w:type="dxa" w:w="367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S2 evidence: κ with its lower bound above 0.61</w:t>
            </w:r>
          </w:p>
        </w:tc>
      </w:tr>
      <w:tr>
        <w:tc>
          <w:tcPr>
            <w:tcW w:type="dxa" w:w="7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W8</w:t>
            </w:r>
          </w:p>
        </w:tc>
        <w:tc>
          <w:tcPr>
            <w:tcW w:type="dxa" w:w="125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28 Sep</w:t>
            </w:r>
          </w:p>
        </w:tc>
        <w:tc>
          <w:tcPr>
            <w:tcW w:type="dxa" w:w="34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Ledger and clause-traced report; second model audited</w:t>
            </w:r>
          </w:p>
        </w:tc>
        <w:tc>
          <w:tcPr>
            <w:tcW w:type="dxa" w:w="367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S3 evidence: both models through the frozen pipeline</w:t>
            </w:r>
          </w:p>
        </w:tc>
      </w:tr>
      <w:tr>
        <w:tc>
          <w:tcPr>
            <w:tcW w:type="dxa" w:w="7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W9</w:t>
            </w:r>
          </w:p>
        </w:tc>
        <w:tc>
          <w:tcPr>
            <w:tcW w:type="dxa" w:w="125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5 Oct</w:t>
            </w:r>
          </w:p>
        </w:tc>
        <w:tc>
          <w:tcPr>
            <w:tcW w:type="dxa" w:w="34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Generator validation study — auto vs hand-written probes</w:t>
            </w:r>
          </w:p>
        </w:tc>
        <w:tc>
          <w:tcPr>
            <w:tcW w:type="dxa" w:w="367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The comparison that makes this a thesis rather than a system</w:t>
            </w:r>
          </w:p>
        </w:tc>
      </w:tr>
      <w:tr>
        <w:tc>
          <w:tcPr>
            <w:tcW w:type="dxa" w:w="7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W10</w:t>
            </w:r>
          </w:p>
        </w:tc>
        <w:tc>
          <w:tcPr>
            <w:tcW w:type="dxa" w:w="125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12 Oct</w:t>
            </w:r>
          </w:p>
        </w:tc>
        <w:tc>
          <w:tcPr>
            <w:tcW w:type="dxa" w:w="34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Insurance generalisation: sign the corpus, add one jury route, do not rewrite</w:t>
            </w:r>
          </w:p>
        </w:tc>
        <w:tc>
          <w:tcPr>
            <w:tcW w:type="dxa" w:w="367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S4: where the transfer holds and where it breaks</w:t>
            </w:r>
          </w:p>
        </w:tc>
      </w:tr>
      <w:tr>
        <w:tc>
          <w:tcPr>
            <w:tcW w:type="dxa" w:w="7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W11</w:t>
            </w:r>
          </w:p>
        </w:tc>
        <w:tc>
          <w:tcPr>
            <w:tcW w:type="dxa" w:w="125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19 Oct</w:t>
            </w:r>
          </w:p>
        </w:tc>
        <w:tc>
          <w:tcPr>
            <w:tcW w:type="dxa" w:w="34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Write-up and buffer</w:t>
            </w:r>
          </w:p>
        </w:tc>
        <w:tc>
          <w:tcPr>
            <w:tcW w:type="dxa" w:w="367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Every figure reproducible from a seed and a signature</w:t>
            </w:r>
          </w:p>
        </w:tc>
      </w:tr>
    </w:tbl>
    <w:p>
      <w:pPr>
        <w:pStyle w:val="Heading2"/>
        <w:spacing w:after="105" w:before="220"/>
      </w:pPr>
      <w:r>
        <w:rPr>
          <w:rFonts w:ascii="Calibri" w:cs="Calibri" w:eastAsia="Calibri" w:hAnsi="Calibri"/>
          <w:b/>
          <w:bCs/>
          <w:color w:val="1A1A1A"/>
          <w:sz w:val="23"/>
          <w:szCs w:val="23"/>
        </w:rPr>
        <w:t xml:space="preserve">Critical path</w:t>
      </w:r>
    </w:p>
    <w:p>
      <w:pPr>
        <w:spacing w:after="60" w:line="274"/>
      </w:pPr>
      <w:r>
        <w:rPr>
          <w:rFonts w:ascii="Calibri" w:cs="Calibri" w:eastAsia="Calibri" w:hAnsi="Calibri"/>
          <w:b/>
          <w:bCs/>
          <w:color w:val="1A1A1A"/>
          <w:sz w:val="21"/>
          <w:szCs w:val="21"/>
        </w:rPr>
        <w:t xml:space="preserve">Annotator recruitment → guidelines frozen → annotation pilot → main annotation → κ → S2.</w:t>
      </w:r>
    </w:p>
    <w:p>
      <w:pPr>
        <w:spacing w:after="125" w:line="274"/>
      </w:pPr>
      <w:r>
        <w:rPr>
          <w:rFonts w:ascii="Calibri" w:cs="Calibri" w:eastAsia="Calibri" w:hAnsi="Calibri"/>
          <w:color w:val="1A1A1A"/>
          <w:sz w:val="21"/>
          <w:szCs w:val="21"/>
        </w:rPr>
        <w:t xml:space="preserve">The only chain gated by another person’s calendar. Everything else can be resequenced or compressed; the jury and judge sit off it and are the correct things to sacrifice if a week is lost. With ethics likely not required — a second rater is an instrument, not a subject, though this needs confirming — the chain is roughly two weeks rather than the six to ten it would otherwise be.</w:t>
      </w:r>
    </w:p>
    <w:p>
      <w:pPr>
        <w:pStyle w:val="Heading1"/>
        <w:spacing w:after="145" w:before="290"/>
      </w:pPr>
      <w:r>
        <w:rPr>
          <w:rFonts w:ascii="Calibri" w:cs="Calibri" w:eastAsia="Calibri" w:hAnsi="Calibri"/>
          <w:b/>
          <w:bCs/>
          <w:color w:val="1A1A1A"/>
          <w:sz w:val="28"/>
          <w:szCs w:val="28"/>
        </w:rPr>
        <w:t xml:space="preserve">Standing risks</w:t>
      </w:r>
    </w:p>
    <w:tbl>
      <w:tblPr>
        <w:tblW w:type="dxa" w:w="9020"/>
        <w:tblBorders>
          <w:top w:val="single" w:color="D3D3D3" w:sz="4"/>
          <w:left w:val="none"/>
          <w:bottom w:val="single" w:color="D3D3D3" w:sz="4"/>
          <w:right w:val="none"/>
          <w:insideH w:val="single" w:color="D3D3D3" w:sz="2"/>
          <w:insideV w:val="none"/>
        </w:tblBorders>
      </w:tblPr>
      <w:tblGrid>
        <w:gridCol w:w="760"/>
        <w:gridCol w:w="3300"/>
        <w:gridCol w:w="1100"/>
        <w:gridCol w:w="3860"/>
      </w:tblGrid>
      <w:tr>
        <w:trPr>
          <w:tblHeader/>
        </w:trPr>
        <w:tc>
          <w:tcPr>
            <w:tcW w:type="dxa" w:w="76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ID</w:t>
            </w:r>
          </w:p>
        </w:tc>
        <w:tc>
          <w:tcPr>
            <w:tcW w:type="dxa" w:w="330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Risk</w:t>
            </w:r>
          </w:p>
        </w:tc>
        <w:tc>
          <w:tcPr>
            <w:tcW w:type="dxa" w:w="110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Severity</w:t>
            </w:r>
          </w:p>
        </w:tc>
        <w:tc>
          <w:tcPr>
            <w:tcW w:type="dxa" w:w="386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Mitigation</w:t>
            </w:r>
          </w:p>
        </w:tc>
      </w:tr>
      <w:tr>
        <w:tc>
          <w:tcPr>
            <w:tcW w:type="dxa" w:w="760"/>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R0</w:t>
            </w:r>
          </w:p>
        </w:tc>
        <w:tc>
          <w:tcPr>
            <w:tcW w:type="dxa" w:w="3300"/>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The model may be invariant to the protected token because the token never reaches the decision, not because the model is even-handed</w:t>
            </w:r>
          </w:p>
        </w:tc>
        <w:tc>
          <w:tcPr>
            <w:tcW w:type="dxa" w:w="1100"/>
            <w:shd w:fill="FBEEEE" w:color="auto" w:val="clear"/>
            <w:tcMar>
              <w:top w:type="dxa" w:w="80"/>
              <w:left w:type="dxa" w:w="115"/>
              <w:bottom w:type="dxa" w:w="80"/>
              <w:right w:type="dxa" w:w="115"/>
            </w:tcMar>
          </w:tcPr>
          <w:p>
            <w:pPr>
              <w:spacing w:after="0" w:line="252"/>
            </w:pPr>
            <w:r>
              <w:rPr>
                <w:rFonts w:ascii="Calibri" w:cs="Calibri" w:eastAsia="Calibri" w:hAnsi="Calibri"/>
                <w:b/>
                <w:bCs/>
                <w:color w:val="9B2C2C"/>
                <w:sz w:val="18"/>
                <w:szCs w:val="18"/>
              </w:rPr>
              <w:t xml:space="preserve">High</w:t>
            </w:r>
          </w:p>
        </w:tc>
        <w:tc>
          <w:tcPr>
            <w:tcW w:type="dxa" w:w="3860"/>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NEW this week. The planted-axis control settles it in Week 3. If it does not fire, the fix is a stronger axis rendering — a full name or an explicit field — not a larger sample</w:t>
            </w:r>
          </w:p>
        </w:tc>
      </w:tr>
      <w:tr>
        <w:tc>
          <w:tcPr>
            <w:tcW w:type="dxa" w:w="76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R1</w:t>
            </w:r>
          </w:p>
        </w:tc>
        <w:tc>
          <w:tcPr>
            <w:tcW w:type="dxa" w:w="33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Engineering keeps outpacing evidence; thin results chapter</w:t>
            </w:r>
          </w:p>
        </w:tc>
        <w:tc>
          <w:tcPr>
            <w:tcW w:type="dxa" w:w="1100"/>
            <w:shd w:fill="FBF4E8" w:color="auto" w:val="clear"/>
            <w:tcMar>
              <w:top w:type="dxa" w:w="80"/>
              <w:left w:type="dxa" w:w="115"/>
              <w:bottom w:type="dxa" w:w="80"/>
              <w:right w:type="dxa" w:w="115"/>
            </w:tcMar>
          </w:tcPr>
          <w:p>
            <w:pPr>
              <w:spacing w:after="0" w:line="252"/>
            </w:pPr>
            <w:r>
              <w:rPr>
                <w:rFonts w:ascii="Calibri" w:cs="Calibri" w:eastAsia="Calibri" w:hAnsi="Calibri"/>
                <w:b/>
                <w:bCs/>
                <w:color w:val="8A5A00"/>
                <w:sz w:val="18"/>
                <w:szCs w:val="18"/>
              </w:rPr>
              <w:t xml:space="preserve">Medium</w:t>
            </w:r>
          </w:p>
        </w:tc>
        <w:tc>
          <w:tcPr>
            <w:tcW w:type="dxa" w:w="386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DOWNGRADED — two full runs and four reportable numbers now exist. From W3 every sprint delivers a number, not a module</w:t>
            </w:r>
          </w:p>
        </w:tc>
      </w:tr>
      <w:tr>
        <w:tc>
          <w:tcPr>
            <w:tcW w:type="dxa" w:w="76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R2</w:t>
            </w:r>
          </w:p>
        </w:tc>
        <w:tc>
          <w:tcPr>
            <w:tcW w:type="dxa" w:w="33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Resolution too coarse — true effect may be smaller than detectable</w:t>
            </w:r>
          </w:p>
        </w:tc>
        <w:tc>
          <w:tcPr>
            <w:tcW w:type="dxa" w:w="1100"/>
            <w:tcMar>
              <w:top w:type="dxa" w:w="80"/>
              <w:left w:type="dxa" w:w="115"/>
              <w:bottom w:type="dxa" w:w="80"/>
              <w:right w:type="dxa" w:w="115"/>
            </w:tcMar>
          </w:tcPr>
          <w:p>
            <w:pPr>
              <w:spacing w:after="0" w:line="252"/>
            </w:pPr>
            <w:r>
              <w:rPr>
                <w:rFonts w:ascii="Calibri" w:cs="Calibri" w:eastAsia="Calibri" w:hAnsi="Calibri"/>
                <w:b/>
                <w:bCs/>
                <w:color w:val="5F6368"/>
                <w:sz w:val="18"/>
                <w:szCs w:val="18"/>
              </w:rPr>
              <w:t xml:space="preserve">Low</w:t>
            </w:r>
          </w:p>
        </w:tc>
        <w:tc>
          <w:tcPr>
            <w:tcW w:type="dxa" w:w="386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RESOLVED for the aggregate estimand: at the measured 17–18% base rate the committed sample detects 7.4 pp, better than the 10 pp promised</w:t>
            </w:r>
          </w:p>
        </w:tc>
      </w:tr>
      <w:tr>
        <w:tc>
          <w:tcPr>
            <w:tcW w:type="dxa" w:w="76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R3</w:t>
            </w:r>
          </w:p>
        </w:tc>
        <w:tc>
          <w:tcPr>
            <w:tcW w:type="dxa" w:w="33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Single prompt template confounds the fairness estimate</w:t>
            </w:r>
          </w:p>
        </w:tc>
        <w:tc>
          <w:tcPr>
            <w:tcW w:type="dxa" w:w="1100"/>
            <w:shd w:fill="FBF4E8" w:color="auto" w:val="clear"/>
            <w:tcMar>
              <w:top w:type="dxa" w:w="80"/>
              <w:left w:type="dxa" w:w="115"/>
              <w:bottom w:type="dxa" w:w="80"/>
              <w:right w:type="dxa" w:w="115"/>
            </w:tcMar>
          </w:tcPr>
          <w:p>
            <w:pPr>
              <w:spacing w:after="0" w:line="252"/>
            </w:pPr>
            <w:r>
              <w:rPr>
                <w:rFonts w:ascii="Calibri" w:cs="Calibri" w:eastAsia="Calibri" w:hAnsi="Calibri"/>
                <w:b/>
                <w:bCs/>
                <w:color w:val="8A5A00"/>
                <w:sz w:val="18"/>
                <w:szCs w:val="18"/>
              </w:rPr>
              <w:t xml:space="preserve">Medium</w:t>
            </w:r>
          </w:p>
        </w:tc>
        <w:tc>
          <w:tcPr>
            <w:tcW w:type="dxa" w:w="386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Published work shows serialization shifts measured disparity; W9 measures it directly. Sharpened by R0 — the same weakness may explain the low discordance</w:t>
            </w:r>
          </w:p>
        </w:tc>
      </w:tr>
      <w:tr>
        <w:tc>
          <w:tcPr>
            <w:tcW w:type="dxa" w:w="76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R4</w:t>
            </w:r>
          </w:p>
        </w:tc>
        <w:tc>
          <w:tcPr>
            <w:tcW w:type="dxa" w:w="33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κ interval too wide to clear 0.61 at the lower bound</w:t>
            </w:r>
          </w:p>
        </w:tc>
        <w:tc>
          <w:tcPr>
            <w:tcW w:type="dxa" w:w="1100"/>
            <w:shd w:fill="FBF4E8" w:color="auto" w:val="clear"/>
            <w:tcMar>
              <w:top w:type="dxa" w:w="80"/>
              <w:left w:type="dxa" w:w="115"/>
              <w:bottom w:type="dxa" w:w="80"/>
              <w:right w:type="dxa" w:w="115"/>
            </w:tcMar>
          </w:tcPr>
          <w:p>
            <w:pPr>
              <w:spacing w:after="0" w:line="252"/>
            </w:pPr>
            <w:r>
              <w:rPr>
                <w:rFonts w:ascii="Calibri" w:cs="Calibri" w:eastAsia="Calibri" w:hAnsi="Calibri"/>
                <w:b/>
                <w:bCs/>
                <w:color w:val="8A5A00"/>
                <w:sz w:val="18"/>
                <w:szCs w:val="18"/>
              </w:rPr>
              <w:t xml:space="preserve">Medium</w:t>
            </w:r>
          </w:p>
        </w:tc>
        <w:tc>
          <w:tcPr>
            <w:tcW w:type="dxa" w:w="386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120 double-annotated items against a minimum of 86. Sharper guidelines are cheaper than more items</w:t>
            </w:r>
          </w:p>
        </w:tc>
      </w:tr>
      <w:tr>
        <w:tc>
          <w:tcPr>
            <w:tcW w:type="dxa" w:w="76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R5</w:t>
            </w:r>
          </w:p>
        </w:tc>
        <w:tc>
          <w:tcPr>
            <w:tcW w:type="dxa" w:w="33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Judge scores against remembered benchmark norms, not the signed criterion</w:t>
            </w:r>
          </w:p>
        </w:tc>
        <w:tc>
          <w:tcPr>
            <w:tcW w:type="dxa" w:w="1100"/>
            <w:shd w:fill="FBF4E8" w:color="auto" w:val="clear"/>
            <w:tcMar>
              <w:top w:type="dxa" w:w="80"/>
              <w:left w:type="dxa" w:w="115"/>
              <w:bottom w:type="dxa" w:w="80"/>
              <w:right w:type="dxa" w:w="115"/>
            </w:tcMar>
          </w:tcPr>
          <w:p>
            <w:pPr>
              <w:spacing w:after="0" w:line="252"/>
            </w:pPr>
            <w:r>
              <w:rPr>
                <w:rFonts w:ascii="Calibri" w:cs="Calibri" w:eastAsia="Calibri" w:hAnsi="Calibri"/>
                <w:b/>
                <w:bCs/>
                <w:color w:val="8A5A00"/>
                <w:sz w:val="18"/>
                <w:szCs w:val="18"/>
              </w:rPr>
              <w:t xml:space="preserve">Medium</w:t>
            </w:r>
          </w:p>
        </w:tc>
        <w:tc>
          <w:tcPr>
            <w:tcW w:type="dxa" w:w="386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Quoted span grounded in code; rubric-adherence rate reported alongside coverage</w:t>
            </w:r>
          </w:p>
        </w:tc>
      </w:tr>
      <w:tr>
        <w:tc>
          <w:tcPr>
            <w:tcW w:type="dxa" w:w="760"/>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R6</w:t>
            </w:r>
          </w:p>
        </w:tc>
        <w:tc>
          <w:tcPr>
            <w:tcW w:type="dxa" w:w="3300"/>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Server container recycles roughly every 30 minutes; no writable persistent directory exists</w:t>
            </w:r>
          </w:p>
        </w:tc>
        <w:tc>
          <w:tcPr>
            <w:tcW w:type="dxa" w:w="1100"/>
            <w:shd w:fill="FBEEEE" w:color="auto" w:val="clear"/>
            <w:tcMar>
              <w:top w:type="dxa" w:w="80"/>
              <w:left w:type="dxa" w:w="115"/>
              <w:bottom w:type="dxa" w:w="80"/>
              <w:right w:type="dxa" w:w="115"/>
            </w:tcMar>
          </w:tcPr>
          <w:p>
            <w:pPr>
              <w:spacing w:after="0" w:line="252"/>
            </w:pPr>
            <w:r>
              <w:rPr>
                <w:rFonts w:ascii="Calibri" w:cs="Calibri" w:eastAsia="Calibri" w:hAnsi="Calibri"/>
                <w:b/>
                <w:bCs/>
                <w:color w:val="9B2C2C"/>
                <w:sz w:val="18"/>
                <w:szCs w:val="18"/>
              </w:rPr>
              <w:t xml:space="preserve">High</w:t>
            </w:r>
          </w:p>
        </w:tc>
        <w:tc>
          <w:tcPr>
            <w:tcW w:type="dxa" w:w="3860"/>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RAISED from Medium — five recycles on 18 Aug alone, now the largest single cost to the project. Mitigated by scripted rebuild, per-model push and one-model-at-a-time runs. Resolved outright by one writable folder on the vault volume; request pending</w:t>
            </w:r>
          </w:p>
        </w:tc>
      </w:tr>
      <w:tr>
        <w:tc>
          <w:tcPr>
            <w:tcW w:type="dxa" w:w="760"/>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R7</w:t>
            </w:r>
          </w:p>
        </w:tc>
        <w:tc>
          <w:tcPr>
            <w:tcW w:type="dxa" w:w="3300"/>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Only two of five dimensions currently produce evidence; consistency generates no probes and truthfulness is dormant</w:t>
            </w:r>
          </w:p>
        </w:tc>
        <w:tc>
          <w:tcPr>
            <w:tcW w:type="dxa" w:w="1100"/>
            <w:shd w:fill="FBF4E8" w:color="auto" w:val="clear"/>
            <w:tcMar>
              <w:top w:type="dxa" w:w="80"/>
              <w:left w:type="dxa" w:w="115"/>
              <w:bottom w:type="dxa" w:w="80"/>
              <w:right w:type="dxa" w:w="115"/>
            </w:tcMar>
          </w:tcPr>
          <w:p>
            <w:pPr>
              <w:spacing w:after="0" w:line="252"/>
            </w:pPr>
            <w:r>
              <w:rPr>
                <w:rFonts w:ascii="Calibri" w:cs="Calibri" w:eastAsia="Calibri" w:hAnsi="Calibri"/>
                <w:b/>
                <w:bCs/>
                <w:color w:val="8A5A00"/>
                <w:sz w:val="18"/>
                <w:szCs w:val="18"/>
              </w:rPr>
              <w:t xml:space="preserve">Medium</w:t>
            </w:r>
          </w:p>
        </w:tc>
        <w:tc>
          <w:tcPr>
            <w:tcW w:type="dxa" w:w="3860"/>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NEW this week. Consistency has no clause mapped to it in the signed checklist — a deliberate consequence of the notary gate, but it must be a recorded decision, not a write-up surprise. Tabled for 24 August</w:t>
            </w:r>
          </w:p>
        </w:tc>
      </w:tr>
    </w:tbl>
    <w:p>
      <w:pPr>
        <w:pStyle w:val="Heading1"/>
        <w:spacing w:after="145" w:before="290"/>
      </w:pPr>
      <w:r>
        <w:rPr>
          <w:rFonts w:ascii="Calibri" w:cs="Calibri" w:eastAsia="Calibri" w:hAnsi="Calibri"/>
          <w:b/>
          <w:bCs/>
          <w:color w:val="1A1A1A"/>
          <w:sz w:val="28"/>
          <w:szCs w:val="28"/>
        </w:rPr>
        <w:t xml:space="preserve">Success criteria — running status</w:t>
      </w:r>
    </w:p>
    <w:tbl>
      <w:tblPr>
        <w:tblW w:type="dxa" w:w="9020"/>
        <w:tblBorders>
          <w:top w:val="single" w:color="D3D3D3" w:sz="4"/>
          <w:left w:val="none"/>
          <w:bottom w:val="single" w:color="D3D3D3" w:sz="4"/>
          <w:right w:val="none"/>
          <w:insideH w:val="single" w:color="D3D3D3" w:sz="2"/>
          <w:insideV w:val="none"/>
        </w:tblBorders>
      </w:tblPr>
      <w:tblGrid>
        <w:gridCol w:w="760"/>
        <w:gridCol w:w="4300"/>
        <w:gridCol w:w="1500"/>
        <w:gridCol w:w="2460"/>
      </w:tblGrid>
      <w:tr>
        <w:trPr>
          <w:tblHeader/>
        </w:trPr>
        <w:tc>
          <w:tcPr>
            <w:tcW w:type="dxa" w:w="76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
            </w:r>
          </w:p>
        </w:tc>
        <w:tc>
          <w:tcPr>
            <w:tcW w:type="dxa" w:w="430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Criterion</w:t>
            </w:r>
          </w:p>
        </w:tc>
        <w:tc>
          <w:tcPr>
            <w:tcW w:type="dxa" w:w="150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Status</w:t>
            </w:r>
          </w:p>
        </w:tc>
        <w:tc>
          <w:tcPr>
            <w:tcW w:type="dxa" w:w="2460"/>
            <w:shd w:fill="EEF1F4" w:color="auto" w:val="clear"/>
            <w:tcMar>
              <w:top w:type="dxa" w:w="80"/>
              <w:left w:type="dxa" w:w="115"/>
              <w:bottom w:type="dxa" w:w="80"/>
              <w:right w:type="dxa" w:w="115"/>
            </w:tcMar>
          </w:tcPr>
          <w:p>
            <w:pPr>
              <w:spacing w:after="0" w:line="252"/>
            </w:pPr>
            <w:r>
              <w:rPr>
                <w:rFonts w:ascii="Calibri" w:cs="Calibri" w:eastAsia="Calibri" w:hAnsi="Calibri"/>
                <w:b/>
                <w:bCs/>
                <w:color w:val="1A1A1A"/>
                <w:sz w:val="18"/>
                <w:szCs w:val="18"/>
              </w:rPr>
              <w:t xml:space="preserve">Gap</w:t>
            </w:r>
          </w:p>
        </w:tc>
      </w:tr>
      <w:tr>
        <w:tc>
          <w:tcPr>
            <w:tcW w:type="dxa" w:w="76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S1</w:t>
            </w:r>
          </w:p>
        </w:tc>
        <w:tc>
          <w:tcPr>
            <w:tcW w:type="dxa" w:w="43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Clause mapping ≥ 90%; 100% of findings clause-tagged</w:t>
            </w:r>
          </w:p>
        </w:tc>
        <w:tc>
          <w:tcPr>
            <w:tcW w:type="dxa" w:w="1500"/>
            <w:shd w:fill="FBF4E8" w:color="auto" w:val="clear"/>
            <w:tcMar>
              <w:top w:type="dxa" w:w="80"/>
              <w:left w:type="dxa" w:w="115"/>
              <w:bottom w:type="dxa" w:w="80"/>
              <w:right w:type="dxa" w:w="115"/>
            </w:tcMar>
          </w:tcPr>
          <w:p>
            <w:pPr>
              <w:spacing w:after="0" w:line="252"/>
            </w:pPr>
            <w:r>
              <w:rPr>
                <w:rFonts w:ascii="Calibri" w:cs="Calibri" w:eastAsia="Calibri" w:hAnsi="Calibri"/>
                <w:b/>
                <w:bCs/>
                <w:color w:val="8A5A00"/>
                <w:sz w:val="18"/>
                <w:szCs w:val="18"/>
              </w:rPr>
              <w:t xml:space="preserve">On track</w:t>
            </w:r>
          </w:p>
        </w:tc>
        <w:tc>
          <w:tcPr>
            <w:tcW w:type="dxa" w:w="246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Gold query set too small to quote; criteria still unwritten</w:t>
            </w:r>
          </w:p>
        </w:tc>
      </w:tr>
      <w:tr>
        <w:tc>
          <w:tcPr>
            <w:tcW w:type="dxa" w:w="76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S2</w:t>
            </w:r>
          </w:p>
        </w:tc>
        <w:tc>
          <w:tcPr>
            <w:tcW w:type="dxa" w:w="43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κ ≥ 0.61 on ≥ 1 dimension; selective error ≤ 5% at coverage ≥ 50%</w:t>
            </w:r>
          </w:p>
        </w:tc>
        <w:tc>
          <w:tcPr>
            <w:tcW w:type="dxa" w:w="1500"/>
            <w:shd w:fill="FBEEEE" w:color="auto" w:val="clear"/>
            <w:tcMar>
              <w:top w:type="dxa" w:w="80"/>
              <w:left w:type="dxa" w:w="115"/>
              <w:bottom w:type="dxa" w:w="80"/>
              <w:right w:type="dxa" w:w="115"/>
            </w:tcMar>
          </w:tcPr>
          <w:p>
            <w:pPr>
              <w:spacing w:after="0" w:line="252"/>
            </w:pPr>
            <w:r>
              <w:rPr>
                <w:rFonts w:ascii="Calibri" w:cs="Calibri" w:eastAsia="Calibri" w:hAnsi="Calibri"/>
                <w:b/>
                <w:bCs/>
                <w:color w:val="9B2C2C"/>
                <w:sz w:val="18"/>
                <w:szCs w:val="18"/>
              </w:rPr>
              <w:t xml:space="preserve">At risk</w:t>
            </w:r>
          </w:p>
        </w:tc>
        <w:tc>
          <w:tcPr>
            <w:tcW w:type="dxa" w:w="246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Second rater identified; study not begun</w:t>
            </w:r>
          </w:p>
        </w:tc>
      </w:tr>
      <w:tr>
        <w:tc>
          <w:tcPr>
            <w:tcW w:type="dxa" w:w="76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S3</w:t>
            </w:r>
          </w:p>
        </w:tc>
        <w:tc>
          <w:tcPr>
            <w:tcW w:type="dxa" w:w="43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Both models audited end to end</w:t>
            </w:r>
          </w:p>
        </w:tc>
        <w:tc>
          <w:tcPr>
            <w:tcW w:type="dxa" w:w="1500"/>
            <w:shd w:fill="FBF4E8" w:color="auto" w:val="clear"/>
            <w:tcMar>
              <w:top w:type="dxa" w:w="80"/>
              <w:left w:type="dxa" w:w="115"/>
              <w:bottom w:type="dxa" w:w="80"/>
              <w:right w:type="dxa" w:w="115"/>
            </w:tcMar>
          </w:tcPr>
          <w:p>
            <w:pPr>
              <w:spacing w:after="0" w:line="252"/>
            </w:pPr>
            <w:r>
              <w:rPr>
                <w:rFonts w:ascii="Calibri" w:cs="Calibri" w:eastAsia="Calibri" w:hAnsi="Calibri"/>
                <w:b/>
                <w:bCs/>
                <w:color w:val="8A5A00"/>
                <w:sz w:val="18"/>
                <w:szCs w:val="18"/>
              </w:rPr>
              <w:t xml:space="preserve">Started</w:t>
            </w:r>
          </w:p>
        </w:tc>
        <w:tc>
          <w:tcPr>
            <w:tcW w:type="dxa" w:w="246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1 of 2 run, measured and banked; the second is blocked on server stability, not on method</w:t>
            </w:r>
          </w:p>
        </w:tc>
      </w:tr>
      <w:tr>
        <w:tc>
          <w:tcPr>
            <w:tcW w:type="dxa" w:w="76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S4</w:t>
            </w:r>
          </w:p>
        </w:tc>
        <w:tc>
          <w:tcPr>
            <w:tcW w:type="dxa" w:w="430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Negative results reported as findings</w:t>
            </w:r>
          </w:p>
        </w:tc>
        <w:tc>
          <w:tcPr>
            <w:tcW w:type="dxa" w:w="1500"/>
            <w:shd w:fill="EDF5EF" w:color="auto" w:val="clear"/>
            <w:tcMar>
              <w:top w:type="dxa" w:w="80"/>
              <w:left w:type="dxa" w:w="115"/>
              <w:bottom w:type="dxa" w:w="80"/>
              <w:right w:type="dxa" w:w="115"/>
            </w:tcMar>
          </w:tcPr>
          <w:p>
            <w:pPr>
              <w:spacing w:after="0" w:line="252"/>
            </w:pPr>
            <w:r>
              <w:rPr>
                <w:rFonts w:ascii="Calibri" w:cs="Calibri" w:eastAsia="Calibri" w:hAnsi="Calibri"/>
                <w:b/>
                <w:bCs/>
                <w:color w:val="1E6B34"/>
                <w:sz w:val="18"/>
                <w:szCs w:val="18"/>
              </w:rPr>
              <w:t xml:space="preserve">On track</w:t>
            </w:r>
          </w:p>
        </w:tc>
        <w:tc>
          <w:tcPr>
            <w:tcW w:type="dxa" w:w="2460"/>
            <w:tcMar>
              <w:top w:type="dxa" w:w="80"/>
              <w:left w:type="dxa" w:w="115"/>
              <w:bottom w:type="dxa" w:w="80"/>
              <w:right w:type="dxa" w:w="115"/>
            </w:tcMar>
          </w:tcPr>
          <w:p>
            <w:pPr>
              <w:spacing w:after="0" w:line="252"/>
            </w:pPr>
            <w:r>
              <w:rPr>
                <w:rFonts w:ascii="Calibri" w:cs="Calibri" w:eastAsia="Calibri" w:hAnsi="Calibri"/>
                <w:color w:val="1A1A1A"/>
                <w:sz w:val="18"/>
                <w:szCs w:val="18"/>
              </w:rPr>
              <w:t xml:space="preserve">Three negative results plus one positive finding at p = 4 × 10⁻²¹, in the opposite direction to the literature</w:t>
            </w:r>
          </w:p>
        </w:tc>
      </w:tr>
    </w:tbl>
    <w:p>
      <w:pPr>
        <w:pBdr>
          <w:bottom w:val="single" w:color="D3D3D3" w:sz="6"/>
        </w:pBdr>
        <w:spacing w:after="165" w:before="50"/>
      </w:pPr>
      <w:r>
        <w:rPr>
          <w:sz w:val="2"/>
          <w:szCs w:val="2"/>
        </w:rPr>
        <w:t xml:space="preserve"/>
      </w:r>
    </w:p>
    <w:p>
      <w:pPr>
        <w:spacing w:after="125" w:line="274"/>
        <w:jc w:val="center"/>
      </w:pPr>
      <w:r>
        <w:rPr>
          <w:rFonts w:ascii="Calibri" w:cs="Calibri" w:eastAsia="Calibri" w:hAnsi="Calibri"/>
          <w:color w:val="5F6368"/>
          <w:sz w:val="17"/>
          <w:szCs w:val="17"/>
        </w:rPr>
        <w:t xml:space="preserve">184 tests passing  ·  14,825 responses banked on GitHub  ·  probe set e0d72184  ·  checklist fb4c3454  ·  German Credit 1000 records (CC BY 4.0)</w:t>
      </w:r>
    </w:p>
    <w:sectPr>
      <w:pgSz w:w="11906" w:h="16838" w:orient="portrait"/>
      <w:pgMar w:top="1150" w:right="1200" w:bottom="115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30" w:hanging="19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100597fd8a8faf368340b41567fc81beb01f31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2026-08-31T09:47:52.638Z</dcterms:created>
  <dcterms:modified xsi:type="dcterms:W3CDTF">2026-08-31T09:47:52.642Z</dcterms:modified>
</cp:coreProperties>
</file>

<file path=docProps/custom.xml><?xml version="1.0" encoding="utf-8"?>
<Properties xmlns="http://schemas.openxmlformats.org/officeDocument/2006/custom-properties" xmlns:vt="http://schemas.openxmlformats.org/officeDocument/2006/docPropsVTypes"/>
</file>