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E6B34"/>
          <w:spacing w:val="40"/>
          <w:sz w:val="19"/>
          <w:szCs w:val="19"/>
        </w:rPr>
        <w:t xml:space="preserve">GRAIL  ·  DEFENCE BRIEF</w:t>
      </w:r>
    </w:p>
    <w:p>
      <w:pPr>
        <w:spacing w:after="60"/>
      </w:pPr>
      <w:r>
        <w:rPr>
          <w:rFonts w:ascii="Calibri" w:cs="Calibri" w:eastAsia="Calibri" w:hAnsi="Calibri"/>
          <w:b/>
          <w:bCs/>
          <w:color w:val="1A1A1A"/>
          <w:sz w:val="32"/>
          <w:szCs w:val="32"/>
        </w:rPr>
        <w:t xml:space="preserve">Why each choice was made, and what it would take to overturn it</w:t>
      </w:r>
    </w:p>
    <w:p>
      <w:pPr>
        <w:spacing w:after="140" w:line="276"/>
      </w:pPr>
      <w:r>
        <w:rPr>
          <w:rFonts w:ascii="Calibri" w:cs="Calibri" w:eastAsia="Calibri" w:hAnsi="Calibri"/>
          <w:i/>
          <w:iCs/>
          <w:color w:val="5F6368"/>
          <w:sz w:val="19"/>
          <w:szCs w:val="19"/>
        </w:rPr>
        <w:t xml:space="preserve">Prasad Devendra Watane · M.Sc. Applied Data Science, SRH Heidelberg · Supervisor: Prof. Dr. Swati Chandna · 14 September 2026</w:t>
      </w:r>
    </w:p>
    <w:p>
      <w:pPr>
        <w:pBdr>
          <w:bottom w:val="single" w:color="D8D4CC" w:sz="6"/>
        </w:pBdr>
        <w:spacing w:after="160" w:before="60"/>
      </w:pPr>
    </w:p>
    <w:p>
      <w:pPr>
        <w:spacing w:after="180" w:before="0" w:line="276"/>
      </w:pPr>
      <w:r>
        <w:rPr>
          <w:rFonts w:ascii="Calibri" w:cs="Calibri" w:eastAsia="Calibri" w:hAnsi="Calibri"/>
          <w:b w:val="false"/>
          <w:bCs w:val="false"/>
          <w:i w:val="false"/>
          <w:iCs w:val="false"/>
          <w:color w:val="1A1A1A"/>
          <w:sz w:val="21"/>
          <w:szCs w:val="21"/>
        </w:rPr>
        <w:t xml:space="preserve">This document answers the questions an examiner is most likely to ask, in the order they are likely to be asked. Every design choice here has an alternative that was considered and rejected, and the rejection is stated rather than implied — a choice with no stated alternative is indistinguishable from a choice that was never made.</w:t>
      </w:r>
    </w:p>
    <w:p>
      <w:pPr>
        <w:pStyle w:val="Heading1"/>
        <w:spacing w:after="130" w:before="340"/>
      </w:pPr>
      <w:r>
        <w:rPr>
          <w:rFonts w:ascii="Calibri" w:cs="Calibri" w:eastAsia="Calibri" w:hAnsi="Calibri"/>
          <w:b/>
          <w:bCs/>
          <w:color w:val="1A1A1A"/>
          <w:sz w:val="28"/>
          <w:szCs w:val="28"/>
        </w:rPr>
        <w:t xml:space="preserve">1.  The claim, and its limits</w:t>
      </w:r>
    </w:p>
    <w:p>
      <w:pPr>
        <w:spacing w:after="120" w:before="0" w:line="276"/>
      </w:pPr>
      <w:r>
        <w:rPr>
          <w:rFonts w:ascii="Calibri" w:cs="Calibri" w:eastAsia="Calibri" w:hAnsi="Calibri"/>
          <w:b w:val="false"/>
          <w:bCs w:val="false"/>
          <w:i w:val="false"/>
          <w:iCs w:val="false"/>
          <w:color w:val="1A1A1A"/>
          <w:sz w:val="21"/>
          <w:szCs w:val="21"/>
        </w:rPr>
        <w:t xml:space="preserve">GRAIL derives auditable requirements from the text of the EU AI Act, freezes them under a human signature, generates behavioural probes from them, and scores foundation-model responses against them — deterministically wherever the evidence is countable, and with a gated language model only where it is not.</w:t>
      </w:r>
    </w:p>
    <w:p>
      <w:pPr>
        <w:spacing w:after="120" w:before="0" w:line="276"/>
      </w:pPr>
      <w:r>
        <w:rPr>
          <w:rFonts w:ascii="Calibri" w:cs="Calibri" w:eastAsia="Calibri" w:hAnsi="Calibri"/>
          <w:b w:val="false"/>
          <w:bCs w:val="false"/>
          <w:i w:val="false"/>
          <w:iCs w:val="false"/>
          <w:color w:val="1A1A1A"/>
          <w:sz w:val="21"/>
          <w:szCs w:val="21"/>
        </w:rPr>
        <w:t xml:space="preserve">The instantiation is Annex III 5(b), consumer creditworthiness, against Articles 10(2)(f), 10(2)(g), 13(1), 15(1) and 15(4).</w:t>
      </w:r>
    </w:p>
    <w:p>
      <w:pPr>
        <w:pStyle w:val="Heading2"/>
        <w:spacing w:after="110" w:before="240"/>
      </w:pPr>
      <w:r>
        <w:rPr>
          <w:rFonts w:ascii="Calibri" w:cs="Calibri" w:eastAsia="Calibri" w:hAnsi="Calibri"/>
          <w:b/>
          <w:bCs/>
          <w:color w:val="1E6B34"/>
          <w:sz w:val="23"/>
          <w:szCs w:val="23"/>
        </w:rPr>
        <w:t xml:space="preserve">What this establishes</w:t>
      </w:r>
    </w:p>
    <w:p>
      <w:pPr>
        <w:pStyle w:val="ListParagraph"/>
        <w:numPr>
          <w:ilvl w:val="0"/>
          <w:numId w:val="2"/>
        </w:numPr>
        <w:spacing w:after="70" w:line="276"/>
      </w:pPr>
      <w:r>
        <w:rPr>
          <w:rFonts w:ascii="Calibri" w:cs="Calibri" w:eastAsia="Calibri" w:hAnsi="Calibri"/>
          <w:color w:val="1A1A1A"/>
          <w:sz w:val="20"/>
          <w:szCs w:val="20"/>
        </w:rPr>
        <w:t xml:space="preserve">That a model's observable behaviour did or did not meet a requirement a named person derived from a named clause and froze under a hash before any response was collected.</w:t>
      </w:r>
    </w:p>
    <w:p>
      <w:pPr>
        <w:pStyle w:val="ListParagraph"/>
        <w:numPr>
          <w:ilvl w:val="0"/>
          <w:numId w:val="2"/>
        </w:numPr>
        <w:spacing w:after="70" w:line="276"/>
      </w:pPr>
      <w:r>
        <w:rPr>
          <w:rFonts w:ascii="Calibri" w:cs="Calibri" w:eastAsia="Calibri" w:hAnsi="Calibri"/>
          <w:color w:val="1A1A1A"/>
          <w:sz w:val="20"/>
          <w:szCs w:val="20"/>
        </w:rPr>
        <w:t xml:space="preserve">That four instruction-tuned models, across two independent families, treat otherwise-identical credit applications differently when only the applicant's title changes.</w:t>
      </w:r>
    </w:p>
    <w:p>
      <w:pPr>
        <w:pStyle w:val="ListParagraph"/>
        <w:numPr>
          <w:ilvl w:val="0"/>
          <w:numId w:val="2"/>
        </w:numPr>
        <w:spacing w:after="70" w:line="276"/>
      </w:pPr>
      <w:r>
        <w:rPr>
          <w:rFonts w:ascii="Calibri" w:cs="Calibri" w:eastAsia="Calibri" w:hAnsi="Calibri"/>
          <w:color w:val="1A1A1A"/>
          <w:sz w:val="20"/>
          <w:szCs w:val="20"/>
        </w:rPr>
        <w:t xml:space="preserve">That the test supervisory practice actually applies — the four-fifths rule — detects none of it.</w:t>
      </w:r>
    </w:p>
    <w:p>
      <w:pPr>
        <w:pStyle w:val="Heading2"/>
        <w:spacing w:after="110" w:before="240"/>
      </w:pPr>
      <w:r>
        <w:rPr>
          <w:rFonts w:ascii="Calibri" w:cs="Calibri" w:eastAsia="Calibri" w:hAnsi="Calibri"/>
          <w:b/>
          <w:bCs/>
          <w:color w:val="1E6B34"/>
          <w:sz w:val="23"/>
          <w:szCs w:val="23"/>
        </w:rPr>
        <w:t xml:space="preserve">What it does not establish</w:t>
      </w:r>
    </w:p>
    <w:p>
      <w:pPr>
        <w:pStyle w:val="ListParagraph"/>
        <w:numPr>
          <w:ilvl w:val="0"/>
          <w:numId w:val="2"/>
        </w:numPr>
        <w:spacing w:after="70" w:line="276"/>
      </w:pPr>
      <w:r>
        <w:rPr>
          <w:rFonts w:ascii="Calibri" w:cs="Calibri" w:eastAsia="Calibri" w:hAnsi="Calibri"/>
          <w:color w:val="1A1A1A"/>
          <w:sz w:val="20"/>
          <w:szCs w:val="20"/>
        </w:rPr>
        <w:t xml:space="preserve">Legal compliance. That is a determination about a provider's whole obligation — technical documentation, risk management, human oversight, post-market monitoring — made by a notified body or a court, on evidence a behavioural audit cannot observe.</w:t>
      </w:r>
    </w:p>
    <w:p>
      <w:pPr>
        <w:pStyle w:val="ListParagraph"/>
        <w:numPr>
          <w:ilvl w:val="0"/>
          <w:numId w:val="2"/>
        </w:numPr>
        <w:spacing w:after="70" w:line="276"/>
      </w:pPr>
      <w:r>
        <w:rPr>
          <w:rFonts w:ascii="Calibri" w:cs="Calibri" w:eastAsia="Calibri" w:hAnsi="Calibri"/>
          <w:color w:val="1A1A1A"/>
          <w:sz w:val="20"/>
          <w:szCs w:val="20"/>
        </w:rPr>
        <w:t xml:space="preserve">That language models in general are biased. Four models is four models.</w:t>
      </w:r>
    </w:p>
    <w:p>
      <w:pPr>
        <w:pStyle w:val="ListParagraph"/>
        <w:numPr>
          <w:ilvl w:val="0"/>
          <w:numId w:val="2"/>
        </w:numPr>
        <w:spacing w:after="70" w:line="276"/>
      </w:pPr>
      <w:r>
        <w:rPr>
          <w:rFonts w:ascii="Calibri" w:cs="Calibri" w:eastAsia="Calibri" w:hAnsi="Calibri"/>
          <w:color w:val="1A1A1A"/>
          <w:sz w:val="20"/>
          <w:szCs w:val="20"/>
        </w:rPr>
        <w:t xml:space="preserve">Anything about accuracy against a ground-truth lending decision. The dataset's good/bad label records what a lender decided in 1994. Treating that as correct, inside a discrimination audit, is a claim that would need its own argument.</w:t>
      </w:r>
    </w:p>
    <w:p>
      <w:pPr>
        <w:spacing w:after="140" w:line="276"/>
      </w:pPr>
      <w:r>
        <w:rPr>
          <w:rFonts w:ascii="Calibri" w:cs="Calibri" w:eastAsia="Calibri" w:hAnsi="Calibri"/>
          <w:i/>
          <w:iCs/>
          <w:color w:val="5F6368"/>
          <w:sz w:val="19"/>
          <w:szCs w:val="19"/>
        </w:rPr>
        <w:t xml:space="preserve">The report generator enforces this distinction in code: report.check_language raises on “complies”, “certified”, “proves”, “biased” and “safe”. An overclaiming report cannot be produced by accident.</w:t>
      </w:r>
    </w:p>
    <w:p>
      <w:pPr>
        <w:pStyle w:val="Heading1"/>
        <w:spacing w:after="130" w:before="340"/>
      </w:pPr>
      <w:r>
        <w:rPr>
          <w:rFonts w:ascii="Calibri" w:cs="Calibri" w:eastAsia="Calibri" w:hAnsi="Calibri"/>
          <w:b/>
          <w:bCs/>
          <w:color w:val="1A1A1A"/>
          <w:sz w:val="28"/>
          <w:szCs w:val="28"/>
        </w:rPr>
        <w:t xml:space="preserve">2.  Main findings</w:t>
      </w:r>
    </w:p>
    <w:p>
      <w:pPr>
        <w:pStyle w:val="Heading2"/>
        <w:spacing w:after="110" w:before="240"/>
      </w:pPr>
      <w:r>
        <w:rPr>
          <w:rFonts w:ascii="Calibri" w:cs="Calibri" w:eastAsia="Calibri" w:hAnsi="Calibri"/>
          <w:b/>
          <w:bCs/>
          <w:color w:val="1E6B34"/>
          <w:sz w:val="23"/>
          <w:szCs w:val="23"/>
        </w:rPr>
        <w:t xml:space="preserve">Finding 1 — all four models favour the female-titled applicant</w:t>
      </w:r>
    </w:p>
    <w:p>
      <w:pPr>
        <w:spacing w:after="120" w:before="0" w:line="276"/>
      </w:pPr>
      <w:r>
        <w:rPr>
          <w:rFonts w:ascii="Calibri" w:cs="Calibri" w:eastAsia="Calibri" w:hAnsi="Calibri"/>
          <w:b w:val="false"/>
          <w:bCs w:val="false"/>
          <w:i w:val="false"/>
          <w:iCs w:val="false"/>
          <w:color w:val="1A1A1A"/>
          <w:sz w:val="21"/>
          <w:szCs w:val="21"/>
        </w:rPr>
        <w:t xml:space="preserve">Each application is rendered twice, differing in exactly one token: Mr. or Ms. Every other field is byte-identical. Where a model decided the two renderings differently, the direction of that difference is the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3"/>
        <w:gridCol w:w="1030"/>
        <w:gridCol w:w="1591"/>
        <w:gridCol w:w="1217"/>
        <w:gridCol w:w="1498"/>
        <w:gridCol w:w="1872"/>
      </w:tblGrid>
      <w:tr>
        <w:tc>
          <w:tcPr>
            <w:tcW w:type="dxa" w:w="2153"/>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Model</w:t>
            </w:r>
          </w:p>
        </w:tc>
        <w:tc>
          <w:tcPr>
            <w:tcW w:type="dxa" w:w="1030"/>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Gap</w:t>
            </w:r>
          </w:p>
        </w:tc>
        <w:tc>
          <w:tcPr>
            <w:tcW w:type="dxa" w:w="1591"/>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95% interval</w:t>
            </w:r>
          </w:p>
        </w:tc>
        <w:tc>
          <w:tcPr>
            <w:tcW w:type="dxa" w:w="1217"/>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p</w:t>
            </w:r>
          </w:p>
        </w:tc>
        <w:tc>
          <w:tcPr>
            <w:tcW w:type="dxa" w:w="1498"/>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Discordant F : M</w:t>
            </w:r>
          </w:p>
        </w:tc>
        <w:tc>
          <w:tcPr>
            <w:tcW w:type="dxa" w:w="1872"/>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Verdict</w:t>
            </w:r>
          </w:p>
        </w:tc>
      </w:tr>
      <w:tr>
        <w:tc>
          <w:tcPr>
            <w:tcW w:type="dxa" w:w="2153"/>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Qwen2.5-7B-Instruct</w:t>
            </w:r>
          </w:p>
        </w:tc>
        <w:tc>
          <w:tcPr>
            <w:tcW w:type="dxa" w:w="103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+2.04 pp</w:t>
            </w:r>
          </w:p>
        </w:tc>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+1.55 to +2.61</w:t>
            </w:r>
          </w:p>
        </w:tc>
        <w:tc>
          <w:tcPr>
            <w:tcW w:type="dxa" w:w="1217"/>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 × 10⁻¹⁶</w:t>
            </w:r>
          </w:p>
        </w:tc>
        <w:tc>
          <w:tcPr>
            <w:tcW w:type="dxa" w:w="149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59 : 1</w:t>
            </w:r>
          </w:p>
        </w:tc>
        <w:tc>
          <w:tcPr>
            <w:tcW w:type="dxa" w:w="1872"/>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FAIL</w:t>
            </w:r>
          </w:p>
        </w:tc>
      </w:tr>
      <w:tr>
        <w:tc>
          <w:tcPr>
            <w:tcW w:type="dxa" w:w="2153"/>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Qwen2.5-32B-Instruct</w:t>
            </w:r>
          </w:p>
        </w:tc>
        <w:tc>
          <w:tcPr>
            <w:tcW w:type="dxa" w:w="103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+0.77 pp</w:t>
            </w:r>
          </w:p>
        </w:tc>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+0.27 to +1.31</w:t>
            </w:r>
          </w:p>
        </w:tc>
        <w:tc>
          <w:tcPr>
            <w:tcW w:type="dxa" w:w="1217"/>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4.6 × 10⁻³</w:t>
            </w:r>
          </w:p>
        </w:tc>
        <w:tc>
          <w:tcPr>
            <w:tcW w:type="dxa" w:w="149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39 : 17</w:t>
            </w:r>
          </w:p>
        </w:tc>
        <w:tc>
          <w:tcPr>
            <w:tcW w:type="dxa" w:w="1872"/>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UNDETERMINED</w:t>
            </w:r>
          </w:p>
        </w:tc>
      </w:tr>
      <w:tr>
        <w:tc>
          <w:tcPr>
            <w:tcW w:type="dxa" w:w="2153"/>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Llama-3.1-8B-Instruct</w:t>
            </w:r>
          </w:p>
        </w:tc>
        <w:tc>
          <w:tcPr>
            <w:tcW w:type="dxa" w:w="103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+1.27 pp</w:t>
            </w:r>
          </w:p>
        </w:tc>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+0.90 to +1.72</w:t>
            </w:r>
          </w:p>
        </w:tc>
        <w:tc>
          <w:tcPr>
            <w:tcW w:type="dxa" w:w="1217"/>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2.9 × 10⁻¹¹</w:t>
            </w:r>
          </w:p>
        </w:tc>
        <w:tc>
          <w:tcPr>
            <w:tcW w:type="dxa" w:w="149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36 : 0</w:t>
            </w:r>
          </w:p>
        </w:tc>
        <w:tc>
          <w:tcPr>
            <w:tcW w:type="dxa" w:w="1872"/>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FAIL</w:t>
            </w:r>
          </w:p>
        </w:tc>
      </w:tr>
      <w:tr>
        <w:tc>
          <w:tcPr>
            <w:tcW w:type="dxa" w:w="2153"/>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Llama-3.1-70B-Instruct</w:t>
            </w:r>
          </w:p>
        </w:tc>
        <w:tc>
          <w:tcPr>
            <w:tcW w:type="dxa" w:w="103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+0.18 pp</w:t>
            </w:r>
          </w:p>
        </w:tc>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+0.05 to +0.38</w:t>
            </w:r>
          </w:p>
        </w:tc>
        <w:tc>
          <w:tcPr>
            <w:tcW w:type="dxa" w:w="1217"/>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6.3 × 10⁻² †</w:t>
            </w:r>
          </w:p>
        </w:tc>
        <w:tc>
          <w:tcPr>
            <w:tcW w:type="dxa" w:w="149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 0</w:t>
            </w:r>
          </w:p>
        </w:tc>
        <w:tc>
          <w:tcPr>
            <w:tcW w:type="dxa" w:w="1872"/>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PASS</w:t>
            </w:r>
          </w:p>
        </w:tc>
      </w:tr>
    </w:tbl>
    <w:p>
      <w:pPr>
        <w:spacing w:after="120" w:before="120" w:line="276"/>
      </w:pPr>
      <w:r>
        <w:rPr>
          <w:rFonts w:ascii="Calibri" w:cs="Calibri" w:eastAsia="Calibri" w:hAnsi="Calibri"/>
          <w:b/>
          <w:bCs/>
          <w:i w:val="false"/>
          <w:iCs w:val="false"/>
          <w:color w:val="1A1A1A"/>
          <w:sz w:val="21"/>
          <w:szCs w:val="21"/>
        </w:rPr>
        <w:t xml:space="preserve">Pooled: </w:t>
      </w:r>
      <w:r>
        <w:rPr>
          <w:rFonts w:ascii="Calibri" w:cs="Calibri" w:eastAsia="Calibri" w:hAnsi="Calibri"/>
          <w:b/>
          <w:bCs/>
          <w:i w:val="false"/>
          <w:iCs w:val="false"/>
          <w:color w:val="1A1A1A"/>
          <w:sz w:val="21"/>
          <w:szCs w:val="21"/>
        </w:rPr>
        <w:t xml:space="preserve">139 discordant pairs favour the female-titled applicant against 18 favouring the male — 88.5% [82.6, 92.6], exact McNemar p = 2.4 × 10⁻²⁴.</w:t>
      </w:r>
    </w:p>
    <w:p>
      <w:pPr>
        <w:spacing w:after="140" w:line="276"/>
      </w:pPr>
      <w:r>
        <w:rPr>
          <w:rFonts w:ascii="Calibri" w:cs="Calibri" w:eastAsia="Calibri" w:hAnsi="Calibri"/>
          <w:i/>
          <w:iCs/>
          <w:color w:val="5F6368"/>
          <w:sz w:val="19"/>
          <w:szCs w:val="19"/>
        </w:rPr>
        <w:t xml:space="preserve">† Underdetermined rather than null: five discordant pairs, below the floor of six at which an exact sign test can reject at any split. The PASS is earned by equivalence — the effect is shown to be under 1.0 pp — not by failing to find a difference. The report carries that caveat on the same line as the verdict.</w:t>
      </w:r>
    </w:p>
    <w:p>
      <w:pPr>
        <w:pStyle w:val="Heading2"/>
        <w:spacing w:after="110" w:before="240"/>
      </w:pPr>
      <w:r>
        <w:rPr>
          <w:rFonts w:ascii="Calibri" w:cs="Calibri" w:eastAsia="Calibri" w:hAnsi="Calibri"/>
          <w:b/>
          <w:bCs/>
          <w:color w:val="1E6B34"/>
          <w:sz w:val="23"/>
          <w:szCs w:val="23"/>
        </w:rPr>
        <w:t xml:space="preserve">Finding 2 — the supervisory test clears all four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059"/>
        <w:gridCol w:w="1685"/>
        <w:gridCol w:w="3370"/>
      </w:tblGrid>
      <w:tr>
        <w:tc>
          <w:tcPr>
            <w:tcW w:type="dxa" w:w="2246"/>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Model</w:t>
            </w:r>
          </w:p>
        </w:tc>
        <w:tc>
          <w:tcPr>
            <w:tcW w:type="dxa" w:w="2059"/>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Adverse impact ratio</w:t>
            </w:r>
          </w:p>
        </w:tc>
        <w:tc>
          <w:tcPr>
            <w:tcW w:type="dxa" w:w="1685"/>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Four-fifths rule</w:t>
            </w:r>
          </w:p>
        </w:tc>
        <w:tc>
          <w:tcPr>
            <w:tcW w:type="dxa" w:w="3370"/>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Matched-pair test</w:t>
            </w:r>
          </w:p>
        </w:tc>
      </w:tr>
      <w:tr>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Qwen2.5-7B</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1.125</w:t>
            </w:r>
          </w:p>
        </w:tc>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PASSES</w:t>
            </w:r>
          </w:p>
        </w:tc>
        <w:tc>
          <w:tcPr>
            <w:tcW w:type="dxa" w:w="337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rejects, p = 1.1 × 10⁻¹⁶</w:t>
            </w:r>
          </w:p>
        </w:tc>
      </w:tr>
      <w:tr>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Qwen2.5-32B</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1.039</w:t>
            </w:r>
          </w:p>
        </w:tc>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PASSES</w:t>
            </w:r>
          </w:p>
        </w:tc>
        <w:tc>
          <w:tcPr>
            <w:tcW w:type="dxa" w:w="337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rejects, p = 4.6 × 10⁻³</w:t>
            </w:r>
          </w:p>
        </w:tc>
      </w:tr>
      <w:tr>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Llama-3.1-8B</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1.014</w:t>
            </w:r>
          </w:p>
        </w:tc>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PASSES</w:t>
            </w:r>
          </w:p>
        </w:tc>
        <w:tc>
          <w:tcPr>
            <w:tcW w:type="dxa" w:w="337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rejects, p = 2.9 × 10⁻¹¹</w:t>
            </w:r>
          </w:p>
        </w:tc>
      </w:tr>
      <w:tr>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Llama-3.1-70B</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1.006</w:t>
            </w:r>
          </w:p>
        </w:tc>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PASSES</w:t>
            </w:r>
          </w:p>
        </w:tc>
        <w:tc>
          <w:tcPr>
            <w:tcW w:type="dxa" w:w="337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underdetermined</w:t>
            </w:r>
          </w:p>
        </w:tc>
      </w:tr>
    </w:tbl>
    <w:p>
      <w:pPr>
        <w:spacing w:after="120" w:before="100" w:line="276"/>
      </w:pPr>
      <w:r>
        <w:rPr>
          <w:rFonts w:ascii="Calibri" w:cs="Calibri" w:eastAsia="Calibri" w:hAnsi="Calibri"/>
          <w:b w:val="false"/>
          <w:bCs w:val="false"/>
          <w:i w:val="false"/>
          <w:iCs w:val="false"/>
          <w:color w:val="1A1A1A"/>
          <w:sz w:val="21"/>
          <w:szCs w:val="21"/>
        </w:rPr>
        <w:t xml:space="preserve">This is the contribution. The two tests answer different questions. The four-fifths rule compares aggregate approval rates between groups: it asks whether women as a class are approved as often as men. A matched-pair design asks whether the same applicant is decided differently when the title changes. Article 10(2)(f) concerns discrimination against persons, which is individual-level, and an aggregate gap of zero is perfectly compatible with every individual being treated differently in offsetting directions.</w:t>
      </w:r>
    </w:p>
    <w:p>
      <w:pPr>
        <w:pStyle w:val="Heading2"/>
        <w:spacing w:after="110" w:before="240"/>
      </w:pPr>
      <w:r>
        <w:rPr>
          <w:rFonts w:ascii="Calibri" w:cs="Calibri" w:eastAsia="Calibri" w:hAnsi="Calibri"/>
          <w:b/>
          <w:bCs/>
          <w:color w:val="1E6B34"/>
          <w:sz w:val="23"/>
          <w:szCs w:val="23"/>
        </w:rPr>
        <w:t xml:space="preserve">Finding 3 — scale shrinks the effect in both families, by opposite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872"/>
        <w:gridCol w:w="1872"/>
        <w:gridCol w:w="3931"/>
      </w:tblGrid>
      <w:tr>
        <w:tc>
          <w:tcPr>
            <w:tcW w:type="dxa" w:w="1685"/>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Family</w:t>
            </w:r>
          </w:p>
        </w:tc>
        <w:tc>
          <w:tcPr>
            <w:tcW w:type="dxa" w:w="1872"/>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Discordance</w:t>
            </w:r>
          </w:p>
        </w:tc>
        <w:tc>
          <w:tcPr>
            <w:tcW w:type="dxa" w:w="1872"/>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Odds ratio</w:t>
            </w:r>
          </w:p>
        </w:tc>
        <w:tc>
          <w:tcPr>
            <w:tcW w:type="dxa" w:w="3931"/>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Mechanism</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Qwen 7B → 32B</w:t>
            </w:r>
          </w:p>
        </w:tc>
        <w:tc>
          <w:tcPr>
            <w:tcW w:type="dxa" w:w="1872"/>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59 : 1  →  39 : 17</w:t>
            </w:r>
          </w:p>
        </w:tc>
        <w:tc>
          <w:tcPr>
            <w:tcW w:type="dxa" w:w="1872"/>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59.0 → 2.29</w:t>
            </w:r>
          </w:p>
        </w:tc>
        <w:tc>
          <w:tcPr>
            <w:tcW w:type="dxa" w:w="393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Becomes NOISIER — now flips in both directions</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Llama 8B → 70B</w:t>
            </w:r>
          </w:p>
        </w:tc>
        <w:tc>
          <w:tcPr>
            <w:tcW w:type="dxa" w:w="1872"/>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36 : 0  →  5 : 0</w:t>
            </w:r>
          </w:p>
        </w:tc>
        <w:tc>
          <w:tcPr>
            <w:tcW w:type="dxa" w:w="1872"/>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reversals at either size</w:t>
            </w:r>
          </w:p>
        </w:tc>
        <w:tc>
          <w:tcPr>
            <w:tcW w:type="dxa" w:w="393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Becomes MORE DETERMINISTIC — far fewer flips, still unanimous</w:t>
            </w:r>
          </w:p>
        </w:tc>
      </w:tr>
    </w:tbl>
    <w:p>
      <w:pPr>
        <w:spacing w:after="120" w:before="100" w:line="276"/>
      </w:pPr>
      <w:r>
        <w:rPr>
          <w:rFonts w:ascii="Calibri" w:cs="Calibri" w:eastAsia="Calibri" w:hAnsi="Calibri"/>
          <w:b w:val="false"/>
          <w:bCs w:val="false"/>
          <w:i w:val="false"/>
          <w:iCs w:val="false"/>
          <w:color w:val="1A1A1A"/>
          <w:sz w:val="21"/>
          <w:szCs w:val="21"/>
        </w:rPr>
        <w:t xml:space="preserve">The larger Qwen model is not more even-handed; it is less consistent, and the asymmetry washes out. The larger Llama model genuinely flips less often, and every flip it still makes runs the same way. A metric reporting only the gap would call these the same result. The distinction is available only because the design is matched-pair.</w:t>
      </w:r>
    </w:p>
    <w:p>
      <w:pPr>
        <w:pStyle w:val="Heading2"/>
        <w:spacing w:after="110" w:before="240"/>
      </w:pPr>
      <w:r>
        <w:rPr>
          <w:rFonts w:ascii="Calibri" w:cs="Calibri" w:eastAsia="Calibri" w:hAnsi="Calibri"/>
          <w:b/>
          <w:bCs/>
          <w:color w:val="1E6B34"/>
          <w:sz w:val="23"/>
          <w:szCs w:val="23"/>
        </w:rPr>
        <w:t xml:space="preserve">Finding 4 — robustness moves the other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306"/>
        <w:gridCol w:w="2808"/>
      </w:tblGrid>
      <w:tr>
        <w:tc>
          <w:tcPr>
            <w:tcW w:type="dxa" w:w="2246"/>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Model</w:t>
            </w:r>
          </w:p>
        </w:tc>
        <w:tc>
          <w:tcPr>
            <w:tcW w:type="dxa" w:w="4306"/>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Applications changing decision under rewording</w:t>
            </w:r>
          </w:p>
        </w:tc>
        <w:tc>
          <w:tcPr>
            <w:tcW w:type="dxa" w:w="2808"/>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Verdict at 0.05</w:t>
            </w:r>
          </w:p>
        </w:tc>
      </w:tr>
      <w:tr>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Qwen2.5-7B</w:t>
            </w:r>
          </w:p>
        </w:tc>
        <w:tc>
          <w:tcPr>
            <w:tcW w:type="dxa" w:w="430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17.66%  [15.05, 20.60]</w:t>
            </w:r>
          </w:p>
        </w:tc>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FAIL</w:t>
            </w:r>
          </w:p>
        </w:tc>
      </w:tr>
      <w:tr>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Qwen2.5-32B</w:t>
            </w:r>
          </w:p>
        </w:tc>
        <w:tc>
          <w:tcPr>
            <w:tcW w:type="dxa" w:w="430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33.52%</w:t>
            </w:r>
          </w:p>
        </w:tc>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FAIL</w:t>
            </w:r>
          </w:p>
        </w:tc>
      </w:tr>
      <w:tr>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Llama-3.1-8B</w:t>
            </w:r>
          </w:p>
        </w:tc>
        <w:tc>
          <w:tcPr>
            <w:tcW w:type="dxa" w:w="430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17.66%</w:t>
            </w:r>
          </w:p>
        </w:tc>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FAIL</w:t>
            </w:r>
          </w:p>
        </w:tc>
      </w:tr>
      <w:tr>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Llama-3.1-70B</w:t>
            </w:r>
          </w:p>
        </w:tc>
        <w:tc>
          <w:tcPr>
            <w:tcW w:type="dxa" w:w="430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15.72%</w:t>
            </w:r>
          </w:p>
        </w:tc>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FAIL</w:t>
            </w:r>
          </w:p>
        </w:tc>
      </w:tr>
    </w:tbl>
    <w:p>
      <w:pPr>
        <w:spacing w:after="120" w:before="100" w:line="276"/>
      </w:pPr>
      <w:r>
        <w:rPr>
          <w:rFonts w:ascii="Calibri" w:cs="Calibri" w:eastAsia="Calibri" w:hAnsi="Calibri"/>
          <w:b w:val="false"/>
          <w:bCs w:val="false"/>
          <w:i w:val="false"/>
          <w:iCs w:val="false"/>
          <w:color w:val="1A1A1A"/>
          <w:sz w:val="21"/>
          <w:szCs w:val="21"/>
        </w:rPr>
        <w:t xml:space="preserve">Scale improves fairness and explanation quality in both families. It does not improve robustness, and in Qwen it nearly doubles the flip rate. All four fail by a wide margin — a FAIL by demonstrated non-conformity, not by a missing pass.</w:t>
      </w:r>
    </w:p>
    <w:p>
      <w:pPr>
        <w:pStyle w:val="Heading2"/>
        <w:spacing w:after="110" w:before="240"/>
      </w:pPr>
      <w:r>
        <w:rPr>
          <w:rFonts w:ascii="Calibri" w:cs="Calibri" w:eastAsia="Calibri" w:hAnsi="Calibri"/>
          <w:b/>
          <w:bCs/>
          <w:color w:val="1E6B34"/>
          <w:sz w:val="23"/>
          <w:szCs w:val="23"/>
        </w:rPr>
        <w:t xml:space="preserve">Finding 5 — the conformal gate certifies nothing, and that is the right answer</w:t>
      </w:r>
    </w:p>
    <w:p>
      <w:pPr>
        <w:spacing w:after="120" w:before="0" w:line="276"/>
      </w:pPr>
      <w:r>
        <w:rPr>
          <w:rFonts w:ascii="Calibri" w:cs="Calibri" w:eastAsia="Calibri" w:hAnsi="Calibri"/>
          <w:b w:val="false"/>
          <w:bCs w:val="false"/>
          <w:i w:val="false"/>
          <w:iCs w:val="false"/>
          <w:color w:val="1A1A1A"/>
          <w:sz w:val="21"/>
          <w:szCs w:val="21"/>
        </w:rPr>
        <w:t xml:space="preserve">With zero observed errors the exact Clopper–Pearson bound from n calibration points is 1 − δ^(1/n), which first reaches α at n = log δ / log(1−α). For α = δ = 0.05 that is 59 points. The seed bank supplies 6. So the gate accepts nothing, every non-computed item escalates to a human, and the split is 6 Green / 0 Amber / 14 escalated — 70% leakage.</w:t>
      </w:r>
    </w:p>
    <w:p>
      <w:pPr>
        <w:spacing w:after="120" w:before="0" w:line="276"/>
      </w:pPr>
      <w:r>
        <w:rPr>
          <w:rFonts w:ascii="Calibri" w:cs="Calibri" w:eastAsia="Calibri" w:hAnsi="Calibri"/>
          <w:b w:val="false"/>
          <w:bCs w:val="false"/>
          <w:i w:val="false"/>
          <w:iCs w:val="false"/>
          <w:color w:val="1A1A1A"/>
          <w:sz w:val="21"/>
          <w:szCs w:val="21"/>
        </w:rPr>
        <w:t xml:space="preserve">The alternative is quoting a 5% error bound that six points cannot support. A gate that refuses is working.</w:t>
      </w:r>
    </w:p>
    <w:p>
      <w:pPr>
        <w:pStyle w:val="Heading1"/>
        <w:spacing w:after="130" w:before="340"/>
      </w:pPr>
      <w:r>
        <w:rPr>
          <w:rFonts w:ascii="Calibri" w:cs="Calibri" w:eastAsia="Calibri" w:hAnsi="Calibri"/>
          <w:b/>
          <w:bCs/>
          <w:color w:val="1A1A1A"/>
          <w:sz w:val="28"/>
          <w:szCs w:val="28"/>
        </w:rPr>
        <w:t xml:space="preserve">3.  Why probes, and not a benchmark</w:t>
      </w:r>
    </w:p>
    <w:p>
      <w:pPr>
        <w:spacing w:after="90" w:before="230"/>
      </w:pPr>
      <w:r>
        <w:rPr>
          <w:rFonts w:ascii="Calibri" w:cs="Calibri" w:eastAsia="Calibri" w:hAnsi="Calibri"/>
          <w:b/>
          <w:bCs/>
          <w:color w:val="1A1A1A"/>
          <w:sz w:val="22"/>
          <w:szCs w:val="22"/>
        </w:rPr>
        <w:t xml:space="preserve">Q.  Why not evaluate on MMLU, HELM, BBQ or an existing fairness benchmark?</w:t>
      </w:r>
    </w:p>
    <w:p>
      <w:pPr>
        <w:spacing w:after="120" w:before="0" w:line="276"/>
      </w:pPr>
      <w:r>
        <w:rPr>
          <w:rFonts w:ascii="Calibri" w:cs="Calibri" w:eastAsia="Calibri" w:hAnsi="Calibri"/>
          <w:b w:val="false"/>
          <w:bCs w:val="false"/>
          <w:i w:val="false"/>
          <w:iCs w:val="false"/>
          <w:color w:val="1A1A1A"/>
          <w:sz w:val="21"/>
          <w:szCs w:val="21"/>
        </w:rPr>
        <w:t xml:space="preserve">Because a benchmark measures capability and an audit measures conformity, and the question a benchmark asks was chosen by its author, not by the legislator.</w:t>
      </w:r>
    </w:p>
    <w:p>
      <w:pPr>
        <w:pStyle w:val="ListParagraph"/>
        <w:numPr>
          <w:ilvl w:val="0"/>
          <w:numId w:val="2"/>
        </w:numPr>
        <w:spacing w:after="70" w:line="276"/>
      </w:pPr>
      <w:r>
        <w:rPr>
          <w:rFonts w:ascii="Calibri" w:cs="Calibri" w:eastAsia="Calibri" w:hAnsi="Calibri"/>
          <w:color w:val="1A1A1A"/>
          <w:sz w:val="20"/>
          <w:szCs w:val="20"/>
        </w:rPr>
        <w:t xml:space="preserve">The questions have to derive from the obligation. A probe here is generated from the signed criterion for a specific clause, so every finding traces back: finding → probe → requirement → clause → the exact text a human approved. A benchmark score traces back to whatever its authors thought was interesting in the year they built it.</w:t>
      </w:r>
    </w:p>
    <w:p>
      <w:pPr>
        <w:pStyle w:val="ListParagraph"/>
        <w:numPr>
          <w:ilvl w:val="0"/>
          <w:numId w:val="2"/>
        </w:numPr>
        <w:spacing w:after="70" w:line="276"/>
      </w:pPr>
      <w:r>
        <w:rPr>
          <w:rFonts w:ascii="Calibri" w:cs="Calibri" w:eastAsia="Calibri" w:hAnsi="Calibri"/>
          <w:color w:val="1A1A1A"/>
          <w:sz w:val="20"/>
          <w:szCs w:val="20"/>
        </w:rPr>
        <w:t xml:space="preserve">The design a matched-pair test needs does not exist as a dataset. It requires counterbalanced pairs over real applicant records differing in exactly one token, stratified by credit strength, with the profile RNG derived from the case key and never from the arm. No public benchmark supplies that.</w:t>
      </w:r>
    </w:p>
    <w:p>
      <w:pPr>
        <w:pStyle w:val="ListParagraph"/>
        <w:numPr>
          <w:ilvl w:val="0"/>
          <w:numId w:val="2"/>
        </w:numPr>
        <w:spacing w:after="70" w:line="276"/>
      </w:pPr>
      <w:r>
        <w:rPr>
          <w:rFonts w:ascii="Calibri" w:cs="Calibri" w:eastAsia="Calibri" w:hAnsi="Calibri"/>
          <w:color w:val="1A1A1A"/>
          <w:sz w:val="20"/>
          <w:szCs w:val="20"/>
        </w:rPr>
        <w:t xml:space="preserve">A benchmark cannot follow the law. When the Act, or the interpretation of a clause, changes, the checklist changes and the probes regenerate from it. A fixed benchmark is frozen at publication.</w:t>
      </w:r>
    </w:p>
    <w:p>
      <w:pPr>
        <w:pStyle w:val="ListParagraph"/>
        <w:numPr>
          <w:ilvl w:val="0"/>
          <w:numId w:val="2"/>
        </w:numPr>
        <w:spacing w:after="70" w:line="276"/>
      </w:pPr>
      <w:r>
        <w:rPr>
          <w:rFonts w:ascii="Calibri" w:cs="Calibri" w:eastAsia="Calibri" w:hAnsi="Calibri"/>
          <w:color w:val="1A1A1A"/>
          <w:sz w:val="20"/>
          <w:szCs w:val="20"/>
        </w:rPr>
        <w:t xml:space="preserve">The system under audit must not see the law. assert_no_leakage runs on every probe at construction and refuses any prompt containing legal or audit vocabulary. Probes read as ordinary retail banking work. A model that can tell it is being audited is not being audited.</w:t>
      </w:r>
    </w:p>
    <w:p>
      <w:pPr>
        <w:pStyle w:val="Heading2"/>
        <w:spacing w:after="110" w:before="240"/>
      </w:pPr>
      <w:r>
        <w:rPr>
          <w:rFonts w:ascii="Calibri" w:cs="Calibri" w:eastAsia="Calibri" w:hAnsi="Calibri"/>
          <w:b/>
          <w:bCs/>
          <w:color w:val="1E6B34"/>
          <w:sz w:val="23"/>
          <w:szCs w:val="23"/>
        </w:rPr>
        <w:t xml:space="preserve">What a probe set costs in trust, and how that is managed</w:t>
      </w:r>
    </w:p>
    <w:p>
      <w:pPr>
        <w:spacing w:after="120" w:before="0" w:line="276"/>
      </w:pPr>
      <w:r>
        <w:rPr>
          <w:rFonts w:ascii="Calibri" w:cs="Calibri" w:eastAsia="Calibri" w:hAnsi="Calibri"/>
          <w:b w:val="false"/>
          <w:bCs w:val="false"/>
          <w:i w:val="false"/>
          <w:iCs w:val="false"/>
          <w:color w:val="1A1A1A"/>
          <w:sz w:val="21"/>
          <w:szCs w:val="21"/>
        </w:rPr>
        <w:t xml:space="preserve">A generated corpus is only as good as its invariants, so two are enforced at construction rather than checked afterwards: the applicant profile is derived from the case key and never from the arm, and _assert_counterbalanced raises if two arms of a pair differ in anything but the axis slot. Perturbations must leave the prompt's digit multiset unchanged.</w:t>
      </w:r>
    </w:p>
    <w:p>
      <w:pPr>
        <w:spacing w:after="120" w:before="0" w:line="276"/>
      </w:pPr>
      <w:r>
        <w:rPr>
          <w:rFonts w:ascii="Calibri" w:cs="Calibri" w:eastAsia="Calibri" w:hAnsi="Calibri"/>
          <w:b w:val="false"/>
          <w:bCs w:val="false"/>
          <w:i w:val="false"/>
          <w:iCs w:val="false"/>
          <w:color w:val="1A1A1A"/>
          <w:sz w:val="21"/>
          <w:szCs w:val="21"/>
        </w:rPr>
        <w:t xml:space="preserve">The set is then scored twice in the tests. A scorer blind to the protected arm must produce a gap of exactly 0.0, and a scorer with a deliberately injected bias must show that bias, localised to the stratum it was injected into. A probe set that cannot detect a bias put there on purpose could not detect a real one.</w:t>
      </w:r>
    </w:p>
    <w:p>
      <w:pPr>
        <w:spacing w:after="140" w:line="276"/>
      </w:pPr>
      <w:r>
        <w:rPr>
          <w:rFonts w:ascii="Calibri" w:cs="Calibri" w:eastAsia="Calibri" w:hAnsi="Calibri"/>
          <w:i/>
          <w:iCs/>
          <w:color w:val="5F6368"/>
          <w:sz w:val="19"/>
          <w:szCs w:val="19"/>
        </w:rPr>
        <w:t xml:space="preserve">The entire authored content of 14,825 prompts is fourteen template strings — about 405 words of English. A reviewer can audit the whole stimulus by reading one page. A model-generated set of the same size could not be inspected at all.</w:t>
      </w:r>
    </w:p>
    <w:p>
      <w:pPr>
        <w:pStyle w:val="Heading1"/>
        <w:spacing w:after="130" w:before="340"/>
      </w:pPr>
      <w:r>
        <w:rPr>
          <w:rFonts w:ascii="Calibri" w:cs="Calibri" w:eastAsia="Calibri" w:hAnsi="Calibri"/>
          <w:b/>
          <w:bCs/>
          <w:color w:val="1A1A1A"/>
          <w:sz w:val="28"/>
          <w:szCs w:val="28"/>
        </w:rPr>
        <w:t xml:space="preserve">4.  Why these statistics, and not the obvious ones</w:t>
      </w:r>
    </w:p>
    <w:p>
      <w:pPr>
        <w:spacing w:after="120" w:before="0" w:line="276"/>
      </w:pPr>
      <w:r>
        <w:rPr>
          <w:rFonts w:ascii="Calibri" w:cs="Calibri" w:eastAsia="Calibri" w:hAnsi="Calibri"/>
          <w:b w:val="false"/>
          <w:bCs w:val="false"/>
          <w:i w:val="false"/>
          <w:iCs w:val="false"/>
          <w:color w:val="1A1A1A"/>
          <w:sz w:val="21"/>
          <w:szCs w:val="21"/>
        </w:rPr>
        <w:t xml:space="preserve">The jury is pure arithmetic — standard library only, no model anywhere. Every estimator in it was chosen against a more common alternative, and the reason matters because the common alternative fails in exactly the regime this study lives in: small discordant counts and proportions near a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2059"/>
        <w:gridCol w:w="2059"/>
        <w:gridCol w:w="3650"/>
      </w:tblGrid>
      <w:tr>
        <w:tc>
          <w:tcPr>
            <w:tcW w:type="dxa" w:w="1591"/>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Where</w:t>
            </w:r>
          </w:p>
        </w:tc>
        <w:tc>
          <w:tcPr>
            <w:tcW w:type="dxa" w:w="2059"/>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Chosen</w:t>
            </w:r>
          </w:p>
        </w:tc>
        <w:tc>
          <w:tcPr>
            <w:tcW w:type="dxa" w:w="2059"/>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Instead of</w:t>
            </w:r>
          </w:p>
        </w:tc>
        <w:tc>
          <w:tcPr>
            <w:tcW w:type="dxa" w:w="3650"/>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Why</w:t>
            </w:r>
          </w:p>
        </w:tc>
      </w:tr>
      <w:tr>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Paired difference, significance</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Exact McNemar (binomial sign test on discordant pairs)</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McNemar χ² with continuity correction</w:t>
            </w:r>
          </w:p>
        </w:tc>
        <w:tc>
          <w:tcPr>
            <w:tcW w:type="dxa" w:w="365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χ² approximation is unreliable below roughly 25 discordant pairs. This study has 5, 36, 56 and 60. The entire finding lives in those cells, so an approximation there is not a convenience, it is the result.</w:t>
            </w:r>
          </w:p>
        </w:tc>
      </w:tr>
      <w:tr>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Paired difference, interval</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Profile-likelihood</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Wald / normal approximation</w:t>
            </w:r>
          </w:p>
        </w:tc>
        <w:tc>
          <w:tcPr>
            <w:tcW w:type="dxa" w:w="365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Wald intervals on a paired difference behave badly with sparse discordance and can extend outside [−1, 1]. Profile-likelihood respects the parameter space and keeps coverage at small counts.</w:t>
            </w:r>
          </w:p>
        </w:tc>
      </w:tr>
      <w:tr>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single proportion</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Wilson score</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Wald</w:t>
            </w:r>
          </w:p>
        </w:tc>
        <w:tc>
          <w:tcPr>
            <w:tcW w:type="dxa" w:w="365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Wald coverage collapses near 0 and 1 — exactly where an adequacy rate of 95% or a flip rate of 2% sits. Wilson holds nominal coverage at small n.</w:t>
            </w:r>
          </w:p>
        </w:tc>
      </w:tr>
      <w:tr>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guaranteed bound</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Clopper–Pearson (exact)</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Wilson</w:t>
            </w:r>
          </w:p>
        </w:tc>
        <w:tc>
          <w:tcPr>
            <w:tcW w:type="dxa" w:w="365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Used only in the conformal gate, where the requirement is a bound that is never anti-conservative. Clopper–Pearson is conservative by construction, which is the wrong default for reporting and the right one for a guarantee.</w:t>
            </w:r>
          </w:p>
        </w:tc>
      </w:tr>
      <w:tr>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Difference of two independent rates</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Newcombe hybrid-score</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Wald on the difference</w:t>
            </w:r>
          </w:p>
        </w:tc>
        <w:tc>
          <w:tcPr>
            <w:tcW w:type="dxa" w:w="365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Inherits Wilson's small-sample behaviour on each arm rather than compounding two bad approximations.</w:t>
            </w:r>
          </w:p>
        </w:tc>
      </w:tr>
      <w:tr>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Equivalence</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TOST — two one-sided tests</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non-significant test read as “no effect”</w:t>
            </w:r>
          </w:p>
        </w:tc>
        <w:tc>
          <w:tcPr>
            <w:tcW w:type="dxa" w:w="365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Absence of evidence is not evidence of absence. Without TOST, a PASS is awarded for failing to find something, which rewards a small sample.</w:t>
            </w:r>
          </w:p>
        </w:tc>
      </w:tr>
      <w:tr>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Multiplicity</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Holm–Bonferroni</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Plain Bonferroni; Hochberg; Benjamini–Hochberg</w:t>
            </w:r>
          </w:p>
        </w:tc>
        <w:tc>
          <w:tcPr>
            <w:tcW w:type="dxa" w:w="365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Holm is uniformly more powerful than Bonferroni and, unlike Hochberg or Hommel, assumes nothing about dependence between the tests. BH controls the false-discovery rate, which is the wrong error to control when each test is a separate legal obligation.</w:t>
            </w:r>
          </w:p>
        </w:tc>
      </w:tr>
      <w:tr>
        <w:tc>
          <w:tcPr>
            <w:tcW w:type="dxa" w:w="159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Adverse impact ratio</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Bootstrap over pairs</w:t>
            </w:r>
          </w:p>
        </w:tc>
        <w:tc>
          <w:tcPr>
            <w:tcW w:type="dxa" w:w="2059"/>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Delta-method interval on a ratio</w:t>
            </w:r>
          </w:p>
        </w:tc>
        <w:tc>
          <w:tcPr>
            <w:tcW w:type="dxa" w:w="365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ratio of proportions is skewed, and the resampling unit has to be the pair, not the response, or the interval ignores the design.</w:t>
            </w:r>
          </w:p>
        </w:tc>
      </w:tr>
    </w:tbl>
    <w:p>
      <w:pPr>
        <w:pStyle w:val="Heading2"/>
        <w:spacing w:after="110" w:before="240"/>
      </w:pPr>
      <w:r>
        <w:rPr>
          <w:rFonts w:ascii="Calibri" w:cs="Calibri" w:eastAsia="Calibri" w:hAnsi="Calibri"/>
          <w:b/>
          <w:bCs/>
          <w:color w:val="1E6B34"/>
          <w:sz w:val="23"/>
          <w:szCs w:val="23"/>
        </w:rPr>
        <w:t xml:space="preserve">Why equivalence testing is the load-bearing choice</w:t>
      </w:r>
    </w:p>
    <w:p>
      <w:pPr>
        <w:spacing w:after="120" w:before="0" w:line="276"/>
      </w:pPr>
      <w:r>
        <w:rPr>
          <w:rFonts w:ascii="Calibri" w:cs="Calibri" w:eastAsia="Calibri" w:hAnsi="Calibri"/>
          <w:b w:val="false"/>
          <w:bCs w:val="false"/>
          <w:i w:val="false"/>
          <w:iCs w:val="false"/>
          <w:color w:val="1A1A1A"/>
          <w:sz w:val="21"/>
          <w:szCs w:val="21"/>
        </w:rPr>
        <w:t xml:space="preserve">An earlier wording of the criteria read: FAIL if the lower bound exceeds the tolerance. That contains a hidden default. A wide interval has a low lower bound, so no FAIL fires, and the system passes — because too little was measured. Every criterion is now stated as a one-sided equivalence test with three verdicts, so PASS and FAIL each require evidence and neither is what happens when the evidence runs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3744"/>
        <w:gridCol w:w="3931"/>
      </w:tblGrid>
      <w:tr>
        <w:tc>
          <w:tcPr>
            <w:tcW w:type="dxa" w:w="1685"/>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Verdict</w:t>
            </w:r>
          </w:p>
        </w:tc>
        <w:tc>
          <w:tcPr>
            <w:tcW w:type="dxa" w:w="3744"/>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Condition</w:t>
            </w:r>
          </w:p>
        </w:tc>
        <w:tc>
          <w:tcPr>
            <w:tcW w:type="dxa" w:w="3931"/>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Meaning</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PASS</w:t>
            </w:r>
          </w:p>
        </w:tc>
        <w:tc>
          <w:tcPr>
            <w:tcW w:type="dxa" w:w="3744"/>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bound clears the threshold in the conforming direction</w:t>
            </w:r>
          </w:p>
        </w:tc>
        <w:tc>
          <w:tcPr>
            <w:tcW w:type="dxa" w:w="393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effect is shown to be smaller than the tolerance</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FAIL</w:t>
            </w:r>
          </w:p>
        </w:tc>
        <w:tc>
          <w:tcPr>
            <w:tcW w:type="dxa" w:w="3744"/>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bound clears it in the other direction</w:t>
            </w:r>
          </w:p>
        </w:tc>
        <w:tc>
          <w:tcPr>
            <w:tcW w:type="dxa" w:w="393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effect is shown to exceed the tolerance</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UNDETERMINED</w:t>
            </w:r>
          </w:p>
        </w:tc>
        <w:tc>
          <w:tcPr>
            <w:tcW w:type="dxa" w:w="3744"/>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interval spans the threshold</w:t>
            </w:r>
          </w:p>
        </w:tc>
        <w:tc>
          <w:tcPr>
            <w:tcW w:type="dxa" w:w="3931"/>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evidence is insufficient — reported, never rounded to either side</w:t>
            </w:r>
          </w:p>
        </w:tc>
      </w:tr>
    </w:tbl>
    <w:p>
      <w:pPr>
        <w:pStyle w:val="Heading2"/>
        <w:spacing w:after="110" w:before="240"/>
      </w:pPr>
      <w:r>
        <w:rPr>
          <w:rFonts w:ascii="Calibri" w:cs="Calibri" w:eastAsia="Calibri" w:hAnsi="Calibri"/>
          <w:b/>
          <w:bCs/>
          <w:color w:val="1E6B34"/>
          <w:sz w:val="23"/>
          <w:szCs w:val="23"/>
        </w:rPr>
        <w:t xml:space="preserve">Why the thresholds are not derived</w:t>
      </w:r>
    </w:p>
    <w:p>
      <w:pPr>
        <w:spacing w:after="120" w:before="0" w:line="276"/>
      </w:pPr>
      <w:r>
        <w:rPr>
          <w:rFonts w:ascii="Calibri" w:cs="Calibri" w:eastAsia="Calibri" w:hAnsi="Calibri"/>
          <w:b w:val="false"/>
          <w:bCs w:val="false"/>
          <w:i w:val="false"/>
          <w:iCs w:val="false"/>
          <w:color w:val="1A1A1A"/>
          <w:sz w:val="21"/>
          <w:szCs w:val="21"/>
        </w:rPr>
        <w:t xml:space="preserve">Because they cannot be. The Act sets no numeric bar for any of these clauses. The 1.0 pp fairness margin, the 0.05 robustness tolerance and the 0.80 transparency floor are human judgements, and the file that records them says so in its own comments. What makes them defensible is not that they are optimal but that they were written down, reviewed, signed and hashed before any model response existed. A threshold chosen after the results are known is not a threshold.</w:t>
      </w:r>
    </w:p>
    <w:p>
      <w:pPr>
        <w:pStyle w:val="Heading1"/>
        <w:spacing w:after="130" w:before="340"/>
      </w:pPr>
      <w:r>
        <w:rPr>
          <w:rFonts w:ascii="Calibri" w:cs="Calibri" w:eastAsia="Calibri" w:hAnsi="Calibri"/>
          <w:b/>
          <w:bCs/>
          <w:color w:val="1A1A1A"/>
          <w:sz w:val="28"/>
          <w:szCs w:val="28"/>
        </w:rPr>
        <w:t xml:space="preserve">5.  Why a deterministic jury, and why no model is allowed near it</w:t>
      </w:r>
    </w:p>
    <w:p>
      <w:pPr>
        <w:spacing w:after="90" w:before="230"/>
      </w:pPr>
      <w:r>
        <w:rPr>
          <w:rFonts w:ascii="Calibri" w:cs="Calibri" w:eastAsia="Calibri" w:hAnsi="Calibri"/>
          <w:b/>
          <w:bCs/>
          <w:color w:val="1A1A1A"/>
          <w:sz w:val="22"/>
          <w:szCs w:val="22"/>
        </w:rPr>
        <w:t xml:space="preserve">Q.  You have a capable language model in the pipeline. Why not let it do the scoring?</w:t>
      </w:r>
    </w:p>
    <w:p>
      <w:pPr>
        <w:spacing w:after="120" w:before="0" w:line="276"/>
      </w:pPr>
      <w:r>
        <w:rPr>
          <w:rFonts w:ascii="Calibri" w:cs="Calibri" w:eastAsia="Calibri" w:hAnsi="Calibri"/>
          <w:b w:val="false"/>
          <w:bCs w:val="false"/>
          <w:i w:val="false"/>
          <w:iCs w:val="false"/>
          <w:color w:val="1A1A1A"/>
          <w:sz w:val="21"/>
          <w:szCs w:val="21"/>
        </w:rPr>
        <w:t xml:space="preserve">Because most of this audit has nothing to interpret. A fairness observation is a parse, not a judgement: the model was asked for one word, a regex extracts it, and the comparison is counting. There is no opinion anywhere between the model's output and p = 2.4 × 10⁻²⁴.</w:t>
      </w:r>
    </w:p>
    <w:p>
      <w:pPr>
        <w:spacing w:after="120" w:before="0" w:line="276"/>
      </w:pPr>
      <w:r>
        <w:rPr>
          <w:rFonts w:ascii="Calibri" w:cs="Calibri" w:eastAsia="Calibri" w:hAnsi="Calibri"/>
          <w:b w:val="false"/>
          <w:bCs w:val="false"/>
          <w:i w:val="false"/>
          <w:iCs w:val="false"/>
          <w:color w:val="1A1A1A"/>
          <w:sz w:val="21"/>
          <w:szCs w:val="21"/>
        </w:rPr>
        <w:t xml:space="preserve">Putting a language model there would add an error source with no upper bound in exchange for nothing. The ledger records evidence_type on every finding — deterministic, judged or human — precisely so that a reader can see which numbers depend on a model and which do not. Of 148 admitted findings, the 8 currently eligible to carry a claim are all deterministic.</w:t>
      </w:r>
    </w:p>
    <w:p>
      <w:pPr>
        <w:pStyle w:val="Heading2"/>
        <w:spacing w:after="110" w:before="240"/>
      </w:pPr>
      <w:r>
        <w:rPr>
          <w:rFonts w:ascii="Calibri" w:cs="Calibri" w:eastAsia="Calibri" w:hAnsi="Calibri"/>
          <w:b/>
          <w:bCs/>
          <w:color w:val="1E6B34"/>
          <w:sz w:val="23"/>
          <w:szCs w:val="23"/>
        </w:rPr>
        <w:t xml:space="preserve">Why the jury is stdlib-only</w:t>
      </w:r>
    </w:p>
    <w:p>
      <w:pPr>
        <w:spacing w:after="120" w:before="0" w:line="276"/>
      </w:pPr>
      <w:r>
        <w:rPr>
          <w:rFonts w:ascii="Calibri" w:cs="Calibri" w:eastAsia="Calibri" w:hAnsi="Calibri"/>
          <w:b w:val="false"/>
          <w:bCs w:val="false"/>
          <w:i w:val="false"/>
          <w:iCs w:val="false"/>
          <w:color w:val="1A1A1A"/>
          <w:sz w:val="21"/>
          <w:szCs w:val="21"/>
        </w:rPr>
        <w:t xml:space="preserve">No SciPy, no statsmodels. Not for purity — for auditability. Every estimator is forty lines someone can read, and two bugs were found in them that a library call would have hidden behind an interface: binom_cdf overflowed above n ≈ 1000 because math.comb exceeded float range, and a p-value of exactly zero turned out to be cancellation in 1 − CDF rather than evidence. The true value was 1.06 × 10⁻¹⁶.</w:t>
      </w:r>
    </w:p>
    <w:p>
      <w:pPr>
        <w:pStyle w:val="Heading1"/>
        <w:spacing w:after="130" w:before="340"/>
      </w:pPr>
      <w:r>
        <w:rPr>
          <w:rFonts w:ascii="Calibri" w:cs="Calibri" w:eastAsia="Calibri" w:hAnsi="Calibri"/>
          <w:b/>
          <w:bCs/>
          <w:color w:val="1A1A1A"/>
          <w:sz w:val="28"/>
          <w:szCs w:val="28"/>
        </w:rPr>
        <w:t xml:space="preserve">6.  Why a judge exists at all, and only where it does</w:t>
      </w:r>
    </w:p>
    <w:p>
      <w:pPr>
        <w:spacing w:after="90" w:before="230"/>
      </w:pPr>
      <w:r>
        <w:rPr>
          <w:rFonts w:ascii="Calibri" w:cs="Calibri" w:eastAsia="Calibri" w:hAnsi="Calibri"/>
          <w:b/>
          <w:bCs/>
          <w:color w:val="1A1A1A"/>
          <w:sz w:val="22"/>
          <w:szCs w:val="22"/>
        </w:rPr>
        <w:t xml:space="preserve">Q.  Where is the language model used, and why is it needed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867"/>
        <w:gridCol w:w="2808"/>
      </w:tblGrid>
      <w:tr>
        <w:tc>
          <w:tcPr>
            <w:tcW w:type="dxa" w:w="1685"/>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Dimension</w:t>
            </w:r>
          </w:p>
        </w:tc>
        <w:tc>
          <w:tcPr>
            <w:tcW w:type="dxa" w:w="4867"/>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What the evidence is</w:t>
            </w:r>
          </w:p>
        </w:tc>
        <w:tc>
          <w:tcPr>
            <w:tcW w:type="dxa" w:w="2808"/>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Needs a model?</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Fairness</w:t>
            </w:r>
          </w:p>
        </w:tc>
        <w:tc>
          <w:tcPr>
            <w:tcW w:type="dxa" w:w="4867"/>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Did APPROVE become DECLINE when the title changed?</w:t>
            </w:r>
          </w:p>
        </w:tc>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 string comparison</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Robustness</w:t>
            </w:r>
          </w:p>
        </w:tc>
        <w:tc>
          <w:tcPr>
            <w:tcW w:type="dxa" w:w="4867"/>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Did the decision change under a meaning-preserving rewording?</w:t>
            </w:r>
          </w:p>
        </w:tc>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 string comparison</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Transparency</w:t>
            </w:r>
          </w:p>
        </w:tc>
        <w:tc>
          <w:tcPr>
            <w:tcW w:type="dxa" w:w="4867"/>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Does this explanation name a field and say which way it pushed?</w:t>
            </w:r>
          </w:p>
        </w:tc>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Yes — someone has to read it</w:t>
            </w:r>
          </w:p>
        </w:tc>
      </w:tr>
    </w:tbl>
    <w:p>
      <w:pPr>
        <w:spacing w:after="120" w:before="100" w:line="276"/>
      </w:pPr>
      <w:r>
        <w:rPr>
          <w:rFonts w:ascii="Calibri" w:cs="Calibri" w:eastAsia="Calibri" w:hAnsi="Calibri"/>
          <w:b w:val="false"/>
          <w:bCs w:val="false"/>
          <w:i w:val="false"/>
          <w:iCs w:val="false"/>
          <w:color w:val="1A1A1A"/>
          <w:sz w:val="21"/>
          <w:szCs w:val="21"/>
        </w:rPr>
        <w:t xml:space="preserve">Article 13(1) is the only qualitative docket. “Does this paragraph state the direction in which the credit history influenced the decision?” cannot be extracted by a rule. So a model reads it — and because a model read it, that reading has to be measured against people's.</w:t>
      </w:r>
    </w:p>
    <w:p>
      <w:pPr>
        <w:pStyle w:val="Heading2"/>
        <w:spacing w:after="110" w:before="240"/>
      </w:pPr>
      <w:r>
        <w:rPr>
          <w:rFonts w:ascii="Calibri" w:cs="Calibri" w:eastAsia="Calibri" w:hAnsi="Calibri"/>
          <w:b/>
          <w:bCs/>
          <w:color w:val="1E6B34"/>
          <w:sz w:val="23"/>
          <w:szCs w:val="23"/>
        </w:rPr>
        <w:t xml:space="preserve">Four constraints on the judge, in the order they fire</w:t>
      </w:r>
    </w:p>
    <w:p>
      <w:pPr>
        <w:pStyle w:val="ListParagraph"/>
        <w:numPr>
          <w:ilvl w:val="0"/>
          <w:numId w:val="2"/>
        </w:numPr>
        <w:spacing w:after="70" w:line="276"/>
      </w:pPr>
      <w:r>
        <w:rPr>
          <w:rFonts w:ascii="Calibri" w:cs="Calibri" w:eastAsia="Calibri" w:hAnsi="Calibri"/>
          <w:color w:val="1A1A1A"/>
          <w:sz w:val="20"/>
          <w:szCs w:val="20"/>
        </w:rPr>
        <w:t xml:space="preserve">Family disjointness. The judge may not share a family with anything it grades. assert_disjoint refuses the run rather than noting it in a limitations section — self-preference in model-as-judge is documented, and the same weights under a different name are the same model.</w:t>
      </w:r>
    </w:p>
    <w:p>
      <w:pPr>
        <w:pStyle w:val="ListParagraph"/>
        <w:numPr>
          <w:ilvl w:val="0"/>
          <w:numId w:val="2"/>
        </w:numPr>
        <w:spacing w:after="70" w:line="276"/>
      </w:pPr>
      <w:r>
        <w:rPr>
          <w:rFonts w:ascii="Calibri" w:cs="Calibri" w:eastAsia="Calibri" w:hAnsi="Calibri"/>
          <w:color w:val="1A1A1A"/>
          <w:sz w:val="20"/>
          <w:szCs w:val="20"/>
        </w:rPr>
        <w:t xml:space="preserve">Span grounding, checked in code. Every answer carries a quotation and the quotation is matched against the response. An answer whose support was composed rather than found is discarded before any vote. This is the only check that catches invention — self-consistency cannot, because a model confabulates the same plausible sentence on every run.</w:t>
      </w:r>
    </w:p>
    <w:p>
      <w:pPr>
        <w:pStyle w:val="ListParagraph"/>
        <w:numPr>
          <w:ilvl w:val="0"/>
          <w:numId w:val="2"/>
        </w:numPr>
        <w:spacing w:after="70" w:line="276"/>
      </w:pPr>
      <w:r>
        <w:rPr>
          <w:rFonts w:ascii="Calibri" w:cs="Calibri" w:eastAsia="Calibri" w:hAnsi="Calibri"/>
          <w:color w:val="1A1A1A"/>
          <w:sz w:val="20"/>
          <w:szCs w:val="20"/>
        </w:rPr>
        <w:t xml:space="preserve">Self-consistency as a confidence signal, not a verdict. k = 5 runs at temperature 0.3; the majority answer is taken and the agreement fraction recorded. Low self-agreement becomes an escalation to a human, not a quietly averaged score. Temperature is deliberately non-zero: at zero the judge looks perfectly consistent and its instability is simply invisible.</w:t>
      </w:r>
    </w:p>
    <w:p>
      <w:pPr>
        <w:pStyle w:val="ListParagraph"/>
        <w:numPr>
          <w:ilvl w:val="0"/>
          <w:numId w:val="2"/>
        </w:numPr>
        <w:spacing w:after="70" w:line="276"/>
      </w:pPr>
      <w:r>
        <w:rPr>
          <w:rFonts w:ascii="Calibri" w:cs="Calibri" w:eastAsia="Calibri" w:hAnsi="Calibri"/>
          <w:color w:val="1A1A1A"/>
          <w:sz w:val="20"/>
          <w:szCs w:val="20"/>
        </w:rPr>
        <w:t xml:space="preserve">Deterministic conditions are never asked. Whether a response names a field is a lookup against structured data, so it is settled in code and passed to the model as context. Every condition decided that way is one the judge cannot get wrong.</w:t>
      </w:r>
    </w:p>
    <w:p>
      <w:pPr>
        <w:pStyle w:val="Heading2"/>
        <w:spacing w:after="110" w:before="240"/>
      </w:pPr>
      <w:r>
        <w:rPr>
          <w:rFonts w:ascii="Calibri" w:cs="Calibri" w:eastAsia="Calibri" w:hAnsi="Calibri"/>
          <w:b/>
          <w:bCs/>
          <w:color w:val="1E6B34"/>
          <w:sz w:val="23"/>
          <w:szCs w:val="23"/>
        </w:rPr>
        <w:t xml:space="preserve">The rubric error, and why it is worth telling</w:t>
      </w:r>
    </w:p>
    <w:p>
      <w:pPr>
        <w:spacing w:after="120" w:before="0" w:line="276"/>
      </w:pPr>
      <w:r>
        <w:rPr>
          <w:rFonts w:ascii="Calibri" w:cs="Calibri" w:eastAsia="Calibri" w:hAnsi="Calibri"/>
          <w:b w:val="false"/>
          <w:bCs w:val="false"/>
          <w:i w:val="false"/>
          <w:iCs w:val="false"/>
          <w:color w:val="1A1A1A"/>
          <w:sz w:val="21"/>
          <w:szCs w:val="21"/>
        </w:rPr>
        <w:t xml:space="preserve">The first full judge run returned 31% of items decided and 746 quotations discarded. Read one way that is the grounding check working. Read the other way it is a bug. The diagnostic written to tell them apart returned nothing — because the discarded quotations had never been stored, which was the more serious problem.</w:t>
      </w:r>
    </w:p>
    <w:p>
      <w:pPr>
        <w:spacing w:after="120" w:before="0" w:line="276"/>
      </w:pPr>
      <w:r>
        <w:rPr>
          <w:rFonts w:ascii="Calibri" w:cs="Calibri" w:eastAsia="Calibri" w:hAnsi="Calibri"/>
          <w:b w:val="false"/>
          <w:bCs w:val="false"/>
          <w:i w:val="false"/>
          <w:iCs w:val="false"/>
          <w:color w:val="1A1A1A"/>
          <w:sz w:val="21"/>
          <w:szCs w:val="21"/>
        </w:rPr>
        <w:t xml:space="preserve">The cause was the rubric. It demanded a verbatim span in support of “nothing in this response contradicts the case”, and no span can demonstrate an absence. The judge could only invent support or decline, and it did both. Each condition now declares which answer carries the burden of proof. After the fix: 100% decided, 0 ungrounded.</w:t>
      </w:r>
    </w:p>
    <w:p>
      <w:pPr>
        <w:pStyle w:val="Heading1"/>
        <w:spacing w:after="130" w:before="340"/>
      </w:pPr>
      <w:r>
        <w:rPr>
          <w:rFonts w:ascii="Calibri" w:cs="Calibri" w:eastAsia="Calibri" w:hAnsi="Calibri"/>
          <w:b/>
          <w:bCs/>
          <w:color w:val="1A1A1A"/>
          <w:sz w:val="28"/>
          <w:szCs w:val="28"/>
        </w:rPr>
        <w:t xml:space="preserve">7.  Why microsoft/phi-4 as the judge</w:t>
      </w:r>
    </w:p>
    <w:p>
      <w:pPr>
        <w:spacing w:after="90" w:before="230"/>
      </w:pPr>
      <w:r>
        <w:rPr>
          <w:rFonts w:ascii="Calibri" w:cs="Calibri" w:eastAsia="Calibri" w:hAnsi="Calibri"/>
          <w:b/>
          <w:bCs/>
          <w:color w:val="1A1A1A"/>
          <w:sz w:val="22"/>
          <w:szCs w:val="22"/>
        </w:rPr>
        <w:t xml:space="preserve">Q.  Why this model, and not GPT-4, Claude, or simply the largest one available?</w:t>
      </w:r>
    </w:p>
    <w:p>
      <w:pPr>
        <w:spacing w:after="120" w:before="0" w:line="276"/>
      </w:pPr>
      <w:r>
        <w:rPr>
          <w:rFonts w:ascii="Calibri" w:cs="Calibri" w:eastAsia="Calibri" w:hAnsi="Calibri"/>
          <w:b w:val="false"/>
          <w:bCs w:val="false"/>
          <w:i w:val="false"/>
          <w:iCs w:val="false"/>
          <w:color w:val="1A1A1A"/>
          <w:sz w:val="21"/>
          <w:szCs w:val="21"/>
        </w:rPr>
        <w:t xml:space="preserve">Four reasons, in descending order of how hard they are to argue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c>
          <w:tcPr>
            <w:tcW w:type="dxa" w:w="2995"/>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Reason</w:t>
            </w:r>
          </w:p>
        </w:tc>
        <w:tc>
          <w:tcPr>
            <w:tcW w:type="dxa" w:w="6365"/>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Detail</w:t>
            </w:r>
          </w:p>
        </w:tc>
      </w:tr>
      <w:tr>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It is disjoint from both audited families</w:t>
            </w:r>
          </w:p>
        </w:tc>
        <w:tc>
          <w:tcPr>
            <w:tcW w:type="dxa" w:w="636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audited models are Qwen and Llama. A judge from either would be grading its own family, and assert_disjoint refuses the run. phi is a third family, so the constraint is satisfied structurally rather than by assertion.</w:t>
            </w:r>
          </w:p>
        </w:tc>
      </w:tr>
      <w:tr>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Open weights make the audit reproducible</w:t>
            </w:r>
          </w:p>
        </w:tc>
        <w:tc>
          <w:tcPr>
            <w:tcW w:type="dxa" w:w="636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phi-4 can be pinned to a revision and re-run years later. A hosted API judge cannot: “gpt-4o” in March is not “gpt-4o” in September, and a silent version change would alter a reported number with no trace in the repository. An audit whose instrument can be changed by a third party without notice is not an instrument.</w:t>
            </w:r>
          </w:p>
        </w:tc>
      </w:tr>
      <w:tr>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It runs locally, so the audit has no vendor dependency</w:t>
            </w:r>
          </w:p>
        </w:tc>
        <w:tc>
          <w:tcPr>
            <w:tcW w:type="dxa" w:w="636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14B fits comfortably on one A6000. The full sweep is 760 calls per model, 3,040 in total, at no marginal cost and no data leaving the machine. Anyone with equivalent hardware can reproduce the judging step exactly.</w:t>
            </w:r>
          </w:p>
        </w:tc>
      </w:tr>
      <w:tr>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Its size suits the task</w:t>
            </w:r>
          </w:p>
        </w:tc>
        <w:tc>
          <w:tcPr>
            <w:tcW w:type="dxa" w:w="636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judging task is bounded reading comprehension against three explicit conditions, with the lookup-style condition already settled in code. It is not a task that rewards frontier scale. The measured behaviour supports this: after the rubric fix, 100% of items decided with zero ungrounded quotations.</w:t>
            </w:r>
          </w:p>
        </w:tc>
      </w:tr>
    </w:tbl>
    <w:p>
      <w:pPr>
        <w:pStyle w:val="Heading2"/>
        <w:spacing w:after="110" w:before="240"/>
      </w:pPr>
      <w:r>
        <w:rPr>
          <w:rFonts w:ascii="Calibri" w:cs="Calibri" w:eastAsia="Calibri" w:hAnsi="Calibri"/>
          <w:b/>
          <w:bCs/>
          <w:color w:val="1E6B34"/>
          <w:sz w:val="23"/>
          <w:szCs w:val="23"/>
        </w:rPr>
        <w:t xml:space="preserve">Why the choice is not justified by a leaderboard</w:t>
      </w:r>
    </w:p>
    <w:p>
      <w:pPr>
        <w:spacing w:after="120" w:before="0" w:line="276"/>
      </w:pPr>
      <w:r>
        <w:rPr>
          <w:rFonts w:ascii="Calibri" w:cs="Calibri" w:eastAsia="Calibri" w:hAnsi="Calibri"/>
          <w:b w:val="false"/>
          <w:bCs w:val="false"/>
          <w:i w:val="false"/>
          <w:iCs w:val="false"/>
          <w:color w:val="1A1A1A"/>
          <w:sz w:val="21"/>
          <w:szCs w:val="21"/>
        </w:rPr>
        <w:t xml:space="preserve">Deliberately. Work comparing model-as-judge across evaluation suites finds that judge rankings shift substantially from one benchmark to another, so leaderboard standing does not transfer to a new task. What transfers is validating the judge you actually use, on the task you actually use it for. That is what the annotation study is for, and it is why no transparency number in this project is reportable until that study has run.</w:t>
      </w:r>
    </w:p>
    <w:p>
      <w:pPr>
        <w:spacing w:after="140" w:line="276"/>
      </w:pPr>
      <w:r>
        <w:rPr>
          <w:rFonts w:ascii="Calibri" w:cs="Calibri" w:eastAsia="Calibri" w:hAnsi="Calibri"/>
          <w:i/>
          <w:iCs/>
          <w:color w:val="5F6368"/>
          <w:sz w:val="19"/>
          <w:szCs w:val="19"/>
        </w:rPr>
        <w:t xml:space="preserve">The report enforces this. Judged findings are marked judge_validated = false and are structurally ineligible to carry a claim; the text on every such line reads “excluded from headline claims because the judge behind it is not yet validated”. Nothing in the pipeline can set that flag — only a measured agreement against the human ceiling can.</w:t>
      </w:r>
    </w:p>
    <w:p>
      <w:pPr>
        <w:pStyle w:val="Heading2"/>
        <w:spacing w:after="110" w:before="240"/>
      </w:pPr>
      <w:r>
        <w:rPr>
          <w:rFonts w:ascii="Calibri" w:cs="Calibri" w:eastAsia="Calibri" w:hAnsi="Calibri"/>
          <w:b/>
          <w:bCs/>
          <w:color w:val="1E6B34"/>
          <w:sz w:val="23"/>
          <w:szCs w:val="23"/>
        </w:rPr>
        <w:t xml:space="preserve">If phi-4 fails validation</w:t>
      </w:r>
    </w:p>
    <w:p>
      <w:pPr>
        <w:spacing w:after="120" w:before="0" w:line="276"/>
      </w:pPr>
      <w:r>
        <w:rPr>
          <w:rFonts w:ascii="Calibri" w:cs="Calibri" w:eastAsia="Calibri" w:hAnsi="Calibri"/>
          <w:b w:val="false"/>
          <w:bCs w:val="false"/>
          <w:i w:val="false"/>
          <w:iCs w:val="false"/>
          <w:color w:val="1A1A1A"/>
          <w:sz w:val="21"/>
          <w:szCs w:val="21"/>
        </w:rPr>
        <w:t xml:space="preserve">Then that is a result, not a setback. It would bound where automated auditing can be trusted, which is the stated purpose of this component. The judge is replaceable by configuration — JUDGE_MODEL in config.py — and the family-disjointness check applies to whatever replaces it.</w:t>
      </w:r>
    </w:p>
    <w:p>
      <w:pPr>
        <w:pStyle w:val="Heading1"/>
        <w:spacing w:after="130" w:before="340"/>
      </w:pPr>
      <w:r>
        <w:rPr>
          <w:rFonts w:ascii="Calibri" w:cs="Calibri" w:eastAsia="Calibri" w:hAnsi="Calibri"/>
          <w:b/>
          <w:bCs/>
          <w:color w:val="1A1A1A"/>
          <w:sz w:val="28"/>
          <w:szCs w:val="28"/>
        </w:rPr>
        <w:t xml:space="preserve">8.  Why human annotation, and why so little of it</w:t>
      </w:r>
    </w:p>
    <w:p>
      <w:pPr>
        <w:spacing w:after="90" w:before="230"/>
      </w:pPr>
      <w:r>
        <w:rPr>
          <w:rFonts w:ascii="Calibri" w:cs="Calibri" w:eastAsia="Calibri" w:hAnsi="Calibri"/>
          <w:b/>
          <w:bCs/>
          <w:color w:val="1A1A1A"/>
          <w:sz w:val="22"/>
          <w:szCs w:val="22"/>
        </w:rPr>
        <w:t xml:space="preserve">Q.  You have 61,259 responses. Why are only 300 being annotated?</w:t>
      </w:r>
    </w:p>
    <w:p>
      <w:pPr>
        <w:spacing w:after="120" w:before="0" w:line="276"/>
      </w:pPr>
      <w:r>
        <w:rPr>
          <w:rFonts w:ascii="Calibri" w:cs="Calibri" w:eastAsia="Calibri" w:hAnsi="Calibri"/>
          <w:b w:val="false"/>
          <w:bCs w:val="false"/>
          <w:i w:val="false"/>
          <w:iCs w:val="false"/>
          <w:color w:val="1A1A1A"/>
          <w:sz w:val="21"/>
          <w:szCs w:val="21"/>
        </w:rPr>
        <w:t xml:space="preserve">Because only one dimension needs a human at all, and within that dimension only the part that cannot be settled in code. Annotating a fairness item would be asking a person to confirm that “APPROVE” equals “APPROVE”.</w:t>
      </w:r>
    </w:p>
    <w:p>
      <w:pPr>
        <w:spacing w:after="120" w:before="0" w:line="276"/>
      </w:pPr>
      <w:r>
        <w:rPr>
          <w:rFonts w:ascii="Calibri" w:cs="Calibri" w:eastAsia="Calibri" w:hAnsi="Calibri"/>
          <w:b w:val="false"/>
          <w:bCs w:val="false"/>
          <w:i w:val="false"/>
          <w:iCs w:val="false"/>
          <w:color w:val="1A1A1A"/>
          <w:sz w:val="21"/>
          <w:szCs w:val="21"/>
        </w:rPr>
        <w:t xml:space="preserve">The 300 items are stratified over the judge's own behaviour rather than sampled uniformly — items it was confident about (the confidently-wrong detector, since a confident wrong verdict is exactly what a confidence gate lets through), items where it wavered across its five runs, items it could not call at all, and a random remainder so the sample is not purely adversarial. A stratum that cannot be filled is reported as a shortfall, never topped up from elsewhere.</w:t>
      </w:r>
    </w:p>
    <w:p>
      <w:pPr>
        <w:pStyle w:val="Heading2"/>
        <w:spacing w:after="110" w:before="240"/>
      </w:pPr>
      <w:r>
        <w:rPr>
          <w:rFonts w:ascii="Calibri" w:cs="Calibri" w:eastAsia="Calibri" w:hAnsi="Calibri"/>
          <w:b/>
          <w:bCs/>
          <w:color w:val="1E6B34"/>
          <w:sz w:val="23"/>
          <w:szCs w:val="23"/>
        </w:rPr>
        <w:t xml:space="preserve">Why the human ceiling is reported before any judge number</w:t>
      </w:r>
    </w:p>
    <w:p>
      <w:pPr>
        <w:spacing w:after="120" w:before="0" w:line="276"/>
      </w:pPr>
      <w:r>
        <w:rPr>
          <w:rFonts w:ascii="Calibri" w:cs="Calibri" w:eastAsia="Calibri" w:hAnsi="Calibri"/>
          <w:b w:val="false"/>
          <w:bCs w:val="false"/>
          <w:i w:val="false"/>
          <w:iCs w:val="false"/>
          <w:color w:val="1A1A1A"/>
          <w:sz w:val="21"/>
          <w:szCs w:val="21"/>
        </w:rPr>
        <w:t xml:space="preserve">If two people following frozen guidelines reach 0.65, then a judge reaching 0.65 has matched the best the task permits. Reporting the judge first invites the reader to measure it against 1.0 instead, which is a standard no human meets either.</w:t>
      </w:r>
    </w:p>
    <w:p>
      <w:pPr>
        <w:pStyle w:val="Heading2"/>
        <w:spacing w:after="110" w:before="240"/>
      </w:pPr>
      <w:r>
        <w:rPr>
          <w:rFonts w:ascii="Calibri" w:cs="Calibri" w:eastAsia="Calibri" w:hAnsi="Calibri"/>
          <w:b/>
          <w:bCs/>
          <w:color w:val="1E6B34"/>
          <w:sz w:val="23"/>
          <w:szCs w:val="23"/>
        </w:rPr>
        <w:t xml:space="preserve">Why Gwet's AC1 rather than Cohen's κ</w:t>
      </w:r>
    </w:p>
    <w:p>
      <w:pPr>
        <w:spacing w:after="120" w:before="0" w:line="276"/>
      </w:pPr>
      <w:r>
        <w:rPr>
          <w:rFonts w:ascii="Calibri" w:cs="Calibri" w:eastAsia="Calibri" w:hAnsi="Calibri"/>
          <w:b w:val="false"/>
          <w:bCs w:val="false"/>
          <w:i w:val="false"/>
          <w:iCs w:val="false"/>
          <w:color w:val="1A1A1A"/>
          <w:sz w:val="21"/>
          <w:szCs w:val="21"/>
        </w:rPr>
        <w:t xml:space="preserve">κ estimates chance agreement from the marginal distribution of the labels, so when one category dominates, expected agreement approaches observed agreement and κ collapses toward zero however well the raters actually agree. This is the kappa paradox (Feinstein &amp; Cicchetti 1990; Byrt, Bishop &amp; Carlin 1993).</w:t>
      </w:r>
    </w:p>
    <w:p>
      <w:pPr>
        <w:spacing w:after="120" w:before="0" w:line="276"/>
      </w:pPr>
      <w:r>
        <w:rPr>
          <w:rFonts w:ascii="Calibri" w:cs="Calibri" w:eastAsia="Calibri" w:hAnsi="Calibri"/>
          <w:b w:val="false"/>
          <w:bCs w:val="false"/>
          <w:i w:val="false"/>
          <w:iCs w:val="false"/>
          <w:color w:val="1A1A1A"/>
          <w:sz w:val="21"/>
          <w:szCs w:val="21"/>
        </w:rPr>
        <w:t xml:space="preserve">The Article 13(1) docket is known in advance to be skewed: the judge returns 71–95% adequate across the four models. Two raters agreeing on 38 of 40 items can produce κ below 0.61 — and under the original hypothesis that would have been recorded as the judge failing to reach substantial agreement. It would have been a false negative about the project's own instrument.</w:t>
      </w:r>
    </w:p>
    <w:p>
      <w:pPr>
        <w:spacing w:after="120" w:before="0" w:line="276"/>
      </w:pPr>
      <w:r>
        <w:rPr>
          <w:rFonts w:ascii="Calibri" w:cs="Calibri" w:eastAsia="Calibri" w:hAnsi="Calibri"/>
          <w:b w:val="false"/>
          <w:bCs w:val="false"/>
          <w:i w:val="false"/>
          <w:iCs w:val="false"/>
          <w:color w:val="1A1A1A"/>
          <w:sz w:val="21"/>
          <w:szCs w:val="21"/>
        </w:rPr>
        <w:t xml:space="preserve">The amendment was filed and dated on 13 September 2026, </w:t>
      </w:r>
      <w:r>
        <w:rPr>
          <w:rFonts w:ascii="Calibri" w:cs="Calibri" w:eastAsia="Calibri" w:hAnsi="Calibri"/>
          <w:b/>
          <w:bCs/>
          <w:i w:val="false"/>
          <w:iCs w:val="false"/>
          <w:color w:val="1A1A1A"/>
          <w:sz w:val="21"/>
          <w:szCs w:val="21"/>
        </w:rPr>
        <w:t xml:space="preserve">before the first annotation label was recorded</w:t>
      </w:r>
      <w:r>
        <w:rPr>
          <w:rFonts w:ascii="Calibri" w:cs="Calibri" w:eastAsia="Calibri" w:hAnsi="Calibri"/>
          <w:b w:val="false"/>
          <w:bCs w:val="false"/>
          <w:i w:val="false"/>
          <w:iCs w:val="false"/>
          <w:color w:val="1A1A1A"/>
          <w:sz w:val="21"/>
          <w:szCs w:val="21"/>
        </w:rPr>
        <w:t xml:space="preserve">. That date is the whole argument: adding a second statistic after seeing a disappointing κ would be indistinguishable from choosing the statistic that gives the wanted answer. No labels exist, so there are no goalposts to move. Both statistics are reported in every case, with the prevalence and bias indices beside them.</w:t>
      </w:r>
    </w:p>
    <w:p>
      <w:pPr>
        <w:spacing w:after="140" w:line="276"/>
      </w:pPr>
      <w:r>
        <w:rPr>
          <w:rFonts w:ascii="Calibri" w:cs="Calibri" w:eastAsia="Calibri" w:hAnsi="Calibri"/>
          <w:i/>
          <w:iCs/>
          <w:color w:val="5F6368"/>
          <w:sz w:val="19"/>
          <w:szCs w:val="19"/>
        </w:rPr>
        <w:t xml:space="preserve">A test now fails if the code ever drifts back to keying the hypothesis on κ.</w:t>
      </w:r>
    </w:p>
    <w:p>
      <w:pPr>
        <w:pStyle w:val="Heading2"/>
        <w:spacing w:after="110" w:before="240"/>
      </w:pPr>
      <w:r>
        <w:rPr>
          <w:rFonts w:ascii="Calibri" w:cs="Calibri" w:eastAsia="Calibri" w:hAnsi="Calibri"/>
          <w:b/>
          <w:bCs/>
          <w:color w:val="1E6B34"/>
          <w:sz w:val="23"/>
          <w:szCs w:val="23"/>
        </w:rPr>
        <w:t xml:space="preserve">Why two raters and not three</w:t>
      </w:r>
    </w:p>
    <w:p>
      <w:pPr>
        <w:spacing w:after="120" w:before="0" w:line="276"/>
      </w:pPr>
      <w:r>
        <w:rPr>
          <w:rFonts w:ascii="Calibri" w:cs="Calibri" w:eastAsia="Calibri" w:hAnsi="Calibri"/>
          <w:b w:val="false"/>
          <w:bCs w:val="false"/>
          <w:i w:val="false"/>
          <w:iCs w:val="false"/>
          <w:color w:val="1A1A1A"/>
          <w:sz w:val="21"/>
          <w:szCs w:val="21"/>
        </w:rPr>
        <w:t xml:space="preserve">Two is the minimum that yields a ceiling at all, and it is what was available. A third rater would allow the gold label to be a majority vote and would estimate the ceiling on a wider base. This is stated as a limitation rather than defended as a design choice.</w:t>
      </w:r>
    </w:p>
    <w:p>
      <w:pPr>
        <w:pStyle w:val="Heading1"/>
        <w:spacing w:after="130" w:before="340"/>
      </w:pPr>
      <w:r>
        <w:rPr>
          <w:rFonts w:ascii="Calibri" w:cs="Calibri" w:eastAsia="Calibri" w:hAnsi="Calibri"/>
          <w:b/>
          <w:bCs/>
          <w:color w:val="1A1A1A"/>
          <w:sz w:val="28"/>
          <w:szCs w:val="28"/>
        </w:rPr>
        <w:t xml:space="preserve">9.  Why the notary gate</w:t>
      </w:r>
    </w:p>
    <w:p>
      <w:pPr>
        <w:spacing w:after="90" w:before="230"/>
      </w:pPr>
      <w:r>
        <w:rPr>
          <w:rFonts w:ascii="Calibri" w:cs="Calibri" w:eastAsia="Calibri" w:hAnsi="Calibri"/>
          <w:b/>
          <w:bCs/>
          <w:color w:val="1A1A1A"/>
          <w:sz w:val="22"/>
          <w:szCs w:val="22"/>
        </w:rPr>
        <w:t xml:space="preserve">Q.  You wrote the criteria yourself. What stops you from having written them to fit the results?</w:t>
      </w:r>
    </w:p>
    <w:p>
      <w:pPr>
        <w:spacing w:after="120" w:before="0" w:line="276"/>
      </w:pPr>
      <w:r>
        <w:rPr>
          <w:rFonts w:ascii="Calibri" w:cs="Calibri" w:eastAsia="Calibri" w:hAnsi="Calibri"/>
          <w:b w:val="false"/>
          <w:bCs w:val="false"/>
          <w:i w:val="false"/>
          <w:iCs w:val="false"/>
          <w:color w:val="1A1A1A"/>
          <w:sz w:val="21"/>
          <w:szCs w:val="21"/>
        </w:rPr>
        <w:t xml:space="preserve">A SHA-256 signature and a commit date. The criteria file is written, reviewed, signed and frozen, and require_signed() raises if the content no longer matches the signature. Every downstream stage calls it first, and the checklist hash is carried into the probe manifest and into every ledger entry.</w:t>
      </w:r>
    </w:p>
    <w:p>
      <w:pPr>
        <w:spacing w:after="120" w:before="0" w:line="276"/>
      </w:pPr>
      <w:r>
        <w:rPr>
          <w:rFonts w:ascii="Calibri" w:cs="Calibri" w:eastAsia="Calibri" w:hAnsi="Calibri"/>
          <w:b w:val="false"/>
          <w:bCs w:val="false"/>
          <w:i w:val="false"/>
          <w:iCs w:val="false"/>
          <w:color w:val="1A1A1A"/>
          <w:sz w:val="21"/>
          <w:szCs w:val="21"/>
        </w:rPr>
        <w:t xml:space="preserve">The honest version of this answer is that the gate does not make the thresholds right — nothing can, since the Act supplies no numbers. It makes them falsifiable. Anyone can check that the criterion under which a result is reported is the criterion that existed before the result did.</w:t>
      </w:r>
    </w:p>
    <w:p>
      <w:pPr>
        <w:spacing w:after="140" w:line="276"/>
      </w:pPr>
      <w:r>
        <w:rPr>
          <w:rFonts w:ascii="Calibri" w:cs="Calibri" w:eastAsia="Calibri" w:hAnsi="Calibri"/>
          <w:i/>
          <w:iCs/>
          <w:color w:val="5F6368"/>
          <w:sz w:val="19"/>
          <w:szCs w:val="19"/>
        </w:rPr>
        <w:t xml:space="preserve">The same discipline is why the AC1 amendment is a dated file rather than a commit message, and why the hash-chained ledger exists: the moment a result is inconvenient is exactly the moment the discipline has to already be in place.</w:t>
      </w:r>
    </w:p>
    <w:p>
      <w:pPr>
        <w:pStyle w:val="Heading1"/>
        <w:spacing w:after="130" w:before="340"/>
      </w:pPr>
      <w:r>
        <w:rPr>
          <w:rFonts w:ascii="Calibri" w:cs="Calibri" w:eastAsia="Calibri" w:hAnsi="Calibri"/>
          <w:b/>
          <w:bCs/>
          <w:color w:val="1A1A1A"/>
          <w:sz w:val="28"/>
          <w:szCs w:val="28"/>
        </w:rPr>
        <w:t xml:space="preserve">10.  Questions to expect, and short answers</w:t>
      </w:r>
    </w:p>
    <w:p>
      <w:pPr>
        <w:spacing w:after="90" w:before="230"/>
      </w:pPr>
      <w:r>
        <w:rPr>
          <w:rFonts w:ascii="Calibri" w:cs="Calibri" w:eastAsia="Calibri" w:hAnsi="Calibri"/>
          <w:b/>
          <w:bCs/>
          <w:color w:val="1A1A1A"/>
          <w:sz w:val="22"/>
          <w:szCs w:val="22"/>
        </w:rPr>
        <w:t xml:space="preserve">“A 2 percentage-point difference is tiny. Why does it matter?”</w:t>
      </w:r>
    </w:p>
    <w:p>
      <w:pPr>
        <w:spacing w:after="120" w:before="0" w:line="276"/>
      </w:pPr>
      <w:r>
        <w:rPr>
          <w:rFonts w:ascii="Calibri" w:cs="Calibri" w:eastAsia="Calibri" w:hAnsi="Calibri"/>
          <w:b w:val="false"/>
          <w:bCs w:val="false"/>
          <w:i w:val="false"/>
          <w:iCs w:val="false"/>
          <w:color w:val="1A1A1A"/>
          <w:sz w:val="21"/>
          <w:szCs w:val="21"/>
        </w:rPr>
        <w:t xml:space="preserve">Because the clause does not contain a magnitude. A differential arising purely from a protected token has no legitimate basis at any size, which is why the threshold sits near the smallest effect the design can resolve rather than at a practical-significance level borrowed from another field. The effect is also 59-to-1 directional on one model — that is not noise with a small mean, it is a consistent lean.</w:t>
      </w:r>
    </w:p>
    <w:p>
      <w:pPr>
        <w:spacing w:after="90" w:before="230"/>
      </w:pPr>
      <w:r>
        <w:rPr>
          <w:rFonts w:ascii="Calibri" w:cs="Calibri" w:eastAsia="Calibri" w:hAnsi="Calibri"/>
          <w:b/>
          <w:bCs/>
          <w:color w:val="1A1A1A"/>
          <w:sz w:val="22"/>
          <w:szCs w:val="22"/>
        </w:rPr>
        <w:t xml:space="preserve">“Models favour women, not men. Isn't that the opposite of the concern?”</w:t>
      </w:r>
    </w:p>
    <w:p>
      <w:pPr>
        <w:spacing w:after="120" w:before="0" w:line="276"/>
      </w:pPr>
      <w:r>
        <w:rPr>
          <w:rFonts w:ascii="Calibri" w:cs="Calibri" w:eastAsia="Calibri" w:hAnsi="Calibri"/>
          <w:b w:val="false"/>
          <w:bCs w:val="false"/>
          <w:i w:val="false"/>
          <w:iCs w:val="false"/>
          <w:color w:val="1A1A1A"/>
          <w:sz w:val="21"/>
          <w:szCs w:val="21"/>
        </w:rPr>
        <w:t xml:space="preserve">It is differential treatment on a protected attribute, which is what the clause prohibits. It is also why the test is two-sided: the literature is usually framed as whether women are disadvantaged, and a one-sided test in that direction would have missed this entirely. That near-miss is itself reportable.</w:t>
      </w:r>
    </w:p>
    <w:p>
      <w:pPr>
        <w:spacing w:after="90" w:before="230"/>
      </w:pPr>
      <w:r>
        <w:rPr>
          <w:rFonts w:ascii="Calibri" w:cs="Calibri" w:eastAsia="Calibri" w:hAnsi="Calibri"/>
          <w:b/>
          <w:bCs/>
          <w:color w:val="1A1A1A"/>
          <w:sz w:val="22"/>
          <w:szCs w:val="22"/>
        </w:rPr>
        <w:t xml:space="preserve">“The dataset is from 1994. Is this relevant?”</w:t>
      </w:r>
    </w:p>
    <w:p>
      <w:pPr>
        <w:spacing w:after="120" w:before="0" w:line="276"/>
      </w:pPr>
      <w:r>
        <w:rPr>
          <w:rFonts w:ascii="Calibri" w:cs="Calibri" w:eastAsia="Calibri" w:hAnsi="Calibri"/>
          <w:b w:val="false"/>
          <w:bCs w:val="false"/>
          <w:i w:val="false"/>
          <w:iCs w:val="false"/>
          <w:color w:val="1A1A1A"/>
          <w:sz w:val="21"/>
          <w:szCs w:val="21"/>
        </w:rPr>
        <w:t xml:space="preserve">The applications are a stimulus, not a population estimate. Nothing here claims a fact about lending in 1994 or 2026. What is measured is whether a model's decision changes when one token changes, and the vintage of the surrounding record does not bear on that.</w:t>
      </w:r>
    </w:p>
    <w:p>
      <w:pPr>
        <w:spacing w:after="90" w:before="230"/>
      </w:pPr>
      <w:r>
        <w:rPr>
          <w:rFonts w:ascii="Calibri" w:cs="Calibri" w:eastAsia="Calibri" w:hAnsi="Calibri"/>
          <w:b/>
          <w:bCs/>
          <w:color w:val="1A1A1A"/>
          <w:sz w:val="22"/>
          <w:szCs w:val="22"/>
        </w:rPr>
        <w:t xml:space="preserve">“Temperature 0 would make this deterministic. Why not use it?”</w:t>
      </w:r>
    </w:p>
    <w:p>
      <w:pPr>
        <w:spacing w:after="120" w:before="0" w:line="276"/>
      </w:pPr>
      <w:r>
        <w:rPr>
          <w:rFonts w:ascii="Calibri" w:cs="Calibri" w:eastAsia="Calibri" w:hAnsi="Calibri"/>
          <w:b w:val="false"/>
          <w:bCs w:val="false"/>
          <w:i w:val="false"/>
          <w:iCs w:val="false"/>
          <w:color w:val="1A1A1A"/>
          <w:sz w:val="21"/>
          <w:szCs w:val="21"/>
        </w:rPr>
        <w:t xml:space="preserve">The runner uses temperature 0 for the audited models, so their behaviour is the ordinary deployed one. The judge uses 0.3 on purpose: at zero it would look perfectly self-consistent and its instability would simply be invisible, which is the opposite of what a confidence signal is for.</w:t>
      </w:r>
    </w:p>
    <w:p>
      <w:pPr>
        <w:spacing w:after="90" w:before="230"/>
      </w:pPr>
      <w:r>
        <w:rPr>
          <w:rFonts w:ascii="Calibri" w:cs="Calibri" w:eastAsia="Calibri" w:hAnsi="Calibri"/>
          <w:b/>
          <w:bCs/>
          <w:color w:val="1A1A1A"/>
          <w:sz w:val="22"/>
          <w:szCs w:val="22"/>
        </w:rPr>
        <w:t xml:space="preserve">“Four models is a small sample of models.”</w:t>
      </w:r>
    </w:p>
    <w:p>
      <w:pPr>
        <w:spacing w:after="120" w:before="0" w:line="276"/>
      </w:pPr>
      <w:r>
        <w:rPr>
          <w:rFonts w:ascii="Calibri" w:cs="Calibri" w:eastAsia="Calibri" w:hAnsi="Calibri"/>
          <w:b w:val="false"/>
          <w:bCs w:val="false"/>
          <w:i w:val="false"/>
          <w:iCs w:val="false"/>
          <w:color w:val="1A1A1A"/>
          <w:sz w:val="21"/>
          <w:szCs w:val="21"/>
        </w:rPr>
        <w:t xml:space="preserve">Agreed, and it is stated as a limitation. The claim made is about these four, and the replication across two independent families and two scales per family is what gives it any reach beyond them. The scale relationship rests on four points and is described as suggestive rather than established.</w:t>
      </w:r>
    </w:p>
    <w:p>
      <w:pPr>
        <w:spacing w:after="90" w:before="230"/>
      </w:pPr>
      <w:r>
        <w:rPr>
          <w:rFonts w:ascii="Calibri" w:cs="Calibri" w:eastAsia="Calibri" w:hAnsi="Calibri"/>
          <w:b/>
          <w:bCs/>
          <w:color w:val="1A1A1A"/>
          <w:sz w:val="22"/>
          <w:szCs w:val="22"/>
        </w:rPr>
        <w:t xml:space="preserve">“Your judge could be wrong about every transparency item.”</w:t>
      </w:r>
    </w:p>
    <w:p>
      <w:pPr>
        <w:spacing w:after="120" w:before="0" w:line="276"/>
      </w:pPr>
      <w:r>
        <w:rPr>
          <w:rFonts w:ascii="Calibri" w:cs="Calibri" w:eastAsia="Calibri" w:hAnsi="Calibri"/>
          <w:b w:val="false"/>
          <w:bCs w:val="false"/>
          <w:i w:val="false"/>
          <w:iCs w:val="false"/>
          <w:color w:val="1A1A1A"/>
          <w:sz w:val="21"/>
          <w:szCs w:val="21"/>
        </w:rPr>
        <w:t xml:space="preserve">It could, and nothing in the project currently rules that out — which is why no transparency number is reportable yet. The pipeline marks them as inputs to a validation study and refuses to let them carry a claim. That refusal is enforced in the ledger, not left to the author's discipline.</w:t>
      </w:r>
    </w:p>
    <w:p>
      <w:pPr>
        <w:spacing w:after="90" w:before="230"/>
      </w:pPr>
      <w:r>
        <w:rPr>
          <w:rFonts w:ascii="Calibri" w:cs="Calibri" w:eastAsia="Calibri" w:hAnsi="Calibri"/>
          <w:b/>
          <w:bCs/>
          <w:color w:val="1A1A1A"/>
          <w:sz w:val="22"/>
          <w:szCs w:val="22"/>
        </w:rPr>
        <w:t xml:space="preserve">“Why should anyone trust a threshold you chose?”</w:t>
      </w:r>
    </w:p>
    <w:p>
      <w:pPr>
        <w:spacing w:after="120" w:before="0" w:line="276"/>
      </w:pPr>
      <w:r>
        <w:rPr>
          <w:rFonts w:ascii="Calibri" w:cs="Calibri" w:eastAsia="Calibri" w:hAnsi="Calibri"/>
          <w:b w:val="false"/>
          <w:bCs w:val="false"/>
          <w:i w:val="false"/>
          <w:iCs w:val="false"/>
          <w:color w:val="1A1A1A"/>
          <w:sz w:val="21"/>
          <w:szCs w:val="21"/>
        </w:rPr>
        <w:t xml:space="preserve">They should not trust it; they should check it. It is in a version-controlled file, with its rationale and its review note written beside it, hashed before any result existed. The review note on the fairness margin says in plain words that it is the number most worth arguing with.</w:t>
      </w:r>
    </w:p>
    <w:p>
      <w:pPr>
        <w:spacing w:after="90" w:before="230"/>
      </w:pPr>
      <w:r>
        <w:rPr>
          <w:rFonts w:ascii="Calibri" w:cs="Calibri" w:eastAsia="Calibri" w:hAnsi="Calibri"/>
          <w:b/>
          <w:bCs/>
          <w:color w:val="1A1A1A"/>
          <w:sz w:val="22"/>
          <w:szCs w:val="22"/>
        </w:rPr>
        <w:t xml:space="preserve">“How do you know the probe generator isn't producing the effect?”</w:t>
      </w:r>
    </w:p>
    <w:p>
      <w:pPr>
        <w:spacing w:after="120" w:before="0" w:line="276"/>
      </w:pPr>
      <w:r>
        <w:rPr>
          <w:rFonts w:ascii="Calibri" w:cs="Calibri" w:eastAsia="Calibri" w:hAnsi="Calibri"/>
          <w:b w:val="false"/>
          <w:bCs w:val="false"/>
          <w:i w:val="false"/>
          <w:iCs w:val="false"/>
          <w:color w:val="1A1A1A"/>
          <w:sz w:val="21"/>
          <w:szCs w:val="21"/>
        </w:rPr>
        <w:t xml:space="preserve">Two invariants enforced at construction, and two scorings in the test suite. A scorer blind to the protected arm produces a gap of exactly 0.0 on the generated set; a scorer with an injected bias recovers it, localised to the stratum. Separately, the planted-axis control now fires on three of four models at p between 6 × 10⁻⁵ and 3 × 10⁻¹¹, which establishes that the live instrument is sensitive on the protected axis.</w:t>
      </w:r>
    </w:p>
    <w:p>
      <w:pPr>
        <w:pStyle w:val="Heading1"/>
        <w:spacing w:after="130" w:before="340"/>
      </w:pPr>
      <w:r>
        <w:rPr>
          <w:rFonts w:ascii="Calibri" w:cs="Calibri" w:eastAsia="Calibri" w:hAnsi="Calibri"/>
          <w:b/>
          <w:bCs/>
          <w:color w:val="1A1A1A"/>
          <w:sz w:val="28"/>
          <w:szCs w:val="28"/>
        </w:rPr>
        <w:t xml:space="preserve">11.  What remains to be done</w:t>
      </w:r>
    </w:p>
    <w:p>
      <w:pPr>
        <w:spacing w:after="120" w:before="0" w:line="276"/>
      </w:pPr>
      <w:r>
        <w:rPr>
          <w:rFonts w:ascii="Calibri" w:cs="Calibri" w:eastAsia="Calibri" w:hAnsi="Calibri"/>
          <w:b w:val="false"/>
          <w:bCs w:val="false"/>
          <w:i w:val="false"/>
          <w:iCs w:val="false"/>
          <w:color w:val="1A1A1A"/>
          <w:sz w:val="21"/>
          <w:szCs w:val="21"/>
        </w:rPr>
        <w:t xml:space="preserve">Every architectural component is built and under test. What is left is execution — running a study that needs two people and an approval — plus one optional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995"/>
        <w:gridCol w:w="1310"/>
        <w:gridCol w:w="2246"/>
      </w:tblGrid>
      <w:tr>
        <w:tc>
          <w:tcPr>
            <w:tcW w:type="dxa" w:w="2808"/>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Item</w:t>
            </w:r>
          </w:p>
        </w:tc>
        <w:tc>
          <w:tcPr>
            <w:tcW w:type="dxa" w:w="2995"/>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State</w:t>
            </w:r>
          </w:p>
        </w:tc>
        <w:tc>
          <w:tcPr>
            <w:tcW w:type="dxa" w:w="1310"/>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Effort</w:t>
            </w:r>
          </w:p>
        </w:tc>
        <w:tc>
          <w:tcPr>
            <w:tcW w:type="dxa" w:w="2246"/>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Blocked by</w:t>
            </w:r>
          </w:p>
        </w:tc>
      </w:tr>
      <w:tr>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Annotation pilot, 30 items</w:t>
            </w:r>
          </w:p>
        </w:tc>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Sheets, rater tooling and scoring all built</w:t>
            </w:r>
          </w:p>
        </w:tc>
        <w:tc>
          <w:tcPr>
            <w:tcW w:type="dxa" w:w="131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 hr × 2 raters</w:t>
            </w:r>
          </w:p>
        </w:tc>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Ethics submission</w:t>
            </w:r>
          </w:p>
        </w:tc>
      </w:tr>
      <w:tr>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Main annotation, 300 items</w:t>
            </w:r>
          </w:p>
        </w:tc>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Same tooling</w:t>
            </w:r>
          </w:p>
        </w:tc>
        <w:tc>
          <w:tcPr>
            <w:tcW w:type="dxa" w:w="131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 hrs × 2 raters</w:t>
            </w:r>
          </w:p>
        </w:tc>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pilot</w:t>
            </w:r>
          </w:p>
        </w:tc>
      </w:tr>
      <w:tr>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Agreement scoring — AC1, κ, ceiling</w:t>
            </w:r>
          </w:p>
        </w:tc>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Code written and tested</w:t>
            </w:r>
          </w:p>
        </w:tc>
        <w:tc>
          <w:tcPr>
            <w:tcW w:type="dxa" w:w="131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minutes</w:t>
            </w:r>
          </w:p>
        </w:tc>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labels</w:t>
            </w:r>
          </w:p>
        </w:tc>
      </w:tr>
      <w:tr>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Conformal gate calibrated on the judge path</w:t>
            </w:r>
          </w:p>
        </w:tc>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Gate implemented and proven on the gold pipeline</w:t>
            </w:r>
          </w:p>
        </w:tc>
        <w:tc>
          <w:tcPr>
            <w:tcW w:type="dxa" w:w="131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half a day</w:t>
            </w:r>
          </w:p>
        </w:tc>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59 calibration points from the labels</w:t>
            </w:r>
          </w:p>
        </w:tc>
      </w:tr>
      <w:tr>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Planted-axis control re-sized to ~75 pairs in the strong stratum</w:t>
            </w:r>
          </w:p>
        </w:tc>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Fires on three of four models at current size</w:t>
            </w:r>
          </w:p>
        </w:tc>
        <w:tc>
          <w:tcPr>
            <w:tcW w:type="dxa" w:w="131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hrs GPU</w:t>
            </w:r>
          </w:p>
        </w:tc>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Nothing</w:t>
            </w:r>
          </w:p>
        </w:tc>
      </w:tr>
      <w:tr>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Position recorded on consistency and truthfulness</w:t>
            </w:r>
          </w:p>
        </w:tc>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Generators exist; no clause activates them</w:t>
            </w:r>
          </w:p>
        </w:tc>
        <w:tc>
          <w:tcPr>
            <w:tcW w:type="dxa" w:w="131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 hr</w:t>
            </w:r>
          </w:p>
        </w:tc>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Nothing</w:t>
            </w:r>
          </w:p>
        </w:tc>
      </w:tr>
      <w:tr>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Generalisation to insurance</w:t>
            </w:r>
          </w:p>
        </w:tc>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Stimulus pack exists; needs re-signing and a continuous-outcome jury route</w:t>
            </w:r>
          </w:p>
        </w:tc>
        <w:tc>
          <w:tcPr>
            <w:tcW w:type="dxa" w:w="131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2–3 days</w:t>
            </w:r>
          </w:p>
        </w:tc>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Nothing — optional</w:t>
            </w:r>
          </w:p>
        </w:tc>
      </w:tr>
      <w:tr>
        <w:tc>
          <w:tcPr>
            <w:tcW w:type="dxa" w:w="2808"/>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Exposé rewritten to match what was built</w:t>
            </w:r>
          </w:p>
        </w:tc>
        <w:tc>
          <w:tcPr>
            <w:tcW w:type="dxa" w:w="299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1310"/>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days</w:t>
            </w:r>
          </w:p>
        </w:tc>
        <w:tc>
          <w:tcPr>
            <w:tcW w:type="dxa" w:w="2246"/>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Nothing</w:t>
            </w:r>
          </w:p>
        </w:tc>
      </w:tr>
    </w:tbl>
    <w:p>
      <w:pPr>
        <w:spacing w:after="120" w:before="120" w:line="276"/>
      </w:pPr>
      <w:r>
        <w:rPr>
          <w:rFonts w:ascii="Calibri" w:cs="Calibri" w:eastAsia="Calibri" w:hAnsi="Calibri"/>
          <w:b/>
          <w:bCs/>
          <w:i w:val="false"/>
          <w:iCs w:val="false"/>
          <w:color w:val="1A1A1A"/>
          <w:sz w:val="21"/>
          <w:szCs w:val="21"/>
        </w:rPr>
        <w:t xml:space="preserve">Roughly three working days of technical work remain across the whole project. </w:t>
      </w:r>
      <w:r>
        <w:rPr>
          <w:rFonts w:ascii="Calibri" w:cs="Calibri" w:eastAsia="Calibri" w:hAnsi="Calibri"/>
          <w:b w:val="false"/>
          <w:bCs w:val="false"/>
          <w:i w:val="false"/>
          <w:iCs w:val="false"/>
          <w:color w:val="1A1A1A"/>
          <w:sz w:val="21"/>
          <w:szCs w:val="21"/>
        </w:rPr>
        <w:t xml:space="preserve">Everything else is waiting. The annotation study unblocks the hypothesis on judge agreement, the judge validation and the conformal gate calibration simultaneously, and it is blocked on an ethics submission that has not been filed.</w:t>
      </w:r>
    </w:p>
    <w:p>
      <w:pPr>
        <w:spacing w:after="120" w:before="0" w:line="276"/>
      </w:pPr>
      <w:r>
        <w:rPr>
          <w:rFonts w:ascii="Calibri" w:cs="Calibri" w:eastAsia="Calibri" w:hAnsi="Calibri"/>
          <w:b w:val="false"/>
          <w:bCs w:val="false"/>
          <w:i w:val="false"/>
          <w:iCs w:val="false"/>
          <w:color w:val="1A1A1A"/>
          <w:sz w:val="21"/>
          <w:szCs w:val="21"/>
        </w:rPr>
        <w:t xml:space="preserve">The first question is not how to write that submission but whether full review is required at all. Two adults labelling model output, over a public anonymised 1994 dataset with synthetic names attached at probe-generation time and no personal data collected, may qualify as exempt — days rather than weeks. The difference between the two routes is roughly six weeks of elapsed schedule on identical work.</w:t>
      </w:r>
    </w:p>
    <w:p>
      <w:pPr>
        <w:pStyle w:val="Heading1"/>
        <w:spacing w:after="130" w:before="340"/>
      </w:pPr>
      <w:r>
        <w:rPr>
          <w:rFonts w:ascii="Calibri" w:cs="Calibri" w:eastAsia="Calibri" w:hAnsi="Calibri"/>
          <w:b/>
          <w:bCs/>
          <w:color w:val="1A1A1A"/>
          <w:sz w:val="28"/>
          <w:szCs w:val="28"/>
        </w:rPr>
        <w:t xml:space="preserve">12.  Limitations, stated first</w:t>
      </w:r>
    </w:p>
    <w:p>
      <w:pPr>
        <w:spacing w:after="120" w:before="0" w:line="276"/>
      </w:pPr>
      <w:r>
        <w:rPr>
          <w:rFonts w:ascii="Calibri" w:cs="Calibri" w:eastAsia="Calibri" w:hAnsi="Calibri"/>
          <w:b w:val="false"/>
          <w:bCs w:val="false"/>
          <w:i w:val="false"/>
          <w:iCs w:val="false"/>
          <w:color w:val="1A1A1A"/>
          <w:sz w:val="21"/>
          <w:szCs w:val="21"/>
        </w:rPr>
        <w:t xml:space="preserve">These are offered before they are asked for. A limitation an examiner finds is worth less than one the author already named.</w:t>
      </w:r>
    </w:p>
    <w:p>
      <w:pPr>
        <w:pStyle w:val="ListParagraph"/>
        <w:numPr>
          <w:ilvl w:val="0"/>
          <w:numId w:val="2"/>
        </w:numPr>
        <w:spacing w:after="70" w:line="276"/>
      </w:pPr>
      <w:r>
        <w:rPr>
          <w:rFonts w:ascii="Calibri" w:cs="Calibri" w:eastAsia="Calibri" w:hAnsi="Calibri"/>
          <w:color w:val="1A1A1A"/>
          <w:sz w:val="20"/>
          <w:szCs w:val="20"/>
        </w:rPr>
        <w:t xml:space="preserve">No transparency finding exists yet. Every such number is an input to a validation study that has not run, and the report refuses to let any of them carry a claim.</w:t>
      </w:r>
    </w:p>
    <w:p>
      <w:pPr>
        <w:pStyle w:val="ListParagraph"/>
        <w:numPr>
          <w:ilvl w:val="0"/>
          <w:numId w:val="2"/>
        </w:numPr>
        <w:spacing w:after="70" w:line="276"/>
      </w:pPr>
      <w:r>
        <w:rPr>
          <w:rFonts w:ascii="Calibri" w:cs="Calibri" w:eastAsia="Calibri" w:hAnsi="Calibri"/>
          <w:color w:val="1A1A1A"/>
          <w:sz w:val="20"/>
          <w:szCs w:val="20"/>
        </w:rPr>
        <w:t xml:space="preserve">One protected axis. Gender, via the applicant title, so that a pair differs by exactly one token. Age or nationality is a configuration change, but each axis costs a full pre-registered sample.</w:t>
      </w:r>
    </w:p>
    <w:p>
      <w:pPr>
        <w:pStyle w:val="ListParagraph"/>
        <w:numPr>
          <w:ilvl w:val="0"/>
          <w:numId w:val="2"/>
        </w:numPr>
        <w:spacing w:after="70" w:line="276"/>
      </w:pPr>
      <w:r>
        <w:rPr>
          <w:rFonts w:ascii="Calibri" w:cs="Calibri" w:eastAsia="Calibri" w:hAnsi="Calibri"/>
          <w:color w:val="1A1A1A"/>
          <w:sz w:val="20"/>
          <w:szCs w:val="20"/>
        </w:rPr>
        <w:t xml:space="preserve">Two of five dimensions are inactive. Consistency and truthfulness have generators and no activating clause in the committed checklist; the truthfulness seed bank holds 20 items against a target of 300. The manifest reports the shortfall rather than hiding it.</w:t>
      </w:r>
    </w:p>
    <w:p>
      <w:pPr>
        <w:pStyle w:val="ListParagraph"/>
        <w:numPr>
          <w:ilvl w:val="0"/>
          <w:numId w:val="2"/>
        </w:numPr>
        <w:spacing w:after="70" w:line="276"/>
      </w:pPr>
      <w:r>
        <w:rPr>
          <w:rFonts w:ascii="Calibri" w:cs="Calibri" w:eastAsia="Calibri" w:hAnsi="Calibri"/>
          <w:color w:val="1A1A1A"/>
          <w:sz w:val="20"/>
          <w:szCs w:val="20"/>
        </w:rPr>
        <w:t xml:space="preserve">Four models, one scale pair per family. The scale relationship rests on four points and is described as suggestive.</w:t>
      </w:r>
    </w:p>
    <w:p>
      <w:pPr>
        <w:pStyle w:val="ListParagraph"/>
        <w:numPr>
          <w:ilvl w:val="0"/>
          <w:numId w:val="2"/>
        </w:numPr>
        <w:spacing w:after="70" w:line="276"/>
      </w:pPr>
      <w:r>
        <w:rPr>
          <w:rFonts w:ascii="Calibri" w:cs="Calibri" w:eastAsia="Calibri" w:hAnsi="Calibri"/>
          <w:color w:val="1A1A1A"/>
          <w:sz w:val="20"/>
          <w:szCs w:val="20"/>
        </w:rPr>
        <w:t xml:space="preserve">The human ceiling will rest on a single rater pair.</w:t>
      </w:r>
    </w:p>
    <w:p>
      <w:pPr>
        <w:pStyle w:val="ListParagraph"/>
        <w:numPr>
          <w:ilvl w:val="0"/>
          <w:numId w:val="2"/>
        </w:numPr>
        <w:spacing w:after="70" w:line="276"/>
      </w:pPr>
      <w:r>
        <w:rPr>
          <w:rFonts w:ascii="Calibri" w:cs="Calibri" w:eastAsia="Calibri" w:hAnsi="Calibri"/>
          <w:color w:val="1A1A1A"/>
          <w:sz w:val="20"/>
          <w:szCs w:val="20"/>
        </w:rPr>
        <w:t xml:space="preserve">The scope-partition tagger is heuristic; the human-signed partition governs.</w:t>
      </w:r>
    </w:p>
    <w:p>
      <w:pPr>
        <w:pStyle w:val="ListParagraph"/>
        <w:numPr>
          <w:ilvl w:val="0"/>
          <w:numId w:val="2"/>
        </w:numPr>
        <w:spacing w:after="70" w:line="276"/>
      </w:pPr>
      <w:r>
        <w:rPr>
          <w:rFonts w:ascii="Calibri" w:cs="Calibri" w:eastAsia="Calibri" w:hAnsi="Calibri"/>
          <w:color w:val="1A1A1A"/>
          <w:sz w:val="20"/>
          <w:szCs w:val="20"/>
        </w:rPr>
        <w:t xml:space="preserve">The retrieval gold set is ten queries. recall@3 = 1.00 is reported with the caveat that the set is too small to quote as a headline.</w:t>
      </w:r>
    </w:p>
    <w:p>
      <w:pPr>
        <w:pStyle w:val="ListParagraph"/>
        <w:numPr>
          <w:ilvl w:val="0"/>
          <w:numId w:val="2"/>
        </w:numPr>
        <w:spacing w:after="70" w:line="276"/>
      </w:pPr>
      <w:r>
        <w:rPr>
          <w:rFonts w:ascii="Calibri" w:cs="Calibri" w:eastAsia="Calibri" w:hAnsi="Calibri"/>
          <w:color w:val="1A1A1A"/>
          <w:sz w:val="20"/>
          <w:szCs w:val="20"/>
        </w:rPr>
        <w:t xml:space="preserve">One arithmetic coincidence is unresolved: two models land on exactly 128 of 725 flipped applications. A tie is roughly 3–4% likely under the observed rate, so probably coincidence, but the flipped case sets should be confirmed to differ before publication.</w:t>
      </w:r>
    </w:p>
    <w:p>
      <w:pPr>
        <w:pStyle w:val="Heading1"/>
        <w:spacing w:after="130" w:before="340"/>
      </w:pPr>
      <w:r>
        <w:rPr>
          <w:rFonts w:ascii="Calibri" w:cs="Calibri" w:eastAsia="Calibri" w:hAnsi="Calibri"/>
          <w:b/>
          <w:bCs/>
          <w:color w:val="1A1A1A"/>
          <w:sz w:val="28"/>
          <w:szCs w:val="28"/>
        </w:rPr>
        <w:t xml:space="preserve">13.  One-page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7675"/>
      </w:tblGrid>
      <w:tr>
        <w:tc>
          <w:tcPr>
            <w:tcW w:type="dxa" w:w="1685"/>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w:r>
          </w:p>
        </w:tc>
        <w:tc>
          <w:tcPr>
            <w:tcW w:type="dxa" w:w="7675"/>
            <w:shd w:fill="EFEDE7" w:color="auto" w:val="clear"/>
            <w:tcMar>
              <w:top w:type="dxa" w:w="70"/>
              <w:left w:type="dxa" w:w="110"/>
              <w:bottom w:type="dxa" w:w="70"/>
              <w:right w:type="dxa" w:w="110"/>
            </w:tcMar>
          </w:tcPr>
          <w:p>
            <w:pPr>
              <w:spacing w:after="0" w:line="250"/>
            </w:pPr>
            <w:r>
              <w:rPr>
                <w:rFonts w:ascii="Calibri" w:cs="Calibri" w:eastAsia="Calibri" w:hAnsi="Calibri"/>
                <w:b/>
                <w:bCs/>
                <w:color w:val="1A1A1A"/>
                <w:sz w:val="19"/>
                <w:szCs w:val="19"/>
              </w:rPr>
              <w:t xml:space="preserve"/>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Corpus</w:t>
            </w:r>
          </w:p>
        </w:tc>
        <w:tc>
          <w:tcPr>
            <w:tcW w:type="dxa" w:w="767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EU AI Act OJ L 2024/1689 → 1,143 legal units by deterministic parse, not RAG</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Probes</w:t>
            </w:r>
          </w:p>
        </w:tc>
        <w:tc>
          <w:tcPr>
            <w:tcW w:type="dxa" w:w="767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14,825 prompts over 5,617 independent cases, seeded and frozen, generated from a signed checklist</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Models</w:t>
            </w:r>
          </w:p>
        </w:tc>
        <w:tc>
          <w:tcPr>
            <w:tcW w:type="dxa" w:w="767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Qwen2.5 7B and 32B; Llama-3.1 8B and 70B — two families, two scales each</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Responses</w:t>
            </w:r>
          </w:p>
        </w:tc>
        <w:tc>
          <w:tcPr>
            <w:tcW w:type="dxa" w:w="767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61,259, append-only and hash-chained, probe coverage 1.00</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Headline</w:t>
            </w:r>
          </w:p>
        </w:tc>
        <w:tc>
          <w:tcPr>
            <w:tcW w:type="dxa" w:w="767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139 discordant pairs favour the female-titled applicant against 18; p = 2.4 × 10⁻²⁴</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Contribution</w:t>
            </w:r>
          </w:p>
        </w:tc>
        <w:tc>
          <w:tcPr>
            <w:tcW w:type="dxa" w:w="767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The four-fifths rule clears all four models while the matched-pair test rejects three</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Judge</w:t>
            </w:r>
          </w:p>
        </w:tc>
        <w:tc>
          <w:tcPr>
            <w:tcW w:type="dxa" w:w="767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microsoft/phi-4, k = 5 — disjoint family, span-grounded, not yet validated</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Ledger</w:t>
            </w:r>
          </w:p>
        </w:tc>
        <w:tc>
          <w:tcPr>
            <w:tcW w:type="dxa" w:w="767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148 findings admitted; 8 eligible to carry a claim, all deterministic</w:t>
            </w:r>
          </w:p>
        </w:tc>
      </w:tr>
      <w:tr>
        <w:tc>
          <w:tcPr>
            <w:tcW w:type="dxa" w:w="168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Tests</w:t>
            </w:r>
          </w:p>
        </w:tc>
        <w:tc>
          <w:tcPr>
            <w:tcW w:type="dxa" w:w="7675"/>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265 passing</w:t>
            </w:r>
          </w:p>
        </w:tc>
      </w:tr>
    </w:tbl>
    <w:p>
      <w:pPr>
        <w:spacing w:after="140" w:line="276"/>
      </w:pPr>
      <w:r>
        <w:rPr>
          <w:rFonts w:ascii="Calibri" w:cs="Calibri" w:eastAsia="Calibri" w:hAnsi="Calibri"/>
          <w:i/>
          <w:iCs/>
          <w:color w:val="5F6368"/>
          <w:sz w:val="19"/>
          <w:szCs w:val="19"/>
        </w:rPr>
        <w:t xml:space="preserve">Repository: github.com/prasadwatane/CASE-STUDY  ·  every figure in this document regenerates from the committed response log by running scripts/run_jury.py and scripts/run_report.py.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2026-09-14T09:53:16.266Z</dcterms:created>
  <dcterms:modified xsi:type="dcterms:W3CDTF">2026-09-14T09:53:16.266Z</dcterms:modified>
</cp:coreProperties>
</file>

<file path=docProps/custom.xml><?xml version="1.0" encoding="utf-8"?>
<Properties xmlns="http://schemas.openxmlformats.org/officeDocument/2006/custom-properties" xmlns:vt="http://schemas.openxmlformats.org/officeDocument/2006/docPropsVTypes"/>
</file>