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b1220" w:val="clear"/>
        <w:spacing w:after="0" w:before="400"/>
      </w:pPr>
      <w:r>
        <w:rPr>
          <w:sz w:val="2"/>
          <w:szCs w:val="2"/>
        </w:rPr>
        <w:t xml:space="preserve"> 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0b1220" w:val="clear"/>
            <w:tcMar>
              <w:top w:type="dxa" w:w="1200"/>
              <w:left w:type="dxa" w:w="500"/>
              <w:bottom w:type="dxa" w:w="1600"/>
              <w:right w:type="dxa" w:w="500"/>
            </w:tcMar>
          </w:tcPr>
          <w:p>
            <w:pPr>
              <w:pBdr>
                <w:top w:val="single" w:color="5A6B85" w:sz="6"/>
                <w:bottom w:val="single" w:color="5A6B85" w:sz="6"/>
                <w:left w:val="single" w:color="5A6B85" w:sz="6"/>
                <w:right w:val="single" w:color="5A6B85" w:sz="6"/>
              </w:pBdr>
              <w:spacing w:after="500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  ICPay</w:t>
            </w:r>
            <w:r>
              <w:rPr>
                <w:b/>
                <w:bCs/>
                <w:color w:val="10A394"/>
                <w:sz w:val="32"/>
                <w:szCs w:val="32"/>
              </w:rPr>
              <w:t xml:space="preserve">.  </w:t>
            </w:r>
          </w:p>
          <w:p>
            <w:pPr>
              <w:spacing w:after="200" w:before="700"/>
            </w:pPr>
            <w:r>
              <w:rPr>
                <w:b/>
                <w:bCs/>
                <w:color w:val="7FDBD0"/>
                <w:spacing w:val="30"/>
                <w:sz w:val="18"/>
                <w:szCs w:val="18"/>
              </w:rPr>
              <w:t xml:space="preserve">PRODUCT &amp; ENGINEERING ROADMAP</w:t>
            </w:r>
          </w:p>
          <w:p>
            <w:pPr>
              <w:spacing w:after="100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Building the wallet</w:t>
            </w:r>
          </w:p>
          <w:p>
            <w:pPr>
              <w:spacing w:after="100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where the address</w:t>
            </w:r>
          </w:p>
          <w:p>
            <w:pPr>
              <w:spacing w:after="300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is a username.</w:t>
            </w:r>
          </w:p>
          <w:p>
            <w:pPr>
              <w:spacing w:after="400"/>
            </w:pPr>
            <w:r>
              <w:rPr>
                <w:color w:val="B9C6DA"/>
                <w:sz w:val="20"/>
                <w:szCs w:val="20"/>
              </w:rPr>
              <w:t xml:space="preserve">A phase-by-phase account of what ICPay has shipped, what ships next, and the conditions that must hold true before each future phase is allowed to ship.</w:t>
            </w:r>
          </w:p>
          <w:tbl>
            <w:tblPr>
              <w:tblW w:type="dxa" w:w="6000"/>
              <w:tblBorders>
                <w:top w:val="single" w:color="4FD1C5" w:sz="4"/>
                <w:left w:val="single" w:color="4FD1C5" w:sz="4"/>
                <w:bottom w:val="single" w:color="4FD1C5" w:sz="4"/>
                <w:right w:val="single" w:color="4FD1C5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16332F" w:val="clear"/>
                  <w:tcMar>
                    <w:top w:type="dxa" w:w="100"/>
                    <w:left w:type="dxa" w:w="200"/>
                    <w:bottom w:type="dxa" w:w="100"/>
                    <w:right w:type="dxa" w:w="200"/>
                  </w:tcMar>
                </w:tcPr>
                <w:p>
                  <w:r>
                    <w:rPr>
                      <w:b/>
                      <w:bCs/>
                      <w:color w:val="7FDBD0"/>
                      <w:sz w:val="16"/>
                      <w:szCs w:val="16"/>
                    </w:rPr>
                    <w:t xml:space="preserve">CURRENT STATE — PHASE 2 LIVE AT ICPAY.APP</w:t>
                  </w:r>
                </w:p>
              </w:tc>
            </w:tr>
          </w:tbl>
          <w:p>
            <w:pPr>
              <w:pBdr>
                <w:top w:val="single" w:color="3A4A63" w:sz="4"/>
              </w:pBdr>
              <w:spacing w:before="900"/>
            </w:pPr>
          </w:p>
          <w:tbl>
            <w:tblPr>
              <w:tblW w:type="dxa" w:w="80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  <w:gridCol w:w="100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r>
                    <w:rPr>
                      <w:b/>
                      <w:bCs/>
                      <w:color w:val="E7EDF7"/>
                      <w:sz w:val="14"/>
                      <w:szCs w:val="14"/>
                    </w:rPr>
                    <w:t xml:space="preserve">DOCUMENT</w:t>
                  </w:r>
                </w:p>
                <w:p>
                  <w:r>
                    <w:rPr>
                      <w:color w:val="93A2BA"/>
                      <w:sz w:val="14"/>
                      <w:szCs w:val="14"/>
                    </w:rPr>
                    <w:t xml:space="preserve">ICPay Roadmap — Formal Edition</w:t>
                  </w:r>
                </w:p>
              </w:tc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r>
                    <w:rPr>
                      <w:b/>
                      <w:bCs/>
                      <w:color w:val="E7EDF7"/>
                      <w:sz w:val="14"/>
                      <w:szCs w:val="14"/>
                    </w:rPr>
                    <w:t xml:space="preserve">LAST REVIEWED</w:t>
                  </w:r>
                </w:p>
                <w:p>
                  <w:r>
                    <w:rPr>
                      <w:color w:val="93A2BA"/>
                      <w:sz w:val="14"/>
                      <w:szCs w:val="14"/>
                    </w:rPr>
                    <w:t xml:space="preserve">August 3, 2026</w:t>
                  </w:r>
                </w:p>
              </w:tc>
              <w:tc>
                <w:tcPr>
                  <w:tcW w:type="dxa" w:w="3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r>
                    <w:rPr>
                      <w:b/>
                      <w:bCs/>
                      <w:color w:val="E7EDF7"/>
                      <w:sz w:val="14"/>
                      <w:szCs w:val="14"/>
                    </w:rPr>
                    <w:t xml:space="preserve">SOURCE OF TRUTH</w:t>
                  </w:r>
                </w:p>
                <w:p>
                  <w:r>
                    <w:rPr>
                      <w:color w:val="93A2BA"/>
                      <w:sz w:val="14"/>
                      <w:szCs w:val="14"/>
                    </w:rPr>
                    <w:t xml:space="preserve">Verified against production code, not memory</w:t>
                  </w:r>
                </w:p>
              </w:tc>
              <w:tc>
                <w:tcPr>
                  <w:tcW w:type="dxa" w:w="15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r>
                    <w:rPr>
                      <w:b/>
                      <w:bCs/>
                      <w:color w:val="E7EDF7"/>
                      <w:sz w:val="14"/>
                      <w:szCs w:val="14"/>
                    </w:rPr>
                    <w:t xml:space="preserve">REFERENCE</w:t>
                  </w:r>
                </w:p>
                <w:p>
                  <w:r>
                    <w:rPr>
                      <w:color w:val="93A2BA"/>
                      <w:sz w:val="14"/>
                      <w:szCs w:val="14"/>
                    </w:rPr>
                    <w:t xml:space="preserve">icpay.app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9026"/>
        <w:tblBorders>
          <w:top w:val="none" w:color="FFFFFF" w:sz="0"/>
          <w:left w:val="none" w:color="FFFFFF" w:sz="0"/>
          <w:bottom w:val="single" w:color="142544" w:sz="12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5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00"/>
            </w:tcMar>
          </w:tcPr>
          <w:p>
            <w:r>
              <w:rPr>
                <w:b/>
                <w:bCs/>
                <w:color w:val="142544"/>
                <w:sz w:val="24"/>
                <w:szCs w:val="24"/>
              </w:rPr>
              <w:t xml:space="preserve">ICPay</w:t>
            </w:r>
            <w:r>
              <w:rPr>
                <w:b/>
                <w:bCs/>
                <w:color w:val="10A394"/>
                <w:sz w:val="24"/>
                <w:szCs w:val="24"/>
              </w:rPr>
              <w:t xml:space="preserve">.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00"/>
            </w:tcMar>
            <w:vAlign w:val="bottom"/>
          </w:tcPr>
          <w:p>
            <w:pPr>
              <w:jc w:val="right"/>
            </w:pPr>
            <w:r>
              <w:rPr>
                <w:color w:val="8A94A6"/>
                <w:spacing w:val="10"/>
                <w:sz w:val="14"/>
                <w:szCs w:val="14"/>
              </w:rPr>
              <w:t xml:space="preserve">ROADMAP · OVERVIEW</w:t>
            </w:r>
          </w:p>
        </w:tc>
      </w:tr>
    </w:tbl>
    <w:p>
      <w:pPr>
        <w:spacing w:after="150"/>
      </w:pPr>
    </w:p>
    <w:p>
      <w:pPr>
        <w:spacing w:after="40" w:before="60"/>
      </w:pPr>
      <w:r>
        <w:rPr>
          <w:b/>
          <w:bCs/>
          <w:color w:val="10A394"/>
          <w:spacing w:val="20"/>
          <w:sz w:val="15"/>
          <w:szCs w:val="15"/>
        </w:rPr>
        <w:t xml:space="preserve">WHERE WE ARE</w:t>
      </w:r>
    </w:p>
    <w:p>
      <w:pPr>
        <w:spacing w:after="80" w:before="0"/>
      </w:pPr>
      <w:r>
        <w:rPr>
          <w:b/>
          <w:bCs/>
          <w:color w:val="142544"/>
          <w:sz w:val="30"/>
          <w:szCs w:val="30"/>
        </w:rPr>
        <w:t xml:space="preserve">A custodial ICP wallet, addressed by username</w:t>
      </w:r>
    </w:p>
    <w:p>
      <w:pPr>
        <w:spacing w:after="120"/>
      </w:pPr>
      <w:r>
        <w:rPr>
          <w:i w:val="false"/>
          <w:iCs w:val="false"/>
          <w:color w:val="4A5568"/>
          <w:sz w:val="19"/>
          <w:szCs w:val="19"/>
        </w:rPr>
        <w:t xml:space="preserve">ICPay lets a user hold Internet Computer assets and send them to a human-readable handle instead of a 64-character principal. Internet Identity replaces passwords and seed phrases entirely. The product is live today in Phase 2: every supported token is visible in the wallet, but only ICP itself can currently move. Every phase below is ordered by technical dependency, not by ambition — each one is described as something that is either built, or unblocked only once the phase before it ships.</w:t>
      </w:r>
    </w:p>
    <w:p>
      <w:pPr>
        <w:spacing w:after="8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dxa" w:w="3009"/>
            <w:tcBorders>
              <w:top w:val="single" w:color="E3E8F0" w:sz="4"/>
              <w:left w:val="single" w:color="10A394" w:sz="32"/>
              <w:bottom w:val="single" w:color="E3E8F0" w:sz="4"/>
              <w:right w:val="single" w:color="E3E8F0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10A394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1B2430"/>
                <w:sz w:val="17"/>
                <w:szCs w:val="17"/>
              </w:rPr>
              <w:t xml:space="preserve">Shipped</w:t>
            </w:r>
          </w:p>
          <w:p>
            <w:pPr>
              <w:spacing w:before="40"/>
            </w:pPr>
            <w:r>
              <w:rPr>
                <w:color w:val="4A5568"/>
                <w:sz w:val="14"/>
                <w:szCs w:val="14"/>
              </w:rPr>
              <w:t xml:space="preserve">Live in production at icpay.app today, verified against the codebase.</w:t>
            </w:r>
          </w:p>
        </w:tc>
        <w:tc>
          <w:tcPr>
            <w:tcW w:type="dxa" w:w="3009"/>
            <w:tcBorders>
              <w:top w:val="single" w:color="E3E8F0" w:sz="4"/>
              <w:left w:val="single" w:color="E0A233" w:sz="32"/>
              <w:bottom w:val="single" w:color="E3E8F0" w:sz="4"/>
              <w:right w:val="single" w:color="E3E8F0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E0A233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1B2430"/>
                <w:sz w:val="17"/>
                <w:szCs w:val="17"/>
              </w:rPr>
              <w:t xml:space="preserve">In progress / next</w:t>
            </w:r>
          </w:p>
          <w:p>
            <w:pPr>
              <w:spacing w:before="40"/>
            </w:pPr>
            <w:r>
              <w:rPr>
                <w:color w:val="4A5568"/>
                <w:sz w:val="14"/>
                <w:szCs w:val="14"/>
              </w:rPr>
              <w:t xml:space="preserve">Actively being built. The immediate priority once Phase 2 stabilizes.</w:t>
            </w:r>
          </w:p>
        </w:tc>
        <w:tc>
          <w:tcPr>
            <w:tcW w:type="dxa" w:w="3008"/>
            <w:tcBorders>
              <w:top w:val="single" w:color="E3E8F0" w:sz="4"/>
              <w:left w:val="single" w:color="9AA5B5" w:sz="32"/>
              <w:bottom w:val="single" w:color="E3E8F0" w:sz="4"/>
              <w:right w:val="single" w:color="E3E8F0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9AA5B5"/>
                <w:sz w:val="16"/>
                <w:szCs w:val="16"/>
              </w:rPr>
              <w:t xml:space="preserve">● </w:t>
            </w:r>
            <w:r>
              <w:rPr>
                <w:b/>
                <w:bCs/>
                <w:color w:val="1B2430"/>
                <w:sz w:val="17"/>
                <w:szCs w:val="17"/>
              </w:rPr>
              <w:t xml:space="preserve">Planned</w:t>
            </w:r>
          </w:p>
          <w:p>
            <w:pPr>
              <w:spacing w:before="40"/>
            </w:pPr>
            <w:r>
              <w:rPr>
                <w:color w:val="4A5568"/>
                <w:sz w:val="14"/>
                <w:szCs w:val="14"/>
              </w:rPr>
              <w:t xml:space="preserve">Scoped and sequenced, not started. Depends on an earlier phase shipping first.</w:t>
            </w:r>
          </w:p>
        </w:tc>
      </w:tr>
    </w:tbl>
    <w:p>
      <w:pPr>
        <w:spacing w:after="150"/>
      </w:pPr>
    </w:p>
    <w:tbl>
      <w:tblPr>
        <w:tblW w:type="dxa" w:w="9026"/>
        <w:tblBorders>
          <w:top w:val="single" w:color="E3E8F0" w:sz="4"/>
          <w:left w:val="single" w:color="E3E8F0" w:sz="4"/>
          <w:bottom w:val="single" w:color="E3E8F0" w:sz="4"/>
          <w:right w:val="single" w:color="E3E8F0" w:sz="4"/>
          <w:insideH w:val="single" w:color="E3E8F0" w:sz="4"/>
          <w:insideV w:val="single" w:color="E3E8F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fill="14254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pacing w:val="6"/>
                <w:sz w:val="15"/>
                <w:szCs w:val="15"/>
              </w:rPr>
              <w:t xml:space="preserve">PHASE</w:t>
            </w:r>
          </w:p>
        </w:tc>
        <w:tc>
          <w:tcPr>
            <w:tcW w:type="dxa" w:w="2100"/>
            <w:shd w:fill="14254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pacing w:val="6"/>
                <w:sz w:val="15"/>
                <w:szCs w:val="15"/>
              </w:rPr>
              <w:t xml:space="preserve">NAME</w:t>
            </w:r>
          </w:p>
        </w:tc>
        <w:tc>
          <w:tcPr>
            <w:tcW w:type="dxa" w:w="1500"/>
            <w:shd w:fill="14254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pacing w:val="6"/>
                <w:sz w:val="15"/>
                <w:szCs w:val="15"/>
              </w:rPr>
              <w:t xml:space="preserve">STATUS</w:t>
            </w:r>
          </w:p>
        </w:tc>
        <w:tc>
          <w:tcPr>
            <w:tcW w:type="dxa" w:w="4726"/>
            <w:shd w:fill="14254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pacing w:val="6"/>
                <w:sz w:val="15"/>
                <w:szCs w:val="15"/>
              </w:rPr>
              <w:t xml:space="preserve">WHAT IT DELIVERS</w:t>
            </w:r>
          </w:p>
        </w:tc>
      </w:tr>
      <w:tr>
        <w:tc>
          <w:tcPr>
            <w:tcW w:type="dxa" w:w="700"/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1B2430"/>
                <w:sz w:val="17"/>
                <w:szCs w:val="17"/>
              </w:rPr>
              <w:t xml:space="preserve">0</w:t>
            </w:r>
          </w:p>
        </w:tc>
        <w:tc>
          <w:tcPr>
            <w:tcW w:type="dxa" w:w="2100"/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2544"/>
                <w:sz w:val="17"/>
                <w:szCs w:val="17"/>
              </w:rPr>
              <w:t xml:space="preserve">Custody foundation</w:t>
            </w:r>
          </w:p>
        </w:tc>
        <w:tc>
          <w:tcPr>
            <w:tcW w:type="dxa" w:w="1500"/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  <w:shd w:fill="10A394" w:val="clear"/>
              </w:rPr>
              <w:t xml:space="preserve">  SHIPPED  </w:t>
            </w:r>
          </w:p>
        </w:tc>
        <w:tc>
          <w:tcPr>
            <w:tcW w:type="dxa" w:w="4726"/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1B2430"/>
                <w:sz w:val="17"/>
                <w:szCs w:val="17"/>
              </w:rPr>
              <w:t xml:space="preserve">Per-user subaccounts, strict service layering, stable-memory upgrades, 24-test suite.</w:t>
            </w:r>
          </w:p>
        </w:tc>
      </w:tr>
      <w:tr>
        <w:tc>
          <w:tcPr>
            <w:tcW w:type="dxa" w:w="700"/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1B2430"/>
                <w:sz w:val="17"/>
                <w:szCs w:val="17"/>
              </w:rPr>
              <w:t xml:space="preserve">1</w:t>
            </w:r>
          </w:p>
        </w:tc>
        <w:tc>
          <w:tcPr>
            <w:tcW w:type="dxa" w:w="2100"/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2544"/>
                <w:sz w:val="17"/>
                <w:szCs w:val="17"/>
              </w:rPr>
              <w:t xml:space="preserve">Username as the address</w:t>
            </w:r>
          </w:p>
        </w:tc>
        <w:tc>
          <w:tcPr>
            <w:tcW w:type="dxa" w:w="1500"/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  <w:shd w:fill="10A394" w:val="clear"/>
              </w:rPr>
              <w:t xml:space="preserve">  SHIPPED  </w:t>
            </w:r>
          </w:p>
        </w:tc>
        <w:tc>
          <w:tcPr>
            <w:tcW w:type="dxa" w:w="4726"/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1B2430"/>
                <w:sz w:val="17"/>
                <w:szCs w:val="17"/>
              </w:rPr>
              <w:t xml:space="preserve">Claimable/purchasable usernames, permanent aliasing, public profiles, 4 send methods.</w:t>
            </w:r>
          </w:p>
        </w:tc>
      </w:tr>
      <w:tr>
        <w:tc>
          <w:tcPr>
            <w:tcW w:type="dxa" w:w="700"/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1B2430"/>
                <w:sz w:val="17"/>
                <w:szCs w:val="17"/>
              </w:rPr>
              <w:t xml:space="preserve">2</w:t>
            </w:r>
          </w:p>
        </w:tc>
        <w:tc>
          <w:tcPr>
            <w:tcW w:type="dxa" w:w="2100"/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2544"/>
                <w:sz w:val="17"/>
                <w:szCs w:val="17"/>
              </w:rPr>
              <w:t xml:space="preserve">Multi-token visibility</w:t>
            </w:r>
          </w:p>
        </w:tc>
        <w:tc>
          <w:tcPr>
            <w:tcW w:type="dxa" w:w="1500"/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  <w:shd w:fill="10A394" w:val="clear"/>
              </w:rPr>
              <w:t xml:space="preserve">  SHIPPED  </w:t>
            </w:r>
          </w:p>
        </w:tc>
        <w:tc>
          <w:tcPr>
            <w:tcW w:type="dxa" w:w="4726"/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1B2430"/>
                <w:sz w:val="17"/>
                <w:szCs w:val="17"/>
              </w:rPr>
              <w:t xml:space="preserve">Auto-discovery of SNS + chain-key tokens, live balances and fiat pricing. Read-only.</w:t>
            </w:r>
          </w:p>
        </w:tc>
      </w:tr>
      <w:tr>
        <w:tc>
          <w:tcPr>
            <w:tcW w:type="dxa" w:w="700"/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1B2430"/>
                <w:sz w:val="17"/>
                <w:szCs w:val="17"/>
              </w:rPr>
              <w:t xml:space="preserve">3</w:t>
            </w:r>
          </w:p>
        </w:tc>
        <w:tc>
          <w:tcPr>
            <w:tcW w:type="dxa" w:w="2100"/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2544"/>
                <w:sz w:val="17"/>
                <w:szCs w:val="17"/>
              </w:rPr>
              <w:t xml:space="preserve">Multi-token transfers</w:t>
            </w:r>
          </w:p>
        </w:tc>
        <w:tc>
          <w:tcPr>
            <w:tcW w:type="dxa" w:w="1500"/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  <w:shd w:fill="E0A233" w:val="clear"/>
              </w:rPr>
              <w:t xml:space="preserve">  NEXT  </w:t>
            </w:r>
          </w:p>
        </w:tc>
        <w:tc>
          <w:tcPr>
            <w:tcW w:type="dxa" w:w="4726"/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1B2430"/>
                <w:sz w:val="17"/>
                <w:szCs w:val="17"/>
              </w:rPr>
              <w:t xml:space="preserve">Generic ICRC-1 send for every visible token — the unlock for everything after it.</w:t>
            </w:r>
          </w:p>
        </w:tc>
      </w:tr>
      <w:tr>
        <w:tc>
          <w:tcPr>
            <w:tcW w:type="dxa" w:w="700"/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1B2430"/>
                <w:sz w:val="17"/>
                <w:szCs w:val="17"/>
              </w:rPr>
              <w:t xml:space="preserve">4</w:t>
            </w:r>
          </w:p>
        </w:tc>
        <w:tc>
          <w:tcPr>
            <w:tcW w:type="dxa" w:w="2100"/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2544"/>
                <w:sz w:val="17"/>
                <w:szCs w:val="17"/>
              </w:rPr>
              <w:t xml:space="preserve">Token creation</w:t>
            </w:r>
          </w:p>
        </w:tc>
        <w:tc>
          <w:tcPr>
            <w:tcW w:type="dxa" w:w="1500"/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  <w:shd w:fill="9AA5B5" w:val="clear"/>
              </w:rPr>
              <w:t xml:space="preserve">  PLANNED  </w:t>
            </w:r>
          </w:p>
        </w:tc>
        <w:tc>
          <w:tcPr>
            <w:tcW w:type="dxa" w:w="4726"/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1B2430"/>
                <w:sz w:val="17"/>
                <w:szCs w:val="17"/>
              </w:rPr>
              <w:t xml:space="preserve">One-screen token launch on the audited reference ledger, creator retains control.</w:t>
            </w:r>
          </w:p>
        </w:tc>
      </w:tr>
      <w:tr>
        <w:tc>
          <w:tcPr>
            <w:tcW w:type="dxa" w:w="700"/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1B2430"/>
                <w:sz w:val="17"/>
                <w:szCs w:val="17"/>
              </w:rPr>
              <w:t xml:space="preserve">5</w:t>
            </w:r>
          </w:p>
        </w:tc>
        <w:tc>
          <w:tcPr>
            <w:tcW w:type="dxa" w:w="2100"/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2544"/>
                <w:sz w:val="17"/>
                <w:szCs w:val="17"/>
              </w:rPr>
              <w:t xml:space="preserve">Liquidity &amp; trading</w:t>
            </w:r>
          </w:p>
        </w:tc>
        <w:tc>
          <w:tcPr>
            <w:tcW w:type="dxa" w:w="1500"/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  <w:shd w:fill="9AA5B5" w:val="clear"/>
              </w:rPr>
              <w:t xml:space="preserve">  PLANNED  </w:t>
            </w:r>
          </w:p>
        </w:tc>
        <w:tc>
          <w:tcPr>
            <w:tcW w:type="dxa" w:w="4726"/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1B2430"/>
                <w:sz w:val="17"/>
                <w:szCs w:val="17"/>
              </w:rPr>
              <w:t xml:space="preserve">Integrate an existing DEX rather than build an AMM; swap and pay in one flow.</w:t>
            </w:r>
          </w:p>
        </w:tc>
      </w:tr>
      <w:tr>
        <w:tc>
          <w:tcPr>
            <w:tcW w:type="dxa" w:w="700"/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1B2430"/>
                <w:sz w:val="17"/>
                <w:szCs w:val="17"/>
              </w:rPr>
              <w:t xml:space="preserve">6</w:t>
            </w:r>
          </w:p>
        </w:tc>
        <w:tc>
          <w:tcPr>
            <w:tcW w:type="dxa" w:w="2100"/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2544"/>
                <w:sz w:val="17"/>
                <w:szCs w:val="17"/>
              </w:rPr>
              <w:t xml:space="preserve">Decentralizing custody</w:t>
            </w:r>
          </w:p>
        </w:tc>
        <w:tc>
          <w:tcPr>
            <w:tcW w:type="dxa" w:w="1500"/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  <w:shd w:fill="9AA5B5" w:val="clear"/>
              </w:rPr>
              <w:t xml:space="preserve">  PLANNED  </w:t>
            </w:r>
          </w:p>
        </w:tc>
        <w:tc>
          <w:tcPr>
            <w:tcW w:type="dxa" w:w="4726"/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1B2430"/>
                <w:sz w:val="17"/>
                <w:szCs w:val="17"/>
              </w:rPr>
              <w:t xml:space="preserve">SNS/NNS-controlled upgrades, reproducible builds, third-party audit, incident policy.</w:t>
            </w:r>
          </w:p>
        </w:tc>
      </w:tr>
      <w:tr>
        <w:tc>
          <w:tcPr>
            <w:tcW w:type="dxa" w:w="700"/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1B2430"/>
                <w:sz w:val="17"/>
                <w:szCs w:val="17"/>
              </w:rPr>
              <w:t xml:space="preserve">7</w:t>
            </w:r>
          </w:p>
        </w:tc>
        <w:tc>
          <w:tcPr>
            <w:tcW w:type="dxa" w:w="2100"/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2544"/>
                <w:sz w:val="17"/>
                <w:szCs w:val="17"/>
              </w:rPr>
              <w:t xml:space="preserve">Merchants &amp; payments</w:t>
            </w:r>
          </w:p>
        </w:tc>
        <w:tc>
          <w:tcPr>
            <w:tcW w:type="dxa" w:w="1500"/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  <w:shd w:fill="9AA5B5" w:val="clear"/>
              </w:rPr>
              <w:t xml:space="preserve">  PLANNED  </w:t>
            </w:r>
          </w:p>
        </w:tc>
        <w:tc>
          <w:tcPr>
            <w:tcW w:type="dxa" w:w="4726"/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1B2430"/>
                <w:sz w:val="17"/>
                <w:szCs w:val="17"/>
              </w:rPr>
              <w:t xml:space="preserve">Business accounts, payment requests, checkout, refunds, settlement reporting.</w:t>
            </w:r>
          </w:p>
        </w:tc>
      </w:tr>
      <w:tr>
        <w:tc>
          <w:tcPr>
            <w:tcW w:type="dxa" w:w="700"/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1B2430"/>
                <w:sz w:val="17"/>
                <w:szCs w:val="17"/>
              </w:rPr>
              <w:t xml:space="preserve">8</w:t>
            </w:r>
          </w:p>
        </w:tc>
        <w:tc>
          <w:tcPr>
            <w:tcW w:type="dxa" w:w="2100"/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2544"/>
                <w:sz w:val="17"/>
                <w:szCs w:val="17"/>
              </w:rPr>
              <w:t xml:space="preserve">Shopping</w:t>
            </w:r>
          </w:p>
        </w:tc>
        <w:tc>
          <w:tcPr>
            <w:tcW w:type="dxa" w:w="1500"/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  <w:shd w:fill="9AA5B5" w:val="clear"/>
              </w:rPr>
              <w:t xml:space="preserve">  PLANNED  </w:t>
            </w:r>
          </w:p>
        </w:tc>
        <w:tc>
          <w:tcPr>
            <w:tcW w:type="dxa" w:w="4726"/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1B2430"/>
                <w:sz w:val="17"/>
                <w:szCs w:val="17"/>
              </w:rPr>
              <w:t xml:space="preserve">Merchant directory, product listings, order history, optional escrow.</w:t>
            </w:r>
          </w:p>
        </w:tc>
      </w:tr>
    </w:tbl>
    <w:p>
      <w:pPr>
        <w:spacing w:after="150"/>
      </w:pPr>
    </w:p>
    <w:tbl>
      <w:tblPr>
        <w:tblW w:type="dxa" w:w="9026"/>
        <w:tblBorders>
          <w:top w:val="single" w:color="E0A233" w:sz="4"/>
          <w:left w:val="single" w:color="E0A233" w:sz="4"/>
          <w:bottom w:val="single" w:color="E0A233" w:sz="4"/>
          <w:right w:val="single" w:color="E0A233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026"/>
            <w:shd w:fill="FFF8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96650C"/>
                <w:sz w:val="18"/>
                <w:szCs w:val="18"/>
              </w:rPr>
              <w:t xml:space="preserve">Dependency rule: </w:t>
            </w:r>
            <w:r>
              <w:rPr>
                <w:color w:val="1B2430"/>
                <w:sz w:val="18"/>
                <w:szCs w:val="18"/>
              </w:rPr>
              <w:t xml:space="preserve">phases are ordered so each one unlocks the next. Trading has nothing to trade without Phase 3. Merchants can't be paid in stablecoins without Phase 3. A launched token can't leave the wallet without Phase 3. Shipping out of order means building on something that isn't there yet.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none" w:color="FFFFFF" w:sz="0"/>
          <w:left w:val="none" w:color="FFFFFF" w:sz="0"/>
          <w:bottom w:val="single" w:color="142544" w:sz="12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5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00"/>
            </w:tcMar>
          </w:tcPr>
          <w:p>
            <w:r>
              <w:rPr>
                <w:b/>
                <w:bCs/>
                <w:color w:val="142544"/>
                <w:sz w:val="24"/>
                <w:szCs w:val="24"/>
              </w:rPr>
              <w:t xml:space="preserve">ICPay</w:t>
            </w:r>
            <w:r>
              <w:rPr>
                <w:b/>
                <w:bCs/>
                <w:color w:val="10A394"/>
                <w:sz w:val="24"/>
                <w:szCs w:val="24"/>
              </w:rPr>
              <w:t xml:space="preserve">.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00"/>
            </w:tcMar>
            <w:vAlign w:val="bottom"/>
          </w:tcPr>
          <w:p>
            <w:pPr>
              <w:jc w:val="right"/>
            </w:pPr>
            <w:r>
              <w:rPr>
                <w:color w:val="8A94A6"/>
                <w:spacing w:val="10"/>
                <w:sz w:val="14"/>
                <w:szCs w:val="14"/>
              </w:rPr>
              <w:t xml:space="preserve">ROADMAP · SHIPPED FOUNDATION</w:t>
            </w:r>
          </w:p>
        </w:tc>
      </w:tr>
    </w:tbl>
    <w:p>
      <w:pPr>
        <w:spacing w:after="150"/>
      </w:pPr>
    </w:p>
    <w:p>
      <w:pPr>
        <w:spacing w:after="40" w:before="60"/>
      </w:pPr>
      <w:r>
        <w:rPr>
          <w:b/>
          <w:bCs/>
          <w:color w:val="10A394"/>
          <w:spacing w:val="20"/>
          <w:sz w:val="15"/>
          <w:szCs w:val="15"/>
        </w:rPr>
        <w:t xml:space="preserve">SHIPPED — PHASE 0</w:t>
      </w:r>
    </w:p>
    <w:p>
      <w:pPr>
        <w:spacing w:after="80" w:before="0"/>
      </w:pPr>
      <w:r>
        <w:rPr>
          <w:b/>
          <w:bCs/>
          <w:color w:val="142544"/>
          <w:sz w:val="24"/>
          <w:szCs w:val="24"/>
        </w:rPr>
        <w:t xml:space="preserve">Custody foundation</w:t>
      </w:r>
    </w:p>
    <w:p>
      <w:pPr>
        <w:spacing w:after="120"/>
      </w:pPr>
      <w:r>
        <w:rPr>
          <w:i w:val="false"/>
          <w:iCs w:val="false"/>
          <w:color w:val="4A5568"/>
          <w:sz w:val="19"/>
          <w:szCs w:val="19"/>
        </w:rPr>
        <w:t xml:space="preserve">The part everything else stands on.</w:t>
      </w:r>
    </w:p>
    <w:tbl>
      <w:tblPr>
        <w:tblW w:type="dxa" w:w="9026"/>
        <w:tblBorders>
          <w:top w:val="single" w:color="E3E8F0" w:sz="4"/>
          <w:left w:val="single" w:color="10A394" w:sz="32"/>
          <w:bottom w:val="single" w:color="E3E8F0" w:sz="4"/>
          <w:right w:val="single" w:color="E3E8F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B2430"/>
                <w:sz w:val="19"/>
                <w:szCs w:val="19"/>
              </w:rPr>
              <w:t xml:space="preserve">Per-user subaccount derived from a length-prefixed principal — one user, one deterministic deposit address.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B2430"/>
                <w:sz w:val="19"/>
                <w:szCs w:val="19"/>
              </w:rPr>
              <w:t xml:space="preserve">Every withdraw and transfer derives from_subaccount from the caller, never from a parameter. No code path lets one user move another's funds; no admin endpoint touches balances at all.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B2430"/>
                <w:sz w:val="19"/>
                <w:szCs w:val="19"/>
              </w:rPr>
              <w:t xml:space="preserve">Strict layering — api/v1 → services → repositories → storage — enforced by contribution rules.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B2430"/>
                <w:sz w:val="19"/>
                <w:szCs w:val="19"/>
              </w:rPr>
              <w:t xml:space="preserve">Stable memory across upgrades, with versioned migrations.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B2430"/>
                <w:sz w:val="19"/>
                <w:szCs w:val="19"/>
              </w:rPr>
              <w:t xml:space="preserve">24-test suite runnable in one command.</w:t>
            </w:r>
          </w:p>
          <w:p>
            <w:pPr>
              <w:spacing w:before="120"/>
            </w:pPr>
          </w:p>
          <w:tbl>
            <w:tblPr>
              <w:tblW w:type="dxa" w:w="9026"/>
              <w:tblBorders>
                <w:top w:val="single" w:color="10A394" w:sz="4"/>
                <w:left w:val="single" w:color="10A394" w:sz="4"/>
                <w:bottom w:val="single" w:color="10A394" w:sz="4"/>
                <w:right w:val="single" w:color="10A394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tcW w:type="dxa" w:w="9026"/>
                  <w:shd w:fill="E9F7F5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r>
                    <w:rPr>
                      <w:b/>
                      <w:bCs/>
                      <w:color w:val="0D7A6F"/>
                      <w:sz w:val="18"/>
                      <w:szCs w:val="18"/>
                    </w:rPr>
                    <w:t xml:space="preserve">The honest caveat: </w:t>
                  </w:r>
                  <w:r>
                    <w:rPr>
                      <w:color w:val="1B2430"/>
                      <w:sz w:val="18"/>
                      <w:szCs w:val="18"/>
                    </w:rPr>
                    <w:t xml:space="preserve">custodial means the canister holds the keys. Funds are safe from other users, not from a canister upgrade — one controller principal can upgrade the code today. Phase 6 is where that stops being true.</w:t>
                  </w:r>
                </w:p>
              </w:tc>
            </w:tr>
          </w:tbl>
          <w:p/>
        </w:tc>
      </w:tr>
    </w:tbl>
    <w:p>
      <w:pPr>
        <w:spacing w:after="200"/>
      </w:pPr>
    </w:p>
    <w:p>
      <w:pPr>
        <w:spacing w:after="40" w:before="60"/>
      </w:pPr>
      <w:r>
        <w:rPr>
          <w:b/>
          <w:bCs/>
          <w:color w:val="10A394"/>
          <w:spacing w:val="20"/>
          <w:sz w:val="15"/>
          <w:szCs w:val="15"/>
        </w:rPr>
        <w:t xml:space="preserve">SHIPPED — PHASE 1</w:t>
      </w:r>
    </w:p>
    <w:p>
      <w:pPr>
        <w:spacing w:after="80" w:before="0"/>
      </w:pPr>
      <w:r>
        <w:rPr>
          <w:b/>
          <w:bCs/>
          <w:color w:val="142544"/>
          <w:sz w:val="24"/>
          <w:szCs w:val="24"/>
        </w:rPr>
        <w:t xml:space="preserve">Username as the address</w:t>
      </w:r>
    </w:p>
    <w:tbl>
      <w:tblPr>
        <w:tblW w:type="dxa" w:w="9026"/>
        <w:tblBorders>
          <w:top w:val="single" w:color="E3E8F0" w:sz="4"/>
          <w:left w:val="single" w:color="10A394" w:sz="32"/>
          <w:bottom w:val="single" w:color="E3E8F0" w:sz="4"/>
          <w:right w:val="single" w:color="E3E8F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B2430"/>
                <w:sz w:val="19"/>
                <w:szCs w:val="19"/>
              </w:rPr>
              <w:t xml:space="preserve">5–8 character usernames are free to claim. Shorter, premium handles are priced: 10 ICP (1–3 characters), 5 ICP (4), 2 ICP (5), 1 ICP (6–8).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B2430"/>
                <w:sz w:val="19"/>
                <w:szCs w:val="19"/>
              </w:rPr>
              <w:t xml:space="preserve">Usernames are permanent — renaming keeps the old handle resolving as an alias, so a published address never breaks.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B2430"/>
                <w:sz w:val="19"/>
                <w:szCs w:val="19"/>
              </w:rPr>
              <w:t xml:space="preserve">Four ways to send: by username, by principal, by ICRC-1 account, or by legacy account ID.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B2430"/>
                <w:sz w:val="19"/>
                <w:szCs w:val="19"/>
              </w:rPr>
              <w:t xml:space="preserve">Public, crawlable profile at icpay.app/@handle.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B2430"/>
                <w:sz w:val="19"/>
                <w:szCs w:val="19"/>
              </w:rPr>
              <w:t xml:space="preserve">Directory search works without sign-in, by design — you have to be able to look up who you're paying before you've authenticated.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B2430"/>
                <w:sz w:val="19"/>
                <w:szCs w:val="19"/>
              </w:rPr>
              <w:t xml:space="preserve">Username purchases settle to a treasury principal, not a canister subaccount, so proceeds are immediately spendable.</w:t>
            </w:r>
          </w:p>
        </w:tc>
      </w:tr>
    </w:tbl>
    <w:p>
      <w:pPr>
        <w:spacing w:after="200"/>
      </w:pPr>
    </w:p>
    <w:p>
      <w:pPr>
        <w:spacing w:after="40" w:before="60"/>
      </w:pPr>
      <w:r>
        <w:rPr>
          <w:b/>
          <w:bCs/>
          <w:color w:val="E0A233"/>
          <w:spacing w:val="20"/>
          <w:sz w:val="15"/>
          <w:szCs w:val="15"/>
        </w:rPr>
        <w:t xml:space="preserve">SHIPPED — PHASE 2</w:t>
      </w:r>
    </w:p>
    <w:p>
      <w:pPr>
        <w:spacing w:after="80" w:before="0"/>
      </w:pPr>
      <w:r>
        <w:rPr>
          <w:b/>
          <w:bCs/>
          <w:color w:val="142544"/>
          <w:sz w:val="24"/>
          <w:szCs w:val="24"/>
        </w:rPr>
        <w:t xml:space="preserve">Multi-token visibility  —  current state</w:t>
      </w:r>
    </w:p>
    <w:tbl>
      <w:tblPr>
        <w:tblW w:type="dxa" w:w="9026"/>
        <w:tblBorders>
          <w:top w:val="single" w:color="E3E8F0" w:sz="4"/>
          <w:left w:val="single" w:color="E0A233" w:sz="32"/>
          <w:bottom w:val="single" w:color="E3E8F0" w:sz="4"/>
          <w:right w:val="single" w:color="E3E8F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B2430"/>
                <w:sz w:val="19"/>
                <w:szCs w:val="19"/>
              </w:rPr>
              <w:t xml:space="preserve">Every SNS ledger is auto-discovered from the SNS aggregator; the five chain-key ledgers (ckBTC, ckETH, ckUSDC, ckUSDT and related) are added explicitly since they aren't SNS-launched.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B2430"/>
                <w:sz w:val="19"/>
                <w:szCs w:val="19"/>
              </w:rPr>
              <w:t xml:space="preserve">Balances via icrc1_balance_of, metadata via icrc1_metadata.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B2430"/>
                <w:sz w:val="19"/>
                <w:szCs w:val="19"/>
              </w:rPr>
              <w:t xml:space="preserve">Live ICP price feed for fiat display.</w:t>
            </w:r>
          </w:p>
          <w:p>
            <w:pPr>
              <w:spacing w:before="120"/>
            </w:pPr>
          </w:p>
          <w:tbl>
            <w:tblPr>
              <w:tblW w:type="dxa" w:w="9026"/>
              <w:tblBorders>
                <w:top w:val="single" w:color="E0A233" w:sz="4"/>
                <w:left w:val="single" w:color="E0A233" w:sz="4"/>
                <w:bottom w:val="single" w:color="E0A233" w:sz="4"/>
                <w:right w:val="single" w:color="E0A233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tcW w:type="dxa" w:w="9026"/>
                  <w:shd w:fill="FFF8EC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r>
                    <w:rPr>
                      <w:b/>
                      <w:bCs/>
                      <w:color w:val="96650C"/>
                      <w:sz w:val="18"/>
                      <w:szCs w:val="18"/>
                    </w:rPr>
                    <w:t xml:space="preserve">The gap this leaves: </w:t>
                  </w:r>
                  <w:r>
                    <w:rPr>
                      <w:color w:val="1B2430"/>
                      <w:sz w:val="18"/>
                      <w:szCs w:val="18"/>
                    </w:rPr>
                    <w:t xml:space="preserve">this phase is read-only. No non-ICP transfer exists yet — the backend ledger layer is still hard-bound to the ICP ledger canister ID. Closing that gap is the entire scope of Phase 3.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9026"/>
        <w:tblBorders>
          <w:top w:val="none" w:color="FFFFFF" w:sz="0"/>
          <w:left w:val="none" w:color="FFFFFF" w:sz="0"/>
          <w:bottom w:val="single" w:color="142544" w:sz="12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5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00"/>
            </w:tcMar>
          </w:tcPr>
          <w:p>
            <w:r>
              <w:rPr>
                <w:b/>
                <w:bCs/>
                <w:color w:val="142544"/>
                <w:sz w:val="24"/>
                <w:szCs w:val="24"/>
              </w:rPr>
              <w:t xml:space="preserve">ICPay</w:t>
            </w:r>
            <w:r>
              <w:rPr>
                <w:b/>
                <w:bCs/>
                <w:color w:val="10A394"/>
                <w:sz w:val="24"/>
                <w:szCs w:val="24"/>
              </w:rPr>
              <w:t xml:space="preserve">.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00"/>
            </w:tcMar>
            <w:vAlign w:val="bottom"/>
          </w:tcPr>
          <w:p>
            <w:pPr>
              <w:jc w:val="right"/>
            </w:pPr>
            <w:r>
              <w:rPr>
                <w:color w:val="8A94A6"/>
                <w:spacing w:val="10"/>
                <w:sz w:val="14"/>
                <w:szCs w:val="14"/>
              </w:rPr>
              <w:t xml:space="preserve">ROADMAP · NEXT UP</w:t>
            </w:r>
          </w:p>
        </w:tc>
      </w:tr>
    </w:tbl>
    <w:p>
      <w:pPr>
        <w:spacing w:after="150"/>
      </w:pPr>
    </w:p>
    <w:p>
      <w:pPr>
        <w:spacing w:after="40" w:before="60"/>
      </w:pPr>
      <w:r>
        <w:rPr>
          <w:b/>
          <w:bCs/>
          <w:color w:val="E0A233"/>
          <w:spacing w:val="20"/>
          <w:sz w:val="15"/>
          <w:szCs w:val="15"/>
        </w:rPr>
        <w:t xml:space="preserve">NEXT UP — PHASE 3</w:t>
      </w:r>
    </w:p>
    <w:tbl>
      <w:tblPr>
        <w:tblW w:type="dxa" w:w="9026"/>
        <w:tblBorders>
          <w:top w:val="single" w:color="E3E8F0" w:sz="4"/>
          <w:left w:val="single" w:color="E0A233" w:sz="32"/>
          <w:bottom w:val="single" w:color="E3E8F0" w:sz="4"/>
          <w:right w:val="single" w:color="E3E8F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42544"/>
                <w:sz w:val="24"/>
                <w:szCs w:val="24"/>
              </w:rPr>
              <w:t xml:space="preserve">Multi-token transfers</w:t>
            </w:r>
          </w:p>
          <w:p>
            <w:pPr>
              <w:spacing w:after="120"/>
            </w:pPr>
            <w:r>
              <w:rPr>
                <w:i w:val="false"/>
                <w:iCs w:val="false"/>
                <w:color w:val="4A5568"/>
                <w:sz w:val="19"/>
                <w:szCs w:val="19"/>
              </w:rPr>
              <w:t xml:space="preserve">The smallest possible next step, and the one that unblocks every phase after it. Trading has nothing to trade, merchants can't be paid in stablecoins, and a launched token can't leave the wallet — all until a generic ICRC-1 send exists.</w:t>
            </w:r>
          </w:p>
          <w:p>
            <w:pPr>
              <w:spacing w:after="60" w:before="160"/>
            </w:pPr>
            <w:r>
              <w:rPr>
                <w:b/>
                <w:bCs/>
                <w:color w:val="10A394"/>
                <w:spacing w:val="15"/>
                <w:sz w:val="15"/>
                <w:szCs w:val="15"/>
              </w:rPr>
              <w:t xml:space="preserve">SCOPE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B2430"/>
                <w:sz w:val="19"/>
                <w:szCs w:val="19"/>
              </w:rPr>
              <w:t xml:space="preserve">Generalize the ledger client from a hardcoded ICP ledger to any ICRC-1 canister ID passed as an argument.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B2430"/>
                <w:sz w:val="19"/>
                <w:szCs w:val="19"/>
              </w:rPr>
              <w:t xml:space="preserve">Per-token custodial subaccounts — the derivation is already token-agnostic, so no new address scheme is needed.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B2430"/>
                <w:sz w:val="19"/>
                <w:szCs w:val="19"/>
              </w:rPr>
              <w:t xml:space="preserve">Extend username-based transfers with a token parameter, defaulting to ICP so every existing caller keeps working.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B2430"/>
                <w:sz w:val="19"/>
                <w:szCs w:val="19"/>
              </w:rPr>
              <w:t xml:space="preserve">Per-token deposit and withdraw flows.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B2430"/>
                <w:sz w:val="19"/>
                <w:szCs w:val="19"/>
              </w:rPr>
              <w:t xml:space="preserve">Per-token fee handling, read live from metadata rather than cached — ICRC-1 fees can change, and caching one would eventually reject a transfer with a bad-fee error.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B2430"/>
                <w:sz w:val="19"/>
                <w:szCs w:val="19"/>
              </w:rPr>
              <w:t xml:space="preserve">Per-token decimal formatting — ICP uses 8, ckUSDC uses 6, and formatting logic isn't shared between them.</w:t>
            </w:r>
          </w:p>
          <w:p>
            <w:pPr>
              <w:spacing w:after="60" w:before="160"/>
            </w:pPr>
            <w:r>
              <w:rPr>
                <w:b/>
                <w:bCs/>
                <w:color w:val="10A394"/>
                <w:spacing w:val="15"/>
                <w:sz w:val="15"/>
                <w:szCs w:val="15"/>
              </w:rPr>
              <w:t xml:space="preserve">RISKS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B2430"/>
                <w:sz w:val="19"/>
                <w:szCs w:val="19"/>
              </w:rPr>
              <w:t xml:space="preserve">A malicious ledger canister ID could let a user "send" into a contract that traps or lies — ship an allowlist (chain-key plus verified SNS tokens) before opening this up generally.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B2430"/>
                <w:sz w:val="19"/>
                <w:szCs w:val="19"/>
              </w:rPr>
              <w:t xml:space="preserve">Every additional token multiplies balance queries; on the Internet Computer, queries are free, so the cost shows up as latency, not cycles.</w:t>
            </w:r>
          </w:p>
          <w:p>
            <w:pPr>
              <w:spacing w:before="120"/>
            </w:pPr>
          </w:p>
          <w:tbl>
            <w:tblPr>
              <w:tblW w:type="dxa" w:w="9026"/>
              <w:tblBorders>
                <w:top w:val="single" w:color="10A394" w:sz="4"/>
                <w:left w:val="single" w:color="10A394" w:sz="4"/>
                <w:bottom w:val="single" w:color="10A394" w:sz="4"/>
                <w:right w:val="single" w:color="10A394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tcW w:type="dxa" w:w="9026"/>
                  <w:shd w:fill="E9F7F5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r>
                    <w:rPr>
                      <w:b/>
                      <w:bCs/>
                      <w:color w:val="0D7A6F"/>
                      <w:sz w:val="18"/>
                      <w:szCs w:val="18"/>
                    </w:rPr>
                    <w:t xml:space="preserve">Done when: </w:t>
                  </w:r>
                  <w:r>
                    <w:rPr>
                      <w:color w:val="1B2430"/>
                      <w:sz w:val="18"/>
                      <w:szCs w:val="18"/>
                    </w:rPr>
                    <w:t xml:space="preserve">a user sends ckUSDC to @handle, the recipient sees it, and the fee applied came from live metadata rather than a hardcoded constant.</w:t>
                  </w:r>
                </w:p>
              </w:tc>
            </w:tr>
          </w:tbl>
          <w:p/>
        </w:tc>
      </w:tr>
    </w:tbl>
    <w:p>
      <w:pPr>
        <w:spacing w:after="200"/>
      </w:pPr>
    </w:p>
    <w:p>
      <w:pPr>
        <w:spacing w:after="40" w:before="60"/>
      </w:pPr>
      <w:r>
        <w:rPr>
          <w:b/>
          <w:bCs/>
          <w:color w:val="9AA5B5"/>
          <w:spacing w:val="20"/>
          <w:sz w:val="15"/>
          <w:szCs w:val="15"/>
        </w:rPr>
        <w:t xml:space="preserve">PLANNED — PHASE 4</w:t>
      </w:r>
    </w:p>
    <w:tbl>
      <w:tblPr>
        <w:tblW w:type="dxa" w:w="9026"/>
        <w:tblBorders>
          <w:top w:val="single" w:color="E3E8F0" w:sz="4"/>
          <w:left w:val="single" w:color="9AA5B5" w:sz="32"/>
          <w:bottom w:val="single" w:color="E3E8F0" w:sz="4"/>
          <w:right w:val="single" w:color="E3E8F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42544"/>
                <w:sz w:val="24"/>
                <w:szCs w:val="24"/>
              </w:rPr>
              <w:t xml:space="preserve">Token creation</w:t>
            </w:r>
          </w:p>
          <w:p>
            <w:pPr>
              <w:spacing w:after="120"/>
            </w:pPr>
            <w:r>
              <w:rPr>
                <w:i w:val="false"/>
                <w:iCs w:val="false"/>
                <w:color w:val="4A5568"/>
                <w:sz w:val="19"/>
                <w:szCs w:val="19"/>
              </w:rPr>
              <w:t xml:space="preserve">Depends on Phase 3 — a token that cannot be sent is just a database row.</w:t>
            </w:r>
          </w:p>
          <w:p>
            <w:pPr>
              <w:spacing w:after="60" w:before="160"/>
            </w:pPr>
            <w:r>
              <w:rPr>
                <w:b/>
                <w:bCs/>
                <w:color w:val="10A394"/>
                <w:spacing w:val="15"/>
                <w:sz w:val="15"/>
                <w:szCs w:val="15"/>
              </w:rPr>
              <w:t xml:space="preserve">SCOPE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B2430"/>
                <w:sz w:val="19"/>
                <w:szCs w:val="19"/>
              </w:rPr>
              <w:t xml:space="preserve">Deploy a standard ICRC-1/ICRC-2 ledger per launch using the audited reference ledger WASM — never a hand-rolled ledger holding real value.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B2430"/>
                <w:sz w:val="19"/>
                <w:szCs w:val="19"/>
              </w:rPr>
              <w:t xml:space="preserve">A simple launch form: name, symbol, decimals, total supply, logo, fee.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B2430"/>
                <w:sz w:val="19"/>
                <w:szCs w:val="19"/>
              </w:rPr>
              <w:t xml:space="preserve">The creator pays the cycles for their own ledger canister; ICPay does not subsidize an unbounded number of them.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B2430"/>
                <w:sz w:val="19"/>
                <w:szCs w:val="19"/>
              </w:rPr>
              <w:t xml:space="preserve">The creator is the controller of their own ledger, not ICPay — otherwise ICPay owns every token ever launched on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B2430"/>
                <w:sz w:val="19"/>
                <w:szCs w:val="19"/>
              </w:rPr>
              <w:t xml:space="preserve">Auto-list the new token on the creator's wallet and public profile.</w:t>
            </w:r>
          </w:p>
          <w:p>
            <w:pPr>
              <w:spacing w:after="60" w:before="160"/>
            </w:pPr>
            <w:r>
              <w:rPr>
                <w:b/>
                <w:bCs/>
                <w:color w:val="10A394"/>
                <w:spacing w:val="15"/>
                <w:sz w:val="15"/>
                <w:szCs w:val="15"/>
              </w:rPr>
              <w:t xml:space="preserve">OPEN QUESTIONS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B2430"/>
                <w:sz w:val="19"/>
                <w:szCs w:val="19"/>
              </w:rPr>
              <w:t xml:space="preserve">Anti-spam: a free launch button invites scam tokens impersonating real ones. A launch fee is the blunt fix; a reputation gate is better but needs Phase 7's identity work.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B2430"/>
                <w:sz w:val="19"/>
                <w:szCs w:val="19"/>
              </w:rPr>
              <w:t xml:space="preserve">Symbol collisions: two tokens both called "USDC" are indistinguishable in a list — the ledger canister ID needs to be shown next to any unverified symbol.</w:t>
            </w:r>
          </w:p>
          <w:p>
            <w:pPr>
              <w:spacing w:before="120"/>
            </w:pPr>
          </w:p>
          <w:tbl>
            <w:tblPr>
              <w:tblW w:type="dxa" w:w="9026"/>
              <w:tblBorders>
                <w:top w:val="single" w:color="10A394" w:sz="4"/>
                <w:left w:val="single" w:color="10A394" w:sz="4"/>
                <w:bottom w:val="single" w:color="10A394" w:sz="4"/>
                <w:right w:val="single" w:color="10A394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tcW w:type="dxa" w:w="9026"/>
                  <w:shd w:fill="E9F7F5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r>
                    <w:rPr>
                      <w:b/>
                      <w:bCs/>
                      <w:color w:val="0D7A6F"/>
                      <w:sz w:val="18"/>
                      <w:szCs w:val="18"/>
                    </w:rPr>
                    <w:t xml:space="preserve">Done when: </w:t>
                  </w:r>
                  <w:r>
                    <w:rPr>
                      <w:color w:val="1B2430"/>
                      <w:sz w:val="18"/>
                      <w:szCs w:val="18"/>
                    </w:rPr>
                    <w:t xml:space="preserve">a user launches a token, sends it to another handle, and both sides see the correct symbol and decimals — with ICPay controlling none of it.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9026"/>
        <w:tblBorders>
          <w:top w:val="none" w:color="FFFFFF" w:sz="0"/>
          <w:left w:val="none" w:color="FFFFFF" w:sz="0"/>
          <w:bottom w:val="single" w:color="142544" w:sz="12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5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00"/>
            </w:tcMar>
          </w:tcPr>
          <w:p>
            <w:r>
              <w:rPr>
                <w:b/>
                <w:bCs/>
                <w:color w:val="142544"/>
                <w:sz w:val="24"/>
                <w:szCs w:val="24"/>
              </w:rPr>
              <w:t xml:space="preserve">ICPay</w:t>
            </w:r>
            <w:r>
              <w:rPr>
                <w:b/>
                <w:bCs/>
                <w:color w:val="10A394"/>
                <w:sz w:val="24"/>
                <w:szCs w:val="24"/>
              </w:rPr>
              <w:t xml:space="preserve">.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00"/>
            </w:tcMar>
            <w:vAlign w:val="bottom"/>
          </w:tcPr>
          <w:p>
            <w:pPr>
              <w:jc w:val="right"/>
            </w:pPr>
            <w:r>
              <w:rPr>
                <w:color w:val="8A94A6"/>
                <w:spacing w:val="10"/>
                <w:sz w:val="14"/>
                <w:szCs w:val="14"/>
              </w:rPr>
              <w:t xml:space="preserve">ROADMAP · TRADING &amp; CUSTODY</w:t>
            </w:r>
          </w:p>
        </w:tc>
      </w:tr>
    </w:tbl>
    <w:p>
      <w:pPr>
        <w:spacing w:after="150"/>
      </w:pPr>
    </w:p>
    <w:p>
      <w:pPr>
        <w:spacing w:after="40" w:before="60"/>
      </w:pPr>
      <w:r>
        <w:rPr>
          <w:b/>
          <w:bCs/>
          <w:color w:val="9AA5B5"/>
          <w:spacing w:val="20"/>
          <w:sz w:val="15"/>
          <w:szCs w:val="15"/>
        </w:rPr>
        <w:t xml:space="preserve">PLANNED — PHASE 5</w:t>
      </w:r>
    </w:p>
    <w:tbl>
      <w:tblPr>
        <w:tblW w:type="dxa" w:w="9026"/>
        <w:tblBorders>
          <w:top w:val="single" w:color="E3E8F0" w:sz="4"/>
          <w:left w:val="single" w:color="9AA5B5" w:sz="32"/>
          <w:bottom w:val="single" w:color="E3E8F0" w:sz="4"/>
          <w:right w:val="single" w:color="E3E8F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42544"/>
                <w:sz w:val="24"/>
                <w:szCs w:val="24"/>
              </w:rPr>
              <w:t xml:space="preserve">Liquidity and on-chain trading</w:t>
            </w:r>
          </w:p>
          <w:p>
            <w:pPr>
              <w:spacing w:after="120"/>
            </w:pPr>
            <w:r>
              <w:rPr>
                <w:i w:val="false"/>
                <w:iCs w:val="false"/>
                <w:color w:val="4A5568"/>
                <w:sz w:val="19"/>
                <w:szCs w:val="19"/>
              </w:rPr>
              <w:t xml:space="preserve">Depends on Phases 3 and 4. A pool with no swap is dead capital; a swap with no pool has no price — the two ship together.</w:t>
            </w:r>
          </w:p>
          <w:p>
            <w:pPr>
              <w:spacing w:after="60" w:before="160"/>
            </w:pPr>
            <w:r>
              <w:rPr>
                <w:b/>
                <w:bCs/>
                <w:color w:val="10A394"/>
                <w:spacing w:val="15"/>
                <w:sz w:val="15"/>
                <w:szCs w:val="15"/>
              </w:rPr>
              <w:t xml:space="preserve">BUILD VS. INTEGRATE</w:t>
            </w:r>
          </w:p>
          <w:p>
            <w:pPr>
              <w:spacing w:after="100"/>
            </w:pPr>
            <w:r>
              <w:rPr>
                <w:b/>
                <w:bCs/>
                <w:color w:val="1B2430"/>
                <w:sz w:val="18"/>
                <w:szCs w:val="18"/>
              </w:rPr>
              <w:t xml:space="preserve">Recommendation: integrate an existing ICP DEX </w:t>
            </w:r>
            <w:r>
              <w:rPr>
                <w:color w:val="4A5568"/>
                <w:sz w:val="18"/>
                <w:szCs w:val="18"/>
              </w:rPr>
              <w:t xml:space="preserve">(e.g. ICPSwap, Sonic, KongSwap) rather than build a new AMM. An automated market maker is a small amount of arithmetic wrapped in a large amount of adversarial risk — rounding exploits, sandwich attacks, first-depositor share inflation — none of which is ICPay's differentiator. The differentiator is swapping and paying @handle in one flow; the pool itself can be borrowed.</w:t>
            </w:r>
          </w:p>
          <w:p>
            <w:pPr>
              <w:spacing w:after="60" w:before="160"/>
            </w:pPr>
            <w:r>
              <w:rPr>
                <w:b/>
                <w:bCs/>
                <w:color w:val="10A394"/>
                <w:spacing w:val="15"/>
                <w:sz w:val="15"/>
                <w:szCs w:val="15"/>
              </w:rPr>
              <w:t xml:space="preserve">SCOPE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B2430"/>
                <w:sz w:val="19"/>
                <w:szCs w:val="19"/>
              </w:rPr>
              <w:t xml:space="preserve">Implement ICRC-2 approve + transfer_from — the standard DEX entry path not yet present in the backend.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B2430"/>
                <w:sz w:val="19"/>
                <w:szCs w:val="19"/>
              </w:rPr>
              <w:t xml:space="preserve">Swap quote preview showing price impact and minimum-received.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B2430"/>
                <w:sz w:val="19"/>
                <w:szCs w:val="19"/>
              </w:rPr>
              <w:t xml:space="preserve">User-set slippage tolerance enforced on-chain by the DEX, not just in the browser.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B2430"/>
                <w:sz w:val="19"/>
                <w:szCs w:val="19"/>
              </w:rPr>
              <w:t xml:space="preserve">Add/remove liquidity, LP position display, fees earned.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B2430"/>
                <w:sz w:val="19"/>
                <w:szCs w:val="19"/>
              </w:rPr>
              <w:t xml:space="preserve">An impermanent-loss warning before a user's first time providing liquidity.</w:t>
            </w:r>
          </w:p>
          <w:p>
            <w:pPr>
              <w:spacing w:after="60" w:before="160"/>
            </w:pPr>
            <w:r>
              <w:rPr>
                <w:b/>
                <w:bCs/>
                <w:color w:val="10A394"/>
                <w:spacing w:val="15"/>
                <w:sz w:val="15"/>
                <w:szCs w:val="15"/>
              </w:rPr>
              <w:t xml:space="preserve">RISKS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B2430"/>
                <w:sz w:val="19"/>
                <w:szCs w:val="19"/>
              </w:rPr>
              <w:t xml:space="preserve">Cross-canister calls to a DEX are await points — a trap between approve and swap can leave a dangling approval; every path needs an explicit failure story.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B2430"/>
                <w:sz w:val="19"/>
                <w:szCs w:val="19"/>
              </w:rPr>
              <w:t xml:space="preserve">Front-running risk is lower on the Internet Computer than on Ethereum, but is not zero and shouldn't be described as such.</w:t>
            </w:r>
          </w:p>
          <w:p>
            <w:pPr>
              <w:spacing w:before="120"/>
            </w:pPr>
          </w:p>
          <w:tbl>
            <w:tblPr>
              <w:tblW w:type="dxa" w:w="9026"/>
              <w:tblBorders>
                <w:top w:val="single" w:color="10A394" w:sz="4"/>
                <w:left w:val="single" w:color="10A394" w:sz="4"/>
                <w:bottom w:val="single" w:color="10A394" w:sz="4"/>
                <w:right w:val="single" w:color="10A394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tcW w:type="dxa" w:w="9026"/>
                  <w:shd w:fill="E9F7F5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r>
                    <w:rPr>
                      <w:b/>
                      <w:bCs/>
                      <w:color w:val="0D7A6F"/>
                      <w:sz w:val="18"/>
                      <w:szCs w:val="18"/>
                    </w:rPr>
                    <w:t xml:space="preserve">Done when: </w:t>
                  </w:r>
                  <w:r>
                    <w:rPr>
                      <w:color w:val="1B2430"/>
                      <w:sz w:val="18"/>
                      <w:szCs w:val="18"/>
                    </w:rPr>
                    <w:t xml:space="preserve">a user swaps ICP for ckUSDC, sees the real price impact beforehand, and a failed swap leaves no stranded approval.</w:t>
                  </w:r>
                </w:p>
              </w:tc>
            </w:tr>
          </w:tbl>
          <w:p/>
        </w:tc>
      </w:tr>
    </w:tbl>
    <w:p>
      <w:pPr>
        <w:spacing w:after="200"/>
      </w:pPr>
    </w:p>
    <w:p>
      <w:pPr>
        <w:spacing w:after="40" w:before="60"/>
      </w:pPr>
      <w:r>
        <w:rPr>
          <w:b/>
          <w:bCs/>
          <w:color w:val="E0A233"/>
          <w:spacing w:val="20"/>
          <w:sz w:val="15"/>
          <w:szCs w:val="15"/>
        </w:rPr>
        <w:t xml:space="preserve">PLANNED — PHASE 6</w:t>
      </w:r>
    </w:p>
    <w:tbl>
      <w:tblPr>
        <w:tblW w:type="dxa" w:w="9026"/>
        <w:tblBorders>
          <w:top w:val="single" w:color="E3E8F0" w:sz="4"/>
          <w:left w:val="single" w:color="E0A233" w:sz="32"/>
          <w:bottom w:val="single" w:color="E3E8F0" w:sz="4"/>
          <w:right w:val="single" w:color="E3E8F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42544"/>
                <w:sz w:val="24"/>
                <w:szCs w:val="24"/>
              </w:rPr>
              <w:t xml:space="preserve">Decentralizing custody   ·   not optional</w:t>
            </w:r>
          </w:p>
          <w:p>
            <w:pPr>
              <w:spacing w:after="120"/>
            </w:pPr>
            <w:r>
              <w:rPr>
                <w:i w:val="false"/>
                <w:iCs w:val="false"/>
                <w:color w:val="4A5568"/>
                <w:sz w:val="19"/>
                <w:szCs w:val="19"/>
              </w:rPr>
              <w:t xml:space="preserve">Every phase above increases how much value sits under one controller principal with an unencrypted key on one machine — acceptable for a small wallet, not for a payments network. This is the phase that makes the security story honest.</w:t>
            </w:r>
          </w:p>
          <w:p>
            <w:pPr>
              <w:spacing w:after="60" w:before="160"/>
            </w:pPr>
            <w:r>
              <w:rPr>
                <w:b/>
                <w:bCs/>
                <w:color w:val="10A394"/>
                <w:spacing w:val="15"/>
                <w:sz w:val="15"/>
                <w:szCs w:val="15"/>
              </w:rPr>
              <w:t xml:space="preserve">SCOPE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B2430"/>
                <w:sz w:val="19"/>
                <w:szCs w:val="19"/>
              </w:rPr>
              <w:t xml:space="preserve">Move canister control to an SNS or NNS-controlled body, so upgrades require a proposal and a vote rather than a single deploy command.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B2430"/>
                <w:sz w:val="19"/>
                <w:szCs w:val="19"/>
              </w:rPr>
              <w:t xml:space="preserve">Reproducible builds — pin the compiler, publish the expected module hash, let anyone verify the deployed hash matches the published source.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B2430"/>
                <w:sz w:val="19"/>
                <w:szCs w:val="19"/>
              </w:rPr>
              <w:t xml:space="preserve">Third-party security audit before any material value is at stake.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B2430"/>
                <w:sz w:val="19"/>
                <w:szCs w:val="19"/>
              </w:rPr>
              <w:t xml:space="preserve">A private vulnerability disclosure channel — today the only route is a public issue, which asks a researcher to publish a live exploit.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B2430"/>
                <w:sz w:val="19"/>
                <w:szCs w:val="19"/>
              </w:rPr>
              <w:t xml:space="preserve">A published incident policy: what happens on a discovered exploit, who can pause what, how users are notified.</w:t>
            </w:r>
          </w:p>
          <w:p>
            <w:pPr>
              <w:spacing w:before="120"/>
            </w:pPr>
          </w:p>
          <w:tbl>
            <w:tblPr>
              <w:tblW w:type="dxa" w:w="9026"/>
              <w:tblBorders>
                <w:top w:val="single" w:color="E0A233" w:sz="4"/>
                <w:left w:val="single" w:color="E0A233" w:sz="4"/>
                <w:bottom w:val="single" w:color="E0A233" w:sz="4"/>
                <w:right w:val="single" w:color="E0A233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tcW w:type="dxa" w:w="9026"/>
                  <w:shd w:fill="FFF8EC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r>
                    <w:rPr>
                      <w:b/>
                      <w:bCs/>
                      <w:color w:val="96650C"/>
                      <w:sz w:val="18"/>
                      <w:szCs w:val="18"/>
                    </w:rPr>
                    <w:t xml:space="preserve">This phase should not slip. </w:t>
                  </w:r>
                  <w:r>
                    <w:rPr>
                      <w:color w:val="1B2430"/>
                      <w:sz w:val="18"/>
                      <w:szCs w:val="18"/>
                    </w:rPr>
                    <w:t xml:space="preserve">It's sequenced after trading only because trading is what raises the stakes enough to justify the cost — if adoption arrives sooner, this phase moves up ahead of it.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9026"/>
        <w:tblBorders>
          <w:top w:val="none" w:color="FFFFFF" w:sz="0"/>
          <w:left w:val="none" w:color="FFFFFF" w:sz="0"/>
          <w:bottom w:val="single" w:color="142544" w:sz="12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5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00"/>
            </w:tcMar>
          </w:tcPr>
          <w:p>
            <w:r>
              <w:rPr>
                <w:b/>
                <w:bCs/>
                <w:color w:val="142544"/>
                <w:sz w:val="24"/>
                <w:szCs w:val="24"/>
              </w:rPr>
              <w:t xml:space="preserve">ICPay</w:t>
            </w:r>
            <w:r>
              <w:rPr>
                <w:b/>
                <w:bCs/>
                <w:color w:val="10A394"/>
                <w:sz w:val="24"/>
                <w:szCs w:val="24"/>
              </w:rPr>
              <w:t xml:space="preserve">.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00"/>
            </w:tcMar>
            <w:vAlign w:val="bottom"/>
          </w:tcPr>
          <w:p>
            <w:pPr>
              <w:jc w:val="right"/>
            </w:pPr>
            <w:r>
              <w:rPr>
                <w:color w:val="8A94A6"/>
                <w:spacing w:val="10"/>
                <w:sz w:val="14"/>
                <w:szCs w:val="14"/>
              </w:rPr>
              <w:t xml:space="preserve">ROADMAP · MERCHANTS &amp; COMMERCE</w:t>
            </w:r>
          </w:p>
        </w:tc>
      </w:tr>
    </w:tbl>
    <w:p>
      <w:pPr>
        <w:spacing w:after="150"/>
      </w:pPr>
    </w:p>
    <w:p>
      <w:pPr>
        <w:spacing w:after="40" w:before="60"/>
      </w:pPr>
      <w:r>
        <w:rPr>
          <w:b/>
          <w:bCs/>
          <w:color w:val="9AA5B5"/>
          <w:spacing w:val="20"/>
          <w:sz w:val="15"/>
          <w:szCs w:val="15"/>
        </w:rPr>
        <w:t xml:space="preserve">PLANNED — PHASE 7</w:t>
      </w:r>
    </w:p>
    <w:tbl>
      <w:tblPr>
        <w:tblW w:type="dxa" w:w="9026"/>
        <w:tblBorders>
          <w:top w:val="single" w:color="E3E8F0" w:sz="4"/>
          <w:left w:val="single" w:color="9AA5B5" w:sz="32"/>
          <w:bottom w:val="single" w:color="E3E8F0" w:sz="4"/>
          <w:right w:val="single" w:color="E3E8F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42544"/>
                <w:sz w:val="24"/>
                <w:szCs w:val="24"/>
              </w:rPr>
              <w:t xml:space="preserve">Merchants and online payments</w:t>
            </w:r>
          </w:p>
          <w:p>
            <w:pPr>
              <w:spacing w:after="120"/>
            </w:pPr>
            <w:r>
              <w:rPr>
                <w:i w:val="false"/>
                <w:iCs w:val="false"/>
                <w:color w:val="4A5568"/>
                <w:sz w:val="19"/>
                <w:szCs w:val="19"/>
              </w:rPr>
              <w:t xml:space="preserve">Depends on Phase 3 (nobody prices a coffee in a volatile asset — stablecoins are required) and Phase 6 (a merchant holding revenue needs stronger custody guarantees than a hobbyist holding pocket change).</w:t>
            </w:r>
          </w:p>
          <w:p>
            <w:pPr>
              <w:spacing w:after="60" w:before="160"/>
            </w:pPr>
            <w:r>
              <w:rPr>
                <w:b/>
                <w:bCs/>
                <w:color w:val="10A394"/>
                <w:spacing w:val="15"/>
                <w:sz w:val="15"/>
                <w:szCs w:val="15"/>
              </w:rPr>
              <w:t xml:space="preserve">SCOPE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B2430"/>
                <w:sz w:val="19"/>
                <w:szCs w:val="19"/>
              </w:rPr>
              <w:t xml:space="preserve">Merchant accounts — a handle flagged as a business, with display name, logo, and verification badge.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B2430"/>
                <w:sz w:val="19"/>
                <w:szCs w:val="19"/>
              </w:rPr>
              <w:t xml:space="preserve">Payment requests as expiring, single-use, signed links or QR codes encoding recipient, token, amount and an order reference — verifiable without trusting a customer's screenshot.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B2430"/>
                <w:sz w:val="19"/>
                <w:szCs w:val="19"/>
              </w:rPr>
              <w:t xml:space="preserve">A checkout page: scan or tap, confirm, settle.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B2430"/>
                <w:sz w:val="19"/>
                <w:szCs w:val="19"/>
              </w:rPr>
              <w:t xml:space="preserve">A webhook or polling API so a merchant's own backend learns a payment cleared.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B2430"/>
                <w:sz w:val="19"/>
                <w:szCs w:val="19"/>
              </w:rPr>
              <w:t xml:space="preserve">Refunds as first-class objects linked to the original transaction, not manual reverse transfers.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B2430"/>
                <w:sz w:val="19"/>
                <w:szCs w:val="19"/>
              </w:rPr>
              <w:t xml:space="preserve">Settlement reports and CSV export; an optional embeddable "Pay with ICPay" button.</w:t>
            </w:r>
          </w:p>
          <w:p>
            <w:pPr>
              <w:spacing w:after="60" w:before="160"/>
            </w:pPr>
            <w:r>
              <w:rPr>
                <w:b/>
                <w:bCs/>
                <w:color w:val="10A394"/>
                <w:spacing w:val="15"/>
                <w:sz w:val="15"/>
                <w:szCs w:val="15"/>
              </w:rPr>
              <w:t xml:space="preserve">OPEN QUESTIONS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B2430"/>
                <w:sz w:val="19"/>
                <w:szCs w:val="19"/>
              </w:rPr>
              <w:t xml:space="preserve">A merchant fee is the obvious revenue line, but it needs to meaningfully undercut card-processing fees to give anyone a reason to switch.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B2430"/>
                <w:sz w:val="19"/>
                <w:szCs w:val="19"/>
              </w:rPr>
              <w:t xml:space="preserve">Chargebacks don't exist — settlement is final. That's a feature for the merchant and a risk for the buyer; checkout copy has to say so plainly.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B2430"/>
                <w:sz w:val="19"/>
                <w:szCs w:val="19"/>
              </w:rPr>
              <w:t xml:space="preserve">Taking payment for real goods invites jurisdiction-specific KYC/AML obligations — this needs legal review before launch, not after.</w:t>
            </w:r>
          </w:p>
        </w:tc>
      </w:tr>
    </w:tbl>
    <w:p>
      <w:pPr>
        <w:spacing w:after="200"/>
      </w:pPr>
    </w:p>
    <w:p>
      <w:pPr>
        <w:spacing w:after="40" w:before="60"/>
      </w:pPr>
      <w:r>
        <w:rPr>
          <w:b/>
          <w:bCs/>
          <w:color w:val="9AA5B5"/>
          <w:spacing w:val="20"/>
          <w:sz w:val="15"/>
          <w:szCs w:val="15"/>
        </w:rPr>
        <w:t xml:space="preserve">PLANNED — PHASE 8</w:t>
      </w:r>
    </w:p>
    <w:tbl>
      <w:tblPr>
        <w:tblW w:type="dxa" w:w="9026"/>
        <w:tblBorders>
          <w:top w:val="single" w:color="E3E8F0" w:sz="4"/>
          <w:left w:val="single" w:color="9AA5B5" w:sz="32"/>
          <w:bottom w:val="single" w:color="E3E8F0" w:sz="4"/>
          <w:right w:val="single" w:color="E3E8F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42544"/>
                <w:sz w:val="24"/>
                <w:szCs w:val="24"/>
              </w:rPr>
              <w:t xml:space="preserve">Shopping   ·   most speculative</w:t>
            </w:r>
          </w:p>
          <w:p>
            <w:pPr>
              <w:spacing w:after="120"/>
            </w:pPr>
            <w:r>
              <w:rPr>
                <w:i w:val="false"/>
                <w:iCs w:val="false"/>
                <w:color w:val="4A5568"/>
                <w:sz w:val="19"/>
                <w:szCs w:val="19"/>
              </w:rPr>
              <w:t xml:space="preserve">Depends on Phase 7 working with real merchants. The item most likely to change shape as it gets closer.</w:t>
            </w:r>
          </w:p>
          <w:p>
            <w:pPr>
              <w:spacing w:after="60" w:before="160"/>
            </w:pPr>
            <w:r>
              <w:rPr>
                <w:b/>
                <w:bCs/>
                <w:color w:val="10A394"/>
                <w:spacing w:val="15"/>
                <w:sz w:val="15"/>
                <w:szCs w:val="15"/>
              </w:rPr>
              <w:t xml:space="preserve">SCOPE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B2430"/>
                <w:sz w:val="19"/>
                <w:szCs w:val="19"/>
              </w:rPr>
              <w:t xml:space="preserve">A browsable, searchable, category-filtered merchant directory.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B2430"/>
                <w:sz w:val="19"/>
                <w:szCs w:val="19"/>
              </w:rPr>
              <w:t xml:space="preserve">Product listings with on-chain price, inventory and fulfilment status.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B2430"/>
                <w:sz w:val="19"/>
                <w:szCs w:val="19"/>
              </w:rPr>
              <w:t xml:space="preserve">Order history sitting alongside transaction history in the wallet.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B2430"/>
                <w:sz w:val="19"/>
                <w:szCs w:val="19"/>
              </w:rPr>
              <w:t xml:space="preserve">Optional escrow — funds held by the canister until the buyer confirms delivery, with a dispute window.</w:t>
            </w:r>
          </w:p>
          <w:p>
            <w:pPr>
              <w:spacing w:before="120"/>
            </w:pPr>
          </w:p>
          <w:tbl>
            <w:tblPr>
              <w:tblW w:type="dxa" w:w="9026"/>
              <w:tblBorders>
                <w:top w:val="single" w:color="10A394" w:sz="4"/>
                <w:left w:val="single" w:color="10A394" w:sz="4"/>
                <w:bottom w:val="single" w:color="10A394" w:sz="4"/>
                <w:right w:val="single" w:color="10A394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c>
                <w:tcPr>
                  <w:tcW w:type="dxa" w:w="9026"/>
                  <w:shd w:fill="E9F7F5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r>
                    <w:rPr>
                      <w:b/>
                      <w:bCs/>
                      <w:color w:val="0D7A6F"/>
                      <w:sz w:val="18"/>
                      <w:szCs w:val="18"/>
                    </w:rPr>
                    <w:t xml:space="preserve">The hard part isn't code: </w:t>
                  </w:r>
                  <w:r>
                    <w:rPr>
                      <w:color w:val="1B2430"/>
                      <w:sz w:val="18"/>
                      <w:szCs w:val="18"/>
                    </w:rPr>
                    <w:t xml:space="preserve">escrow needs a dispute resolver, which is either a trusted party (centralized) or a vote (slow, gameable). Plan is to ship without escrow first, learn what actually breaks, then design for the real failure mode rather than an imagined one.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9026"/>
        <w:tblBorders>
          <w:top w:val="none" w:color="FFFFFF" w:sz="0"/>
          <w:left w:val="none" w:color="FFFFFF" w:sz="0"/>
          <w:bottom w:val="single" w:color="142544" w:sz="12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5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00"/>
            </w:tcMar>
          </w:tcPr>
          <w:p>
            <w:r>
              <w:rPr>
                <w:b/>
                <w:bCs/>
                <w:color w:val="142544"/>
                <w:sz w:val="24"/>
                <w:szCs w:val="24"/>
              </w:rPr>
              <w:t xml:space="preserve">ICPay</w:t>
            </w:r>
            <w:r>
              <w:rPr>
                <w:b/>
                <w:bCs/>
                <w:color w:val="10A394"/>
                <w:sz w:val="24"/>
                <w:szCs w:val="24"/>
              </w:rPr>
              <w:t xml:space="preserve">.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00"/>
            </w:tcMar>
            <w:vAlign w:val="bottom"/>
          </w:tcPr>
          <w:p>
            <w:pPr>
              <w:jc w:val="right"/>
            </w:pPr>
            <w:r>
              <w:rPr>
                <w:color w:val="8A94A6"/>
                <w:spacing w:val="10"/>
                <w:sz w:val="14"/>
                <w:szCs w:val="14"/>
              </w:rPr>
              <w:t xml:space="preserve">ROADMAP · ONGOING &amp; OUT OF SCOPE</w:t>
            </w:r>
          </w:p>
        </w:tc>
      </w:tr>
    </w:tbl>
    <w:p>
      <w:pPr>
        <w:spacing w:after="150"/>
      </w:pPr>
    </w:p>
    <w:p>
      <w:pPr>
        <w:spacing w:after="40" w:before="60"/>
      </w:pPr>
      <w:r>
        <w:rPr>
          <w:b/>
          <w:bCs/>
          <w:color w:val="10A394"/>
          <w:spacing w:val="20"/>
          <w:sz w:val="15"/>
          <w:szCs w:val="15"/>
        </w:rPr>
        <w:t xml:space="preserve">ALWAYS IN FLIGHT</w:t>
      </w:r>
    </w:p>
    <w:p>
      <w:pPr>
        <w:spacing w:after="80" w:before="0"/>
      </w:pPr>
      <w:r>
        <w:rPr>
          <w:b/>
          <w:bCs/>
          <w:color w:val="142544"/>
          <w:sz w:val="24"/>
          <w:szCs w:val="24"/>
        </w:rPr>
        <w:t xml:space="preserve">Continuous work</w:t>
      </w:r>
    </w:p>
    <w:p>
      <w:pPr>
        <w:spacing w:after="120"/>
      </w:pPr>
      <w:r>
        <w:rPr>
          <w:i w:val="false"/>
          <w:iCs w:val="false"/>
          <w:color w:val="4A5568"/>
          <w:sz w:val="19"/>
          <w:szCs w:val="19"/>
        </w:rPr>
        <w:t xml:space="preserve">Not phases — ongoing discipline that every phase above depends on.</w:t>
      </w:r>
    </w:p>
    <w:tbl>
      <w:tblPr>
        <w:tblW w:type="dxa" w:w="9026"/>
        <w:tblBorders>
          <w:top w:val="single" w:color="E3E8F0" w:sz="4"/>
          <w:left w:val="single" w:color="E3E8F0" w:sz="4"/>
          <w:bottom w:val="single" w:color="E3E8F0" w:sz="4"/>
          <w:right w:val="single" w:color="E3E8F0" w:sz="4"/>
          <w:insideH w:val="single" w:color="E3E8F0" w:sz="4"/>
          <w:insideV w:val="single" w:color="E3E8F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shd w:fill="14254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pacing w:val="6"/>
                <w:sz w:val="15"/>
                <w:szCs w:val="15"/>
              </w:rPr>
              <w:t xml:space="preserve">AREA</w:t>
            </w:r>
          </w:p>
        </w:tc>
        <w:tc>
          <w:tcPr>
            <w:tcW w:type="dxa" w:w="7026"/>
            <w:shd w:fill="14254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pacing w:val="6"/>
                <w:sz w:val="15"/>
                <w:szCs w:val="15"/>
              </w:rPr>
              <w:t xml:space="preserve">WHAT IT MEANS IN PRACTICE</w:t>
            </w:r>
          </w:p>
        </w:tc>
      </w:tr>
      <w:tr>
        <w:tc>
          <w:tcPr>
            <w:tcW w:type="dxa" w:w="20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42544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7026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1B2430"/>
                <w:sz w:val="17"/>
                <w:szCs w:val="17"/>
              </w:rPr>
              <w:t xml:space="preserve">Transaction lookups currently scan the global list linearly — fine at today's volume, quadratic at scale. Move to an ID-keyed map before volume reaches six figures.</w:t>
            </w:r>
          </w:p>
        </w:tc>
      </w:tr>
      <w:tr>
        <w:tc>
          <w:tcPr>
            <w:tcW w:type="dxa" w:w="2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42544"/>
                <w:sz w:val="17"/>
                <w:szCs w:val="17"/>
              </w:rPr>
              <w:t xml:space="preserve">Cycles</w:t>
            </w:r>
          </w:p>
        </w:tc>
        <w:tc>
          <w:tcPr>
            <w:tcW w:type="dxa" w:w="702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1B2430"/>
                <w:sz w:val="17"/>
                <w:szCs w:val="17"/>
              </w:rPr>
              <w:t xml:space="preserve">Watched continuously via CI. At zero cycles the canister is deleted and every user record with it. Queries are free; only update calls and idle burn cost cycles.</w:t>
            </w:r>
          </w:p>
        </w:tc>
      </w:tr>
      <w:tr>
        <w:tc>
          <w:tcPr>
            <w:tcW w:type="dxa" w:w="20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42544"/>
                <w:sz w:val="17"/>
                <w:szCs w:val="17"/>
              </w:rPr>
              <w:t xml:space="preserve">Test coverage</w:t>
            </w:r>
          </w:p>
        </w:tc>
        <w:tc>
          <w:tcPr>
            <w:tcW w:type="dxa" w:w="7026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1B2430"/>
                <w:sz w:val="17"/>
                <w:szCs w:val="17"/>
              </w:rPr>
              <w:t xml:space="preserve">24 tests today. Every new endpoint adds tests in the same commit that introduces it.</w:t>
            </w:r>
          </w:p>
        </w:tc>
      </w:tr>
      <w:tr>
        <w:tc>
          <w:tcPr>
            <w:tcW w:type="dxa" w:w="2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42544"/>
                <w:sz w:val="17"/>
                <w:szCs w:val="17"/>
              </w:rPr>
              <w:t xml:space="preserve">Documentation</w:t>
            </w:r>
          </w:p>
        </w:tc>
        <w:tc>
          <w:tcPr>
            <w:tcW w:type="dxa" w:w="702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1B2430"/>
                <w:sz w:val="17"/>
                <w:szCs w:val="17"/>
              </w:rPr>
              <w:t xml:space="preserve">The operations reference is kept current alongside every shipped change, not after the fact.</w:t>
            </w:r>
          </w:p>
        </w:tc>
      </w:tr>
    </w:tbl>
    <w:p>
      <w:pPr>
        <w:spacing w:after="220"/>
      </w:pPr>
    </w:p>
    <w:p>
      <w:pPr>
        <w:spacing w:after="40" w:before="60"/>
      </w:pPr>
      <w:r>
        <w:rPr>
          <w:b/>
          <w:bCs/>
          <w:color w:val="10A394"/>
          <w:spacing w:val="20"/>
          <w:sz w:val="15"/>
          <w:szCs w:val="15"/>
        </w:rPr>
        <w:t xml:space="preserve">CURRENT INFRASTRUCTURE</w:t>
      </w:r>
    </w:p>
    <w:p>
      <w:pPr>
        <w:spacing w:after="80" w:before="0"/>
      </w:pPr>
      <w:r>
        <w:rPr>
          <w:b/>
          <w:bCs/>
          <w:color w:val="142544"/>
          <w:sz w:val="24"/>
          <w:szCs w:val="24"/>
        </w:rPr>
        <w:t xml:space="preserve">What's actually deployed today</w:t>
      </w:r>
    </w:p>
    <w:tbl>
      <w:tblPr>
        <w:tblW w:type="dxa" w:w="9026"/>
        <w:tblBorders>
          <w:top w:val="single" w:color="E3E8F0" w:sz="4"/>
          <w:left w:val="single" w:color="E3E8F0" w:sz="4"/>
          <w:bottom w:val="single" w:color="E3E8F0" w:sz="4"/>
          <w:right w:val="single" w:color="E3E8F0" w:sz="4"/>
          <w:insideH w:val="single" w:color="E3E8F0" w:sz="4"/>
          <w:insideV w:val="single" w:color="E3E8F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700"/>
            <w:shd w:fill="14254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pacing w:val="6"/>
                <w:sz w:val="15"/>
                <w:szCs w:val="15"/>
              </w:rPr>
              <w:t xml:space="preserve">COMPONENT</w:t>
            </w:r>
          </w:p>
        </w:tc>
        <w:tc>
          <w:tcPr>
            <w:tcW w:type="dxa" w:w="6326"/>
            <w:shd w:fill="14254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pacing w:val="6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42544"/>
                <w:sz w:val="17"/>
                <w:szCs w:val="17"/>
              </w:rPr>
              <w:t xml:space="preserve">Backend canister</w:t>
            </w:r>
          </w:p>
        </w:tc>
        <w:tc>
          <w:tcPr>
            <w:tcW w:type="dxa" w:w="632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2430"/>
                <w:sz w:val="17"/>
                <w:szCs w:val="17"/>
              </w:rPr>
              <w:t xml:space="preserve">6vbhm-nqaaa-aaaan-q6muq-cai — Motoko, fully on-chain</w:t>
            </w:r>
          </w:p>
        </w:tc>
      </w:tr>
      <w:tr>
        <w:tc>
          <w:tcPr>
            <w:tcW w:type="dxa" w:w="2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42544"/>
                <w:sz w:val="17"/>
                <w:szCs w:val="17"/>
              </w:rPr>
              <w:t xml:space="preserve">Frontend</w:t>
            </w:r>
          </w:p>
        </w:tc>
        <w:tc>
          <w:tcPr>
            <w:tcW w:type="dxa" w:w="632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1B2430"/>
                <w:sz w:val="17"/>
                <w:szCs w:val="17"/>
              </w:rPr>
              <w:t xml:space="preserve">Static export on Vercel — not on-chain</w:t>
            </w:r>
          </w:p>
        </w:tc>
      </w:tr>
      <w:tr>
        <w:tc>
          <w:tcPr>
            <w:tcW w:type="dxa" w:w="2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42544"/>
                <w:sz w:val="17"/>
                <w:szCs w:val="17"/>
              </w:rPr>
              <w:t xml:space="preserve">Asset canister</w:t>
            </w:r>
          </w:p>
        </w:tc>
        <w:tc>
          <w:tcPr>
            <w:tcW w:type="dxa" w:w="632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2430"/>
                <w:sz w:val="17"/>
                <w:szCs w:val="17"/>
              </w:rPr>
              <w:t xml:space="preserve">63dke-waaaa-aaaan-q6mvq-cai — the Internet Identity derivation origin</w:t>
            </w:r>
          </w:p>
        </w:tc>
      </w:tr>
      <w:tr>
        <w:tc>
          <w:tcPr>
            <w:tcW w:type="dxa" w:w="2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42544"/>
                <w:sz w:val="17"/>
                <w:szCs w:val="17"/>
              </w:rPr>
              <w:t xml:space="preserve">Authentication</w:t>
            </w:r>
          </w:p>
        </w:tc>
        <w:tc>
          <w:tcPr>
            <w:tcW w:type="dxa" w:w="632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1B2430"/>
                <w:sz w:val="17"/>
                <w:szCs w:val="17"/>
              </w:rPr>
              <w:t xml:space="preserve">Internet Identity only — no passwords, no seed phrases</w:t>
            </w:r>
          </w:p>
        </w:tc>
      </w:tr>
      <w:tr>
        <w:tc>
          <w:tcPr>
            <w:tcW w:type="dxa" w:w="2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42544"/>
                <w:sz w:val="17"/>
                <w:szCs w:val="17"/>
              </w:rPr>
              <w:t xml:space="preserve">ICP Ledger</w:t>
            </w:r>
          </w:p>
        </w:tc>
        <w:tc>
          <w:tcPr>
            <w:tcW w:type="dxa" w:w="632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2430"/>
                <w:sz w:val="17"/>
                <w:szCs w:val="17"/>
              </w:rPr>
              <w:t xml:space="preserve">Official canister ryjl3-tyaaa-aaaaa-aaaba-cai</w:t>
            </w:r>
          </w:p>
        </w:tc>
      </w:tr>
      <w:tr>
        <w:tc>
          <w:tcPr>
            <w:tcW w:type="dxa" w:w="2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42544"/>
                <w:sz w:val="17"/>
                <w:szCs w:val="17"/>
              </w:rPr>
              <w:t xml:space="preserve">ICP Index</w:t>
            </w:r>
          </w:p>
        </w:tc>
        <w:tc>
          <w:tcPr>
            <w:tcW w:type="dxa" w:w="632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1B2430"/>
                <w:sz w:val="17"/>
                <w:szCs w:val="17"/>
              </w:rPr>
              <w:t xml:space="preserve">Official canister qhbym-qaaaa-aaaaa-aaafq-cai</w:t>
            </w:r>
          </w:p>
        </w:tc>
      </w:tr>
    </w:tbl>
    <w:p>
      <w:pPr>
        <w:spacing w:after="220"/>
      </w:pPr>
    </w:p>
    <w:p>
      <w:pPr>
        <w:spacing w:after="40" w:before="60"/>
      </w:pPr>
      <w:r>
        <w:rPr>
          <w:b/>
          <w:bCs/>
          <w:color w:val="10A394"/>
          <w:spacing w:val="20"/>
          <w:sz w:val="15"/>
          <w:szCs w:val="15"/>
        </w:rPr>
        <w:t xml:space="preserve">DELIBERATELY EXCLUDED</w:t>
      </w:r>
    </w:p>
    <w:p>
      <w:pPr>
        <w:spacing w:after="80" w:before="0"/>
      </w:pPr>
      <w:r>
        <w:rPr>
          <w:b/>
          <w:bCs/>
          <w:color w:val="142544"/>
          <w:sz w:val="24"/>
          <w:szCs w:val="24"/>
        </w:rPr>
        <w:t xml:space="preserve">What is not on this roadmap</w:t>
      </w:r>
    </w:p>
    <w:p>
      <w:pPr>
        <w:spacing w:after="120"/>
      </w:pPr>
      <w:r>
        <w:rPr>
          <w:i w:val="false"/>
          <w:iCs w:val="false"/>
          <w:color w:val="4A5568"/>
          <w:sz w:val="19"/>
          <w:szCs w:val="19"/>
        </w:rPr>
        <w:t xml:space="preserve">Saying no is part of a roadmap.</w:t>
      </w:r>
    </w:p>
    <w:p>
      <w:pPr>
        <w:pBdr>
          <w:bottom w:val="single" w:color="E3E8F0" w:sz="4"/>
        </w:pBdr>
        <w:spacing w:after="40" w:before="100"/>
      </w:pPr>
      <w:r>
        <w:rPr>
          <w:b/>
          <w:bCs/>
          <w:color w:val="142544"/>
          <w:sz w:val="19"/>
          <w:szCs w:val="19"/>
        </w:rPr>
        <w:t xml:space="preserve">Non-custodial mode</w:t>
      </w:r>
    </w:p>
    <w:p>
      <w:pPr>
        <w:spacing w:after="140"/>
      </w:pPr>
      <w:r>
        <w:rPr>
          <w:color w:val="4A5568"/>
          <w:sz w:val="17"/>
          <w:szCs w:val="17"/>
        </w:rPr>
        <w:t xml:space="preserve">A real improvement, but a different product — retrofitting it would mean rebuilding every flow.</w:t>
      </w:r>
    </w:p>
    <w:p>
      <w:pPr>
        <w:pBdr>
          <w:bottom w:val="single" w:color="E3E8F0" w:sz="4"/>
        </w:pBdr>
        <w:spacing w:after="40" w:before="40"/>
      </w:pPr>
      <w:r>
        <w:rPr>
          <w:b/>
          <w:bCs/>
          <w:color w:val="142544"/>
          <w:sz w:val="19"/>
          <w:szCs w:val="19"/>
        </w:rPr>
        <w:t xml:space="preserve">Mobile apps</w:t>
      </w:r>
    </w:p>
    <w:p>
      <w:pPr>
        <w:spacing w:after="140"/>
      </w:pPr>
      <w:r>
        <w:rPr>
          <w:color w:val="4A5568"/>
          <w:sz w:val="17"/>
          <w:szCs w:val="17"/>
        </w:rPr>
        <w:t xml:space="preserve">The PWA already covers this use case; two more build targets isn't worth it yet.</w:t>
      </w:r>
    </w:p>
    <w:p>
      <w:pPr>
        <w:pBdr>
          <w:bottom w:val="single" w:color="E3E8F0" w:sz="4"/>
        </w:pBdr>
        <w:spacing w:after="40" w:before="40"/>
      </w:pPr>
      <w:r>
        <w:rPr>
          <w:b/>
          <w:bCs/>
          <w:color w:val="142544"/>
          <w:sz w:val="19"/>
          <w:szCs w:val="19"/>
        </w:rPr>
        <w:t xml:space="preserve">Cross-chain bridges</w:t>
      </w:r>
    </w:p>
    <w:p>
      <w:pPr>
        <w:spacing w:after="140"/>
      </w:pPr>
      <w:r>
        <w:rPr>
          <w:color w:val="4A5568"/>
          <w:sz w:val="17"/>
          <w:szCs w:val="17"/>
        </w:rPr>
        <w:t xml:space="preserve">Chain-key tokens already provide native BTC, ETH and stablecoin access. Bridges are among the most-exploited components in the industry and would be redundant here.</w:t>
      </w:r>
    </w:p>
    <w:p>
      <w:pPr>
        <w:pBdr>
          <w:bottom w:val="single" w:color="E3E8F0" w:sz="4"/>
        </w:pBdr>
        <w:spacing w:after="40" w:before="40"/>
      </w:pPr>
      <w:r>
        <w:rPr>
          <w:b/>
          <w:bCs/>
          <w:color w:val="142544"/>
          <w:sz w:val="19"/>
          <w:szCs w:val="19"/>
        </w:rPr>
        <w:t xml:space="preserve">NFTs</w:t>
      </w:r>
    </w:p>
    <w:p>
      <w:pPr>
        <w:spacing w:after="140"/>
      </w:pPr>
      <w:r>
        <w:rPr>
          <w:color w:val="4A5568"/>
          <w:sz w:val="17"/>
          <w:szCs w:val="17"/>
        </w:rPr>
        <w:t xml:space="preserve">No clear tie to the core product of sending money by username.</w:t>
      </w:r>
    </w:p>
    <w:p>
      <w:pPr>
        <w:spacing w:after="40" w:before="40"/>
      </w:pPr>
      <w:r>
        <w:rPr>
          <w:b/>
          <w:bCs/>
          <w:color w:val="142544"/>
          <w:sz w:val="19"/>
          <w:szCs w:val="19"/>
        </w:rPr>
        <w:t xml:space="preserve">Fiat on-ramp</w:t>
      </w:r>
    </w:p>
    <w:p>
      <w:pPr>
        <w:spacing w:after="100"/>
      </w:pPr>
      <w:r>
        <w:rPr>
          <w:color w:val="4A5568"/>
          <w:sz w:val="17"/>
          <w:szCs w:val="17"/>
        </w:rPr>
        <w:t xml:space="preserve">Wanted, but requires a licensed partner — revisited alongside Phase 7's compliance work.</w:t>
      </w:r>
    </w:p>
    <w:sectPr>
      <w:footerReference w:type="default" r:id="rId7"/>
      <w:pgSz w:w="11906" w:h="16838" w:orient="portrait"/>
      <w:pgMar w:top="100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E8F0" w:sz="4"/>
      </w:pBdr>
      <w:tabs>
        <w:tab w:val="right" w:pos="9026"/>
      </w:tabs>
    </w:pPr>
    <w:r>
      <w:rPr>
        <w:color w:val="A0AAB8"/>
        <w:sz w:val="13"/>
        <w:szCs w:val="13"/>
      </w:rPr>
      <w:t xml:space="preserve">ICPay Roadmap — Formal Edition</w:t>
    </w:r>
    <w:r>
      <w:t xml:space="preserve">	</w:t>
    </w:r>
    <w:r>
      <w:rPr>
        <w:color w:val="A0AAB8"/>
        <w:sz w:val="13"/>
        <w:szCs w:val="13"/>
      </w:rPr>
      <w:t xml:space="preserve">Page </w:t>
    </w:r>
    <w:r>
      <w:rPr>
        <w:color w:val="A0AAB8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2026-08-03T09:15:02.195Z</dcterms:created>
  <dcterms:modified xsi:type="dcterms:W3CDTF">2026-08-03T09:15:02.217Z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