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DC2" w:rsidRDefault="005F1D7D">
      <w:pPr>
        <w:jc w:val="center"/>
      </w:pPr>
      <w:r>
        <w:rPr>
          <w:b/>
          <w:sz w:val="36"/>
        </w:rPr>
        <w:t>SIMATS ENGINEERING</w:t>
      </w:r>
    </w:p>
    <w:p w:rsidR="00006DC2" w:rsidRDefault="005F1D7D">
      <w:pPr>
        <w:jc w:val="center"/>
      </w:pPr>
      <w:r>
        <w:rPr>
          <w:b/>
          <w:sz w:val="28"/>
        </w:rPr>
        <w:t>CSA47 – DEEP LEARNING</w:t>
      </w:r>
    </w:p>
    <w:p w:rsidR="00006DC2" w:rsidRDefault="005F1D7D">
      <w:pPr>
        <w:jc w:val="center"/>
      </w:pPr>
      <w:r>
        <w:rPr>
          <w:b/>
          <w:sz w:val="26"/>
        </w:rPr>
        <w:t>CO1 – ASSESSMENT 1: ASSIGNMENT 1</w:t>
      </w:r>
    </w:p>
    <w:p w:rsidR="00006DC2" w:rsidRDefault="00006DC2"/>
    <w:p w:rsidR="00006DC2" w:rsidRDefault="00006DC2"/>
    <w:p w:rsidR="00006DC2" w:rsidRDefault="005F1D7D">
      <w:pPr>
        <w:jc w:val="center"/>
      </w:pPr>
      <w:r>
        <w:rPr>
          <w:b/>
          <w:sz w:val="32"/>
        </w:rPr>
        <w:t>ANALYZE THE MATHEMATICAL AND MACHINE LEARNING</w:t>
      </w:r>
      <w:r>
        <w:rPr>
          <w:b/>
          <w:sz w:val="32"/>
        </w:rPr>
        <w:br/>
        <w:t>FOUNDATIONS OF A CROP-DISEASE SCREENING SYSTEM</w:t>
      </w:r>
    </w:p>
    <w:p w:rsidR="00006DC2" w:rsidRDefault="00006DC2"/>
    <w:p w:rsidR="00006DC2" w:rsidRDefault="00630ABD">
      <w:pPr>
        <w:jc w:val="center"/>
      </w:pPr>
      <w:r>
        <w:t xml:space="preserve">Submitted by: </w:t>
      </w:r>
      <w:r w:rsidRPr="00630ABD">
        <w:t>C Prasanna</w:t>
      </w:r>
    </w:p>
    <w:p w:rsidR="00006DC2" w:rsidRDefault="005F1D7D">
      <w:pPr>
        <w:jc w:val="center"/>
      </w:pPr>
      <w:r>
        <w:t xml:space="preserve">Register Number: </w:t>
      </w:r>
      <w:r w:rsidR="00630ABD">
        <w:t>192371035</w:t>
      </w:r>
    </w:p>
    <w:p w:rsidR="00006DC2" w:rsidRDefault="00630ABD">
      <w:pPr>
        <w:jc w:val="center"/>
      </w:pPr>
      <w:r>
        <w:t>Department: CSE (Bio Science)</w:t>
      </w:r>
    </w:p>
    <w:p w:rsidR="00006DC2" w:rsidRDefault="005F1D7D">
      <w:pPr>
        <w:jc w:val="center"/>
      </w:pPr>
      <w:r>
        <w:t>Year / Secti</w:t>
      </w:r>
      <w:r w:rsidR="00630ABD">
        <w:t>on: 2026</w:t>
      </w:r>
    </w:p>
    <w:p w:rsidR="00006DC2" w:rsidRDefault="005F1D7D">
      <w:pPr>
        <w:jc w:val="center"/>
      </w:pPr>
      <w:r>
        <w:t>Faculty Name</w:t>
      </w:r>
      <w:r w:rsidR="00630ABD">
        <w:t>: Dr. Uma Priyadarshini</w:t>
      </w:r>
    </w:p>
    <w:p w:rsidR="00006DC2" w:rsidRDefault="00006DC2" w:rsidP="00630ABD"/>
    <w:p w:rsidR="00006DC2" w:rsidRDefault="005F1D7D">
      <w:r>
        <w:br w:type="page"/>
      </w:r>
      <w:bookmarkStart w:id="0" w:name="_GoBack"/>
      <w:bookmarkEnd w:id="0"/>
    </w:p>
    <w:p w:rsidR="00006DC2" w:rsidRDefault="005F1D7D">
      <w:pPr>
        <w:pStyle w:val="Heading1"/>
      </w:pPr>
      <w:r>
        <w:lastRenderedPageBreak/>
        <w:t>Abstract</w:t>
      </w:r>
    </w:p>
    <w:p w:rsidR="00006DC2" w:rsidRDefault="005F1D7D">
      <w:pPr>
        <w:spacing w:after="100"/>
      </w:pPr>
      <w:r>
        <w:t xml:space="preserve">AgriVision is a proposed crop-disease </w:t>
      </w:r>
      <w:r>
        <w:t>screening system that classifies leaf photographs into healthy and disease categories. This assignment analyses the mathematical and machine-learning foundations required before investing in a deep neural network. The report considers image representation,</w:t>
      </w:r>
      <w:r>
        <w:t xml:space="preserve"> linear algebra and principal component analysis (PCA), probability and information theory, numerical stability, classical learning baselines, model capacity, bias–variance, gradient-based optimization, performance evaluation, and the justification for dee</w:t>
      </w:r>
      <w:r>
        <w:t>p learning. It then evaluates the design challenge of supporting 38 crop–disease classes, approximately 20% noisy labels, inference within 50 ms per image, and a 5 MB model-memory budget.</w:t>
      </w:r>
    </w:p>
    <w:p w:rsidR="00006DC2" w:rsidRDefault="005F1D7D">
      <w:pPr>
        <w:spacing w:after="100"/>
      </w:pPr>
      <w:r>
        <w:t xml:space="preserve">Important note on evidence: the supplied assignment brief specifies </w:t>
      </w:r>
      <w:r>
        <w:t>the tasks but does not provide a dataset, executed code, or measured results. Therefore, mathematical examples and the compact comparison tables in this report are explicitly illustrative planning examples, not claims that experiments have already been run</w:t>
      </w:r>
      <w:r>
        <w:t>. Actual accuracy, timings, memory, PCA curves, and bootstrap estimates must be filled from a reproducible run on the chosen dataset before submission as experimental evidence.</w:t>
      </w:r>
    </w:p>
    <w:p w:rsidR="00006DC2" w:rsidRDefault="005F1D7D">
      <w:pPr>
        <w:pStyle w:val="Heading1"/>
      </w:pPr>
      <w:r>
        <w:t>1. Introduction and Problem Definition</w:t>
      </w:r>
    </w:p>
    <w:p w:rsidR="00006DC2" w:rsidRDefault="005F1D7D">
      <w:pPr>
        <w:spacing w:after="100"/>
      </w:pPr>
      <w:r>
        <w:t>Plant diseases can reduce crop yield and</w:t>
      </w:r>
      <w:r>
        <w:t xml:space="preserve"> quality. A smartphone-based screening tool could help farmers identify possible leaf diseases early, although a model prediction should be treated as decision support rather than a replacement for expert diagnosis. AgriVision receives a leaf image and pre</w:t>
      </w:r>
      <w:r>
        <w:t>dicts one of the available classes. The initial example uses three tomato classes: Healthy, Early Blight and Late Blight. The image is resized to 64 × 64 pixels and converted to grayscale, giving 4,096 pixel features after flattening.</w:t>
      </w:r>
    </w:p>
    <w:p w:rsidR="00006DC2" w:rsidRDefault="005F1D7D">
      <w:pPr>
        <w:spacing w:after="100"/>
      </w:pPr>
      <w:r>
        <w:t xml:space="preserve">The central question </w:t>
      </w:r>
      <w:r>
        <w:t xml:space="preserve">is not simply whether a model can obtain high accuracy. The system must be evaluated for data quality, generalization, computational stability, memory use, latency and robustness to changed operating requirements. Classical machine-learning models provide </w:t>
      </w:r>
      <w:r>
        <w:t>useful baselines and help establish whether a deep model is necessary.</w:t>
      </w:r>
    </w:p>
    <w:p w:rsidR="00006DC2" w:rsidRDefault="005F1D7D">
      <w:pPr>
        <w:pStyle w:val="Heading1"/>
      </w:pPr>
      <w:r>
        <w:t>2. Task 1 – Problem Structure and Data Representation</w:t>
      </w:r>
    </w:p>
    <w:p w:rsidR="00006DC2" w:rsidRDefault="005F1D7D">
      <w:pPr>
        <w:pStyle w:val="Heading2"/>
      </w:pPr>
      <w:r>
        <w:t>2.1 Learning-task components</w:t>
      </w:r>
    </w:p>
    <w:tbl>
      <w:tblPr>
        <w:tblStyle w:val="TableGrid"/>
        <w:tblW w:w="0" w:type="auto"/>
        <w:jc w:val="center"/>
        <w:tblLook w:val="04A0" w:firstRow="1" w:lastRow="0" w:firstColumn="1" w:lastColumn="0" w:noHBand="0" w:noVBand="1"/>
      </w:tblPr>
      <w:tblGrid>
        <w:gridCol w:w="3308"/>
        <w:gridCol w:w="3309"/>
        <w:gridCol w:w="3309"/>
      </w:tblGrid>
      <w:tr w:rsidR="00006DC2">
        <w:trPr>
          <w:jc w:val="center"/>
        </w:trPr>
        <w:tc>
          <w:tcPr>
            <w:tcW w:w="3312" w:type="dxa"/>
            <w:shd w:val="clear" w:color="auto" w:fill="CFE2F3"/>
          </w:tcPr>
          <w:p w:rsidR="00006DC2" w:rsidRDefault="005F1D7D">
            <w:r>
              <w:rPr>
                <w:b/>
              </w:rPr>
              <w:t>Component</w:t>
            </w:r>
          </w:p>
        </w:tc>
        <w:tc>
          <w:tcPr>
            <w:tcW w:w="3312" w:type="dxa"/>
            <w:shd w:val="clear" w:color="auto" w:fill="CFE2F3"/>
          </w:tcPr>
          <w:p w:rsidR="00006DC2" w:rsidRDefault="005F1D7D">
            <w:r>
              <w:rPr>
                <w:b/>
              </w:rPr>
              <w:t>AgriVision definition</w:t>
            </w:r>
          </w:p>
        </w:tc>
        <w:tc>
          <w:tcPr>
            <w:tcW w:w="3312" w:type="dxa"/>
            <w:shd w:val="clear" w:color="auto" w:fill="CFE2F3"/>
          </w:tcPr>
          <w:p w:rsidR="00006DC2" w:rsidRDefault="005F1D7D">
            <w:r>
              <w:rPr>
                <w:b/>
              </w:rPr>
              <w:t>Constraint / consequence</w:t>
            </w:r>
          </w:p>
        </w:tc>
      </w:tr>
      <w:tr w:rsidR="00006DC2">
        <w:trPr>
          <w:jc w:val="center"/>
        </w:trPr>
        <w:tc>
          <w:tcPr>
            <w:tcW w:w="3312" w:type="dxa"/>
            <w:vAlign w:val="center"/>
          </w:tcPr>
          <w:p w:rsidR="00006DC2" w:rsidRDefault="005F1D7D">
            <w:r>
              <w:t>Learning task</w:t>
            </w:r>
          </w:p>
        </w:tc>
        <w:tc>
          <w:tcPr>
            <w:tcW w:w="3312" w:type="dxa"/>
            <w:vAlign w:val="center"/>
          </w:tcPr>
          <w:p w:rsidR="00006DC2" w:rsidRDefault="005F1D7D">
            <w:r>
              <w:t xml:space="preserve">Supervised, multiclass image </w:t>
            </w:r>
            <w:r>
              <w:t>classification</w:t>
            </w:r>
          </w:p>
        </w:tc>
        <w:tc>
          <w:tcPr>
            <w:tcW w:w="3312" w:type="dxa"/>
            <w:vAlign w:val="center"/>
          </w:tcPr>
          <w:p w:rsidR="00006DC2" w:rsidRDefault="005F1D7D">
            <w:r>
              <w:t>Needs representative labelled examples for each class.</w:t>
            </w:r>
          </w:p>
        </w:tc>
      </w:tr>
      <w:tr w:rsidR="00006DC2">
        <w:trPr>
          <w:jc w:val="center"/>
        </w:trPr>
        <w:tc>
          <w:tcPr>
            <w:tcW w:w="3312" w:type="dxa"/>
            <w:vAlign w:val="center"/>
          </w:tcPr>
          <w:p w:rsidR="00006DC2" w:rsidRDefault="005F1D7D">
            <w:r>
              <w:t>Input</w:t>
            </w:r>
          </w:p>
        </w:tc>
        <w:tc>
          <w:tcPr>
            <w:tcW w:w="3312" w:type="dxa"/>
            <w:vAlign w:val="center"/>
          </w:tcPr>
          <w:p w:rsidR="00006DC2" w:rsidRDefault="005F1D7D">
            <w:r>
              <w:t>Leaf photograph, processed to 64 × 64 grayscale</w:t>
            </w:r>
          </w:p>
        </w:tc>
        <w:tc>
          <w:tcPr>
            <w:tcW w:w="3312" w:type="dxa"/>
            <w:vAlign w:val="center"/>
          </w:tcPr>
          <w:p w:rsidR="00006DC2" w:rsidRDefault="005F1D7D">
            <w:r>
              <w:t>Grayscale reduces colour information; resizing can remove small lesions.</w:t>
            </w:r>
          </w:p>
        </w:tc>
      </w:tr>
      <w:tr w:rsidR="00006DC2">
        <w:trPr>
          <w:jc w:val="center"/>
        </w:trPr>
        <w:tc>
          <w:tcPr>
            <w:tcW w:w="3312" w:type="dxa"/>
            <w:vAlign w:val="center"/>
          </w:tcPr>
          <w:p w:rsidR="00006DC2" w:rsidRDefault="005F1D7D">
            <w:r>
              <w:t>Output</w:t>
            </w:r>
          </w:p>
        </w:tc>
        <w:tc>
          <w:tcPr>
            <w:tcW w:w="3312" w:type="dxa"/>
            <w:vAlign w:val="center"/>
          </w:tcPr>
          <w:p w:rsidR="00006DC2" w:rsidRDefault="005F1D7D">
            <w:r>
              <w:t>Predicted class and class probabilities</w:t>
            </w:r>
          </w:p>
        </w:tc>
        <w:tc>
          <w:tcPr>
            <w:tcW w:w="3312" w:type="dxa"/>
            <w:vAlign w:val="center"/>
          </w:tcPr>
          <w:p w:rsidR="00006DC2" w:rsidRDefault="005F1D7D">
            <w:r>
              <w:t>The output</w:t>
            </w:r>
            <w:r>
              <w:t xml:space="preserve"> layer must have one score per class.</w:t>
            </w:r>
          </w:p>
        </w:tc>
      </w:tr>
      <w:tr w:rsidR="00006DC2">
        <w:trPr>
          <w:jc w:val="center"/>
        </w:trPr>
        <w:tc>
          <w:tcPr>
            <w:tcW w:w="3312" w:type="dxa"/>
            <w:vAlign w:val="center"/>
          </w:tcPr>
          <w:p w:rsidR="00006DC2" w:rsidRDefault="005F1D7D">
            <w:r>
              <w:t>Target labels</w:t>
            </w:r>
          </w:p>
        </w:tc>
        <w:tc>
          <w:tcPr>
            <w:tcW w:w="3312" w:type="dxa"/>
            <w:vAlign w:val="center"/>
          </w:tcPr>
          <w:p w:rsidR="00006DC2" w:rsidRDefault="005F1D7D">
            <w:r>
              <w:t>Healthy, Early Blight, Late Blight in the initial example</w:t>
            </w:r>
          </w:p>
        </w:tc>
        <w:tc>
          <w:tcPr>
            <w:tcW w:w="3312" w:type="dxa"/>
            <w:vAlign w:val="center"/>
          </w:tcPr>
          <w:p w:rsidR="00006DC2" w:rsidRDefault="005F1D7D">
            <w:r>
              <w:t>Label errors directly affect the learned decision boundary.</w:t>
            </w:r>
          </w:p>
        </w:tc>
      </w:tr>
      <w:tr w:rsidR="00006DC2">
        <w:trPr>
          <w:jc w:val="center"/>
        </w:trPr>
        <w:tc>
          <w:tcPr>
            <w:tcW w:w="3312" w:type="dxa"/>
            <w:vAlign w:val="center"/>
          </w:tcPr>
          <w:p w:rsidR="00006DC2" w:rsidRDefault="005F1D7D">
            <w:r>
              <w:t>Performance measures</w:t>
            </w:r>
          </w:p>
        </w:tc>
        <w:tc>
          <w:tcPr>
            <w:tcW w:w="3312" w:type="dxa"/>
            <w:vAlign w:val="center"/>
          </w:tcPr>
          <w:p w:rsidR="00006DC2" w:rsidRDefault="005F1D7D">
            <w:r>
              <w:t>Macro-F1, per-class recall, confusion matrix, accuracy, latency</w:t>
            </w:r>
            <w:r>
              <w:t xml:space="preserve"> and memory</w:t>
            </w:r>
          </w:p>
        </w:tc>
        <w:tc>
          <w:tcPr>
            <w:tcW w:w="3312" w:type="dxa"/>
            <w:vAlign w:val="center"/>
          </w:tcPr>
          <w:p w:rsidR="00006DC2" w:rsidRDefault="005F1D7D">
            <w:r>
              <w:t>Accuracy alone can hide poor performance on minority classes.</w:t>
            </w:r>
          </w:p>
        </w:tc>
      </w:tr>
      <w:tr w:rsidR="00006DC2">
        <w:trPr>
          <w:jc w:val="center"/>
        </w:trPr>
        <w:tc>
          <w:tcPr>
            <w:tcW w:w="3312" w:type="dxa"/>
            <w:vAlign w:val="center"/>
          </w:tcPr>
          <w:p w:rsidR="00006DC2" w:rsidRDefault="005F1D7D">
            <w:r>
              <w:t>Deployment context</w:t>
            </w:r>
          </w:p>
        </w:tc>
        <w:tc>
          <w:tcPr>
            <w:tcW w:w="3312" w:type="dxa"/>
            <w:vAlign w:val="center"/>
          </w:tcPr>
          <w:p w:rsidR="00006DC2" w:rsidRDefault="005F1D7D">
            <w:r>
              <w:t>Low-cost smartphone</w:t>
            </w:r>
          </w:p>
        </w:tc>
        <w:tc>
          <w:tcPr>
            <w:tcW w:w="3312" w:type="dxa"/>
            <w:vAlign w:val="center"/>
          </w:tcPr>
          <w:p w:rsidR="00006DC2" w:rsidRDefault="005F1D7D">
            <w:r>
              <w:t>Model size and inference time are design constraints, not optional extras.</w:t>
            </w:r>
          </w:p>
        </w:tc>
      </w:tr>
    </w:tbl>
    <w:p w:rsidR="00006DC2" w:rsidRDefault="00006DC2"/>
    <w:p w:rsidR="00006DC2" w:rsidRDefault="005F1D7D">
      <w:pPr>
        <w:pStyle w:val="Heading2"/>
      </w:pPr>
      <w:r>
        <w:lastRenderedPageBreak/>
        <w:t>2.2 Scalars, vectors, matrices and tensors</w:t>
      </w:r>
    </w:p>
    <w:tbl>
      <w:tblPr>
        <w:tblStyle w:val="TableGrid"/>
        <w:tblW w:w="0" w:type="auto"/>
        <w:jc w:val="center"/>
        <w:tblLook w:val="04A0" w:firstRow="1" w:lastRow="0" w:firstColumn="1" w:lastColumn="0" w:noHBand="0" w:noVBand="1"/>
      </w:tblPr>
      <w:tblGrid>
        <w:gridCol w:w="3308"/>
        <w:gridCol w:w="3309"/>
        <w:gridCol w:w="3309"/>
      </w:tblGrid>
      <w:tr w:rsidR="00006DC2">
        <w:trPr>
          <w:jc w:val="center"/>
        </w:trPr>
        <w:tc>
          <w:tcPr>
            <w:tcW w:w="3312" w:type="dxa"/>
            <w:shd w:val="clear" w:color="auto" w:fill="CFE2F3"/>
          </w:tcPr>
          <w:p w:rsidR="00006DC2" w:rsidRDefault="005F1D7D">
            <w:r>
              <w:rPr>
                <w:b/>
              </w:rPr>
              <w:t>Object</w:t>
            </w:r>
          </w:p>
        </w:tc>
        <w:tc>
          <w:tcPr>
            <w:tcW w:w="3312" w:type="dxa"/>
            <w:shd w:val="clear" w:color="auto" w:fill="CFE2F3"/>
          </w:tcPr>
          <w:p w:rsidR="00006DC2" w:rsidRDefault="005F1D7D">
            <w:r>
              <w:rPr>
                <w:b/>
              </w:rPr>
              <w:t>Shape / represe</w:t>
            </w:r>
            <w:r>
              <w:rPr>
                <w:b/>
              </w:rPr>
              <w:t>ntation</w:t>
            </w:r>
          </w:p>
        </w:tc>
        <w:tc>
          <w:tcPr>
            <w:tcW w:w="3312" w:type="dxa"/>
            <w:shd w:val="clear" w:color="auto" w:fill="CFE2F3"/>
          </w:tcPr>
          <w:p w:rsidR="00006DC2" w:rsidRDefault="005F1D7D">
            <w:r>
              <w:rPr>
                <w:b/>
              </w:rPr>
              <w:t>Why it matters</w:t>
            </w:r>
          </w:p>
        </w:tc>
      </w:tr>
      <w:tr w:rsidR="00006DC2">
        <w:trPr>
          <w:jc w:val="center"/>
        </w:trPr>
        <w:tc>
          <w:tcPr>
            <w:tcW w:w="3312" w:type="dxa"/>
            <w:vAlign w:val="center"/>
          </w:tcPr>
          <w:p w:rsidR="00006DC2" w:rsidRDefault="005F1D7D">
            <w:r>
              <w:t>One pixel</w:t>
            </w:r>
          </w:p>
        </w:tc>
        <w:tc>
          <w:tcPr>
            <w:tcW w:w="3312" w:type="dxa"/>
            <w:vAlign w:val="center"/>
          </w:tcPr>
          <w:p w:rsidR="00006DC2" w:rsidRDefault="005F1D7D">
            <w:r>
              <w:t>Scalar x ∈ [0,255], or [0,1] after normalization</w:t>
            </w:r>
          </w:p>
        </w:tc>
        <w:tc>
          <w:tcPr>
            <w:tcW w:w="3312" w:type="dxa"/>
            <w:vAlign w:val="center"/>
          </w:tcPr>
          <w:p w:rsidR="00006DC2" w:rsidRDefault="005F1D7D">
            <w:r>
              <w:t>A single intensity value.</w:t>
            </w:r>
          </w:p>
        </w:tc>
      </w:tr>
      <w:tr w:rsidR="00006DC2">
        <w:trPr>
          <w:jc w:val="center"/>
        </w:trPr>
        <w:tc>
          <w:tcPr>
            <w:tcW w:w="3312" w:type="dxa"/>
            <w:vAlign w:val="center"/>
          </w:tcPr>
          <w:p w:rsidR="00006DC2" w:rsidRDefault="005F1D7D">
            <w:r>
              <w:t>One image</w:t>
            </w:r>
          </w:p>
        </w:tc>
        <w:tc>
          <w:tcPr>
            <w:tcW w:w="3312" w:type="dxa"/>
            <w:vAlign w:val="center"/>
          </w:tcPr>
          <w:p w:rsidR="00006DC2" w:rsidRDefault="005F1D7D">
            <w:r>
              <w:t>Matrix 64 × 64; flattened vector x ∈ R^4096</w:t>
            </w:r>
          </w:p>
        </w:tc>
        <w:tc>
          <w:tcPr>
            <w:tcW w:w="3312" w:type="dxa"/>
            <w:vAlign w:val="center"/>
          </w:tcPr>
          <w:p w:rsidR="00006DC2" w:rsidRDefault="005F1D7D">
            <w:r>
              <w:t xml:space="preserve">The matrix preserves spatial neighbourhoods; flattening makes it usable by standard </w:t>
            </w:r>
            <w:r>
              <w:t>classifiers but discards explicit 2-D structure.</w:t>
            </w:r>
          </w:p>
        </w:tc>
      </w:tr>
      <w:tr w:rsidR="00006DC2">
        <w:trPr>
          <w:jc w:val="center"/>
        </w:trPr>
        <w:tc>
          <w:tcPr>
            <w:tcW w:w="3312" w:type="dxa"/>
            <w:vAlign w:val="center"/>
          </w:tcPr>
          <w:p w:rsidR="00006DC2" w:rsidRDefault="005F1D7D">
            <w:r>
              <w:t>Mini-batch of 32 images</w:t>
            </w:r>
          </w:p>
        </w:tc>
        <w:tc>
          <w:tcPr>
            <w:tcW w:w="3312" w:type="dxa"/>
            <w:vAlign w:val="center"/>
          </w:tcPr>
          <w:p w:rsidR="00006DC2" w:rsidRDefault="005F1D7D">
            <w:r>
              <w:t>Tensor 32 × 64 × 64; flattened design matrix X ∈ R^(32×4096)</w:t>
            </w:r>
          </w:p>
        </w:tc>
        <w:tc>
          <w:tcPr>
            <w:tcW w:w="3312" w:type="dxa"/>
            <w:vAlign w:val="center"/>
          </w:tcPr>
          <w:p w:rsidR="00006DC2" w:rsidRDefault="005F1D7D">
            <w:r>
              <w:t>Batch dimensions enable vectorized operations and consistent gradient estimates.</w:t>
            </w:r>
          </w:p>
        </w:tc>
      </w:tr>
      <w:tr w:rsidR="00006DC2">
        <w:trPr>
          <w:jc w:val="center"/>
        </w:trPr>
        <w:tc>
          <w:tcPr>
            <w:tcW w:w="3312" w:type="dxa"/>
            <w:vAlign w:val="center"/>
          </w:tcPr>
          <w:p w:rsidR="00006DC2" w:rsidRDefault="005F1D7D">
            <w:r>
              <w:t>Labels for a batch</w:t>
            </w:r>
          </w:p>
        </w:tc>
        <w:tc>
          <w:tcPr>
            <w:tcW w:w="3312" w:type="dxa"/>
            <w:vAlign w:val="center"/>
          </w:tcPr>
          <w:p w:rsidR="00006DC2" w:rsidRDefault="005F1D7D">
            <w:r>
              <w:t>Integer vector y ∈ {</w:t>
            </w:r>
            <w:r>
              <w:t>0,1,2}^32, or one-hot matrix Y ∈ {0,1}^(32×3)</w:t>
            </w:r>
          </w:p>
        </w:tc>
        <w:tc>
          <w:tcPr>
            <w:tcW w:w="3312" w:type="dxa"/>
            <w:vAlign w:val="center"/>
          </w:tcPr>
          <w:p w:rsidR="00006DC2" w:rsidRDefault="005F1D7D">
            <w:r>
              <w:t>Integer labels are compact; one-hot labels simplify cross-entropy calculations.</w:t>
            </w:r>
          </w:p>
        </w:tc>
      </w:tr>
      <w:tr w:rsidR="00006DC2">
        <w:trPr>
          <w:jc w:val="center"/>
        </w:trPr>
        <w:tc>
          <w:tcPr>
            <w:tcW w:w="3312" w:type="dxa"/>
            <w:vAlign w:val="center"/>
          </w:tcPr>
          <w:p w:rsidR="00006DC2" w:rsidRDefault="005F1D7D">
            <w:r>
              <w:t>Full dataset</w:t>
            </w:r>
          </w:p>
        </w:tc>
        <w:tc>
          <w:tcPr>
            <w:tcW w:w="3312" w:type="dxa"/>
            <w:vAlign w:val="center"/>
          </w:tcPr>
          <w:p w:rsidR="00006DC2" w:rsidRDefault="005F1D7D">
            <w:r>
              <w:t>X ∈ R^(N×4096), y ∈ {0,1,2}^N</w:t>
            </w:r>
          </w:p>
        </w:tc>
        <w:tc>
          <w:tcPr>
            <w:tcW w:w="3312" w:type="dxa"/>
            <w:vAlign w:val="center"/>
          </w:tcPr>
          <w:p w:rsidR="00006DC2" w:rsidRDefault="005F1D7D">
            <w:r>
              <w:t>Memory and computation increase with N.</w:t>
            </w:r>
          </w:p>
        </w:tc>
      </w:tr>
    </w:tbl>
    <w:p w:rsidR="00006DC2" w:rsidRDefault="00006DC2"/>
    <w:p w:rsidR="00006DC2" w:rsidRDefault="005F1D7D">
      <w:pPr>
        <w:pStyle w:val="Heading2"/>
      </w:pPr>
      <w:r>
        <w:t>2.3 Norms of a feature vector</w:t>
      </w:r>
    </w:p>
    <w:p w:rsidR="00006DC2" w:rsidRDefault="005F1D7D">
      <w:pPr>
        <w:spacing w:after="100"/>
      </w:pPr>
      <w:r>
        <w:t xml:space="preserve">For a feature </w:t>
      </w:r>
      <w:r>
        <w:t>vector x = [x₁,…,x_d], the L¹ norm is ||x||₁ = Σᵢ|xᵢ|, the L² norm is ||x||₂ = √(Σᵢxᵢ²), and the L∞ norm is ||x||∞ = maxᵢ|xᵢ|. For the small example x = [3, −4, 2], ||x||₁ = 9, ||x||₂ = √29 ≈ 5.39, and ||x||∞ = 4. L¹ measures total absolute intensity/magni</w:t>
      </w:r>
      <w:r>
        <w:t>tude and is often associated with sparse regularization; L² measures Euclidean magnitude and is commonly used for distances and weight decay; L∞ measures the largest coordinate and can help identify extreme pixel values or bound worst-coordinate deviations</w:t>
      </w:r>
      <w:r>
        <w:t>. The choice depends on the question being asked.</w:t>
      </w:r>
    </w:p>
    <w:p w:rsidR="00006DC2" w:rsidRDefault="005F1D7D">
      <w:pPr>
        <w:pStyle w:val="Heading2"/>
      </w:pPr>
      <w:r>
        <w:t>2.4 Preprocessing consequences</w:t>
      </w:r>
    </w:p>
    <w:p w:rsidR="00006DC2" w:rsidRDefault="005F1D7D">
      <w:pPr>
        <w:pStyle w:val="ListBullet"/>
        <w:spacing w:after="40"/>
      </w:pPr>
      <w:r>
        <w:t>Resizing to 64 × 64 reduces computation and memory, but fine disease patterns may disappear or become blurred. The same resizing rule must be used during training and inferenc</w:t>
      </w:r>
      <w:r>
        <w:t>e.</w:t>
      </w:r>
    </w:p>
    <w:p w:rsidR="00006DC2" w:rsidRDefault="005F1D7D">
      <w:pPr>
        <w:pStyle w:val="ListBullet"/>
        <w:spacing w:after="40"/>
      </w:pPr>
      <w:r>
        <w:t>Grayscale reduces three colour channels to one, cutting raw input dimensions from 12,288 to 4,096 for a 64 × 64 RGB image. However, yellowing, chlorosis and other colour cues may be weakened.</w:t>
      </w:r>
    </w:p>
    <w:p w:rsidR="00006DC2" w:rsidRDefault="005F1D7D">
      <w:pPr>
        <w:pStyle w:val="ListBullet"/>
        <w:spacing w:after="40"/>
      </w:pPr>
      <w:r>
        <w:t>Normalization such as x' = x/255 places pixel values in [0,1]</w:t>
      </w:r>
      <w:r>
        <w:t>, improving numerical scale and optimization. The transformation must be applied consistently.</w:t>
      </w:r>
    </w:p>
    <w:p w:rsidR="00006DC2" w:rsidRDefault="005F1D7D">
      <w:pPr>
        <w:pStyle w:val="ListBullet"/>
        <w:spacing w:after="40"/>
      </w:pPr>
      <w:r>
        <w:t xml:space="preserve">Flattening converts a 2-D image into a 4,096-element vector. This is convenient for PCA and classical models but removes the explicit local layout that </w:t>
      </w:r>
      <w:r>
        <w:t>convolutional models exploit.</w:t>
      </w:r>
    </w:p>
    <w:p w:rsidR="00006DC2" w:rsidRDefault="005F1D7D">
      <w:pPr>
        <w:pStyle w:val="ListBullet"/>
        <w:spacing w:after="40"/>
      </w:pPr>
      <w:r>
        <w:t>A stratified train/validation/test split should be performed before fitting normalization statistics or PCA. PCA must be fitted only on the training set; fitting it on all images leaks information from validation/test data.</w:t>
      </w:r>
    </w:p>
    <w:p w:rsidR="00006DC2" w:rsidRDefault="005F1D7D">
      <w:pPr>
        <w:spacing w:after="100"/>
      </w:pPr>
      <w:r>
        <w:t xml:space="preserve">A </w:t>
      </w:r>
      <w:r>
        <w:t>practical split is 70% training, 15% validation and 15% test, stratified by class. Images from the same plant, capture session or near-duplicate source should not be spread across splits because that can inflate performance.</w:t>
      </w:r>
    </w:p>
    <w:p w:rsidR="00006DC2" w:rsidRDefault="005F1D7D">
      <w:pPr>
        <w:pStyle w:val="Heading1"/>
      </w:pPr>
      <w:r>
        <w:t>3. Task 2 – Feature-Space Analy</w:t>
      </w:r>
      <w:r>
        <w:t>sis using Linear Algebra</w:t>
      </w:r>
    </w:p>
    <w:p w:rsidR="00006DC2" w:rsidRDefault="005F1D7D">
      <w:pPr>
        <w:pStyle w:val="Heading2"/>
      </w:pPr>
      <w:r>
        <w:t>3.1 PCA, eigenvalues and singular values</w:t>
      </w:r>
    </w:p>
    <w:p w:rsidR="00006DC2" w:rsidRDefault="005F1D7D">
      <w:pPr>
        <w:spacing w:after="100"/>
      </w:pPr>
      <w:r>
        <w:t>Let X be the centered training matrix with N rows and 4,096 columns. Its sample covariance matrix is C = XᵀX/(N−1). Eigen decomposition gives C vᵢ = λᵢvᵢ, where λᵢ indicates variance along p</w:t>
      </w:r>
      <w:r>
        <w:t>rincipal direction vᵢ. Alternatively, singular value decomposition gives X = UΣVᵀ. The singular values σᵢ relate to covariance eigenvalues through λᵢ = σᵢ²/(N−1). The explained-variance ratio for component i is λᵢ/Σⱼλⱼ.</w:t>
      </w:r>
    </w:p>
    <w:p w:rsidR="00006DC2" w:rsidRDefault="005F1D7D">
      <w:pPr>
        <w:spacing w:after="100"/>
      </w:pPr>
      <w:r>
        <w:lastRenderedPageBreak/>
        <w:t>If many eigenvalues are small, the p</w:t>
      </w:r>
      <w:r>
        <w:t>ixel features contain redundancy: much of the variation can be described using fewer directions. A steep spectrum supports compression, but high retained variance does not guarantee equally high classification accuracy because low-variance directions can s</w:t>
      </w:r>
      <w:r>
        <w:t>till carry disease-discriminating information.</w:t>
      </w:r>
    </w:p>
    <w:p w:rsidR="00006DC2" w:rsidRDefault="005F1D7D">
      <w:pPr>
        <w:pStyle w:val="Heading2"/>
      </w:pPr>
      <w:r>
        <w:t>3.2 Worked 2 × 2 example</w:t>
      </w:r>
    </w:p>
    <w:p w:rsidR="00006DC2" w:rsidRDefault="005F1D7D">
      <w:pPr>
        <w:spacing w:after="100"/>
      </w:pPr>
      <w:r>
        <w:t>Consider the symmetric covariance matrix C = [[2, 1], [1, 2]]. Its characteristic equation is det(C − λI) = (2−λ)²−1 = 0. Thus λ = 3 or λ = 1. For λ₁ = 3, an eigenvector is v₁ = [1,1]ᵀ</w:t>
      </w:r>
      <w:r>
        <w:t>/√2. For λ₂ = 1, an eigenvector is v₂ = [1,−1]ᵀ/√2. Total variance is 3+1=4. The first component explains 3/4 = 75% of variance and the second explains 25%. Keeping k=1 retains 75% of variance; it loses the direction associated with the remaining 25%. This</w:t>
      </w:r>
      <w:r>
        <w:t xml:space="preserve"> example illustrates the calculation only; the actual leaf dataset spectrum must be computed.</w:t>
      </w:r>
    </w:p>
    <w:p w:rsidR="00006DC2" w:rsidRDefault="005F1D7D">
      <w:pPr>
        <w:pStyle w:val="Heading2"/>
      </w:pPr>
      <w:r>
        <w:t>3.3 Reconstruction error and component choice</w:t>
      </w:r>
    </w:p>
    <w:p w:rsidR="00006DC2" w:rsidRDefault="005F1D7D">
      <w:pPr>
        <w:spacing w:after="100"/>
      </w:pPr>
      <w:r>
        <w:t>PCA reconstructs a centered image from its first k components. The mean squared reconstruction error decreases or st</w:t>
      </w:r>
      <w:r>
        <w:t>ays constant as k increases. A useful selection procedure is to plot cumulative explained variance and validation macro-F1 against k, for example k = 32, 64, 128, 256 and 512. The elbow is where adding components yields only a small reduction in reconstruc</w:t>
      </w:r>
      <w:r>
        <w:t>tion error. The final k should balance retained disease cues, validation performance, transformation cost and memory.</w:t>
      </w:r>
    </w:p>
    <w:tbl>
      <w:tblPr>
        <w:tblStyle w:val="TableGrid"/>
        <w:tblW w:w="0" w:type="auto"/>
        <w:jc w:val="center"/>
        <w:tblLook w:val="04A0" w:firstRow="1" w:lastRow="0" w:firstColumn="1" w:lastColumn="0" w:noHBand="0" w:noVBand="1"/>
      </w:tblPr>
      <w:tblGrid>
        <w:gridCol w:w="3309"/>
        <w:gridCol w:w="3308"/>
        <w:gridCol w:w="3309"/>
      </w:tblGrid>
      <w:tr w:rsidR="00006DC2">
        <w:trPr>
          <w:jc w:val="center"/>
        </w:trPr>
        <w:tc>
          <w:tcPr>
            <w:tcW w:w="3312" w:type="dxa"/>
            <w:shd w:val="clear" w:color="auto" w:fill="CFE2F3"/>
          </w:tcPr>
          <w:p w:rsidR="00006DC2" w:rsidRDefault="005F1D7D">
            <w:r>
              <w:rPr>
                <w:b/>
              </w:rPr>
              <w:t>Illustrative k</w:t>
            </w:r>
          </w:p>
        </w:tc>
        <w:tc>
          <w:tcPr>
            <w:tcW w:w="3312" w:type="dxa"/>
            <w:shd w:val="clear" w:color="auto" w:fill="CFE2F3"/>
          </w:tcPr>
          <w:p w:rsidR="00006DC2" w:rsidRDefault="005F1D7D">
            <w:r>
              <w:rPr>
                <w:b/>
              </w:rPr>
              <w:t>Illustrative cumulative variance</w:t>
            </w:r>
          </w:p>
        </w:tc>
        <w:tc>
          <w:tcPr>
            <w:tcW w:w="3312" w:type="dxa"/>
            <w:shd w:val="clear" w:color="auto" w:fill="CFE2F3"/>
          </w:tcPr>
          <w:p w:rsidR="00006DC2" w:rsidRDefault="005F1D7D">
            <w:r>
              <w:rPr>
                <w:b/>
              </w:rPr>
              <w:t>Interpretation</w:t>
            </w:r>
          </w:p>
        </w:tc>
      </w:tr>
      <w:tr w:rsidR="00006DC2">
        <w:trPr>
          <w:jc w:val="center"/>
        </w:trPr>
        <w:tc>
          <w:tcPr>
            <w:tcW w:w="3312" w:type="dxa"/>
            <w:vAlign w:val="center"/>
          </w:tcPr>
          <w:p w:rsidR="00006DC2" w:rsidRDefault="005F1D7D">
            <w:r>
              <w:t>32</w:t>
            </w:r>
          </w:p>
        </w:tc>
        <w:tc>
          <w:tcPr>
            <w:tcW w:w="3312" w:type="dxa"/>
            <w:vAlign w:val="center"/>
          </w:tcPr>
          <w:p w:rsidR="00006DC2" w:rsidRDefault="005F1D7D">
            <w:r>
              <w:t>70%</w:t>
            </w:r>
          </w:p>
        </w:tc>
        <w:tc>
          <w:tcPr>
            <w:tcW w:w="3312" w:type="dxa"/>
            <w:vAlign w:val="center"/>
          </w:tcPr>
          <w:p w:rsidR="00006DC2" w:rsidRDefault="005F1D7D">
            <w:r>
              <w:t>Strong compression; likely to discard some details.</w:t>
            </w:r>
          </w:p>
        </w:tc>
      </w:tr>
      <w:tr w:rsidR="00006DC2">
        <w:trPr>
          <w:jc w:val="center"/>
        </w:trPr>
        <w:tc>
          <w:tcPr>
            <w:tcW w:w="3312" w:type="dxa"/>
            <w:vAlign w:val="center"/>
          </w:tcPr>
          <w:p w:rsidR="00006DC2" w:rsidRDefault="005F1D7D">
            <w:r>
              <w:t>64</w:t>
            </w:r>
          </w:p>
        </w:tc>
        <w:tc>
          <w:tcPr>
            <w:tcW w:w="3312" w:type="dxa"/>
            <w:vAlign w:val="center"/>
          </w:tcPr>
          <w:p w:rsidR="00006DC2" w:rsidRDefault="005F1D7D">
            <w:r>
              <w:t>82%</w:t>
            </w:r>
          </w:p>
        </w:tc>
        <w:tc>
          <w:tcPr>
            <w:tcW w:w="3312" w:type="dxa"/>
            <w:vAlign w:val="center"/>
          </w:tcPr>
          <w:p w:rsidR="00006DC2" w:rsidRDefault="005F1D7D">
            <w:r>
              <w:t xml:space="preserve">Lower </w:t>
            </w:r>
            <w:r>
              <w:t>dimension with moderate retained variance.</w:t>
            </w:r>
          </w:p>
        </w:tc>
      </w:tr>
      <w:tr w:rsidR="00006DC2">
        <w:trPr>
          <w:jc w:val="center"/>
        </w:trPr>
        <w:tc>
          <w:tcPr>
            <w:tcW w:w="3312" w:type="dxa"/>
            <w:vAlign w:val="center"/>
          </w:tcPr>
          <w:p w:rsidR="00006DC2" w:rsidRDefault="005F1D7D">
            <w:r>
              <w:t>128</w:t>
            </w:r>
          </w:p>
        </w:tc>
        <w:tc>
          <w:tcPr>
            <w:tcW w:w="3312" w:type="dxa"/>
            <w:vAlign w:val="center"/>
          </w:tcPr>
          <w:p w:rsidR="00006DC2" w:rsidRDefault="005F1D7D">
            <w:r>
              <w:t>91%</w:t>
            </w:r>
          </w:p>
        </w:tc>
        <w:tc>
          <w:tcPr>
            <w:tcW w:w="3312" w:type="dxa"/>
            <w:vAlign w:val="center"/>
          </w:tcPr>
          <w:p w:rsidR="00006DC2" w:rsidRDefault="005F1D7D">
            <w:r>
              <w:t>Possible compromise; validate classification performance.</w:t>
            </w:r>
          </w:p>
        </w:tc>
      </w:tr>
      <w:tr w:rsidR="00006DC2">
        <w:trPr>
          <w:jc w:val="center"/>
        </w:trPr>
        <w:tc>
          <w:tcPr>
            <w:tcW w:w="3312" w:type="dxa"/>
            <w:vAlign w:val="center"/>
          </w:tcPr>
          <w:p w:rsidR="00006DC2" w:rsidRDefault="005F1D7D">
            <w:r>
              <w:t>256</w:t>
            </w:r>
          </w:p>
        </w:tc>
        <w:tc>
          <w:tcPr>
            <w:tcW w:w="3312" w:type="dxa"/>
            <w:vAlign w:val="center"/>
          </w:tcPr>
          <w:p w:rsidR="00006DC2" w:rsidRDefault="005F1D7D">
            <w:r>
              <w:t>96%</w:t>
            </w:r>
          </w:p>
        </w:tc>
        <w:tc>
          <w:tcPr>
            <w:tcW w:w="3312" w:type="dxa"/>
            <w:vAlign w:val="center"/>
          </w:tcPr>
          <w:p w:rsidR="00006DC2" w:rsidRDefault="005F1D7D">
            <w:r>
              <w:t>More detail but higher storage and computation.</w:t>
            </w:r>
          </w:p>
        </w:tc>
      </w:tr>
      <w:tr w:rsidR="00006DC2">
        <w:trPr>
          <w:jc w:val="center"/>
        </w:trPr>
        <w:tc>
          <w:tcPr>
            <w:tcW w:w="3312" w:type="dxa"/>
            <w:vAlign w:val="center"/>
          </w:tcPr>
          <w:p w:rsidR="00006DC2" w:rsidRDefault="005F1D7D">
            <w:r>
              <w:t>512</w:t>
            </w:r>
          </w:p>
        </w:tc>
        <w:tc>
          <w:tcPr>
            <w:tcW w:w="3312" w:type="dxa"/>
            <w:vAlign w:val="center"/>
          </w:tcPr>
          <w:p w:rsidR="00006DC2" w:rsidRDefault="005F1D7D">
            <w:r>
              <w:t>98%</w:t>
            </w:r>
          </w:p>
        </w:tc>
        <w:tc>
          <w:tcPr>
            <w:tcW w:w="3312" w:type="dxa"/>
            <w:vAlign w:val="center"/>
          </w:tcPr>
          <w:p w:rsidR="00006DC2" w:rsidRDefault="005F1D7D">
            <w:r>
              <w:t>Small extra variance gain compared with the additional dimensions.</w:t>
            </w:r>
          </w:p>
        </w:tc>
      </w:tr>
    </w:tbl>
    <w:p w:rsidR="00006DC2" w:rsidRDefault="00006DC2"/>
    <w:p w:rsidR="00006DC2" w:rsidRDefault="005F1D7D">
      <w:pPr>
        <w:spacing w:after="100"/>
      </w:pPr>
      <w:r>
        <w:t>These perce</w:t>
      </w:r>
      <w:r>
        <w:t>ntages are hypothetical examples to show how results should be reported; they are not measured values for PlantVillage or another dataset.</w:t>
      </w:r>
    </w:p>
    <w:p w:rsidR="00006DC2" w:rsidRDefault="005F1D7D">
      <w:pPr>
        <w:pStyle w:val="Heading2"/>
      </w:pPr>
      <w:r>
        <w:t>3.4 What principal components may represent</w:t>
      </w:r>
    </w:p>
    <w:p w:rsidR="00006DC2" w:rsidRDefault="005F1D7D">
      <w:pPr>
        <w:spacing w:after="100"/>
      </w:pPr>
      <w:r>
        <w:t xml:space="preserve">A leading component visualized after reshaping its 4,096 weights to 64 × </w:t>
      </w:r>
      <w:r>
        <w:t>64 may show broad brightness differences, leaf-versus-background contrast, or large-scale leaf structure. Later components may capture edges, texture or smaller patterns. Components are mathematical directions, not guaranteed semantic disease detectors. Vi</w:t>
      </w:r>
      <w:r>
        <w:t>sualizations should be generated from the fitted PCA model.</w:t>
      </w:r>
    </w:p>
    <w:p w:rsidR="00006DC2" w:rsidRDefault="005F1D7D">
      <w:pPr>
        <w:spacing w:after="100"/>
      </w:pPr>
      <w:r>
        <w:t>For a dense decomposition, covariance eigendecomposition on 4,096 × 4,096 features can be expensive in memory and time. SVD on the centered data matrix or randomized/truncated SVD can be more prac</w:t>
      </w:r>
      <w:r>
        <w:t>tical when only leading components are required. Computation increases with both sample count and feature dimension; the exact cost depends on the algorithm and matrix shape.</w:t>
      </w:r>
    </w:p>
    <w:p w:rsidR="00006DC2" w:rsidRDefault="005F1D7D">
      <w:pPr>
        <w:pStyle w:val="Heading1"/>
      </w:pPr>
      <w:r>
        <w:lastRenderedPageBreak/>
        <w:t>4. Task 3 – Probability and Information Theory</w:t>
      </w:r>
    </w:p>
    <w:p w:rsidR="00006DC2" w:rsidRDefault="005F1D7D">
      <w:pPr>
        <w:pStyle w:val="Heading2"/>
      </w:pPr>
      <w:r>
        <w:t>4.1 Class entropy and imbalance</w:t>
      </w:r>
    </w:p>
    <w:p w:rsidR="00006DC2" w:rsidRDefault="005F1D7D">
      <w:pPr>
        <w:spacing w:after="100"/>
      </w:pPr>
      <w:r>
        <w:t>For class probabilities p₁,…,p_C, entropy is H(Y)=−Σᵢpᵢ log₂ pᵢ. It is largest when classes are equally likely and lower when one class dominates. For three balanced classes, H(Y)=log₂3≈1.585 bits. For an illustrative distribution [0.70, 0.20, 0.10], H(Y)≈</w:t>
      </w:r>
      <w:r>
        <w:t>1.157 bits. Lower entropy signals imbalance; it does not by itself mean the task is easier because the minority disease classes may be important and difficult.</w:t>
      </w:r>
    </w:p>
    <w:p w:rsidR="00006DC2" w:rsidRDefault="005F1D7D">
      <w:pPr>
        <w:pStyle w:val="Heading2"/>
      </w:pPr>
      <w:r>
        <w:t>4.2 Cross-entropy and KL divergence</w:t>
      </w:r>
    </w:p>
    <w:p w:rsidR="00006DC2" w:rsidRDefault="005F1D7D">
      <w:pPr>
        <w:spacing w:after="100"/>
      </w:pPr>
      <w:r>
        <w:t>For true distribution p and predicted distribution q, cross-</w:t>
      </w:r>
      <w:r>
        <w:t>entropy is H(p,q)=−Σᵢpᵢ log qᵢ. KL divergence is DKL(p||q)=Σᵢpᵢ log(pᵢ/qᵢ), and H(p,q)=H(p)+DKL(p||q). Cross-entropy measures the penalty assigned to predictions when evaluated against the target distribution; KL divergence measures the extra information c</w:t>
      </w:r>
      <w:r>
        <w:t>ost from using q in place of p. Lower values indicate closer predicted probabilities, provided the same target distribution and logarithm base are used.</w:t>
      </w:r>
    </w:p>
    <w:p w:rsidR="00006DC2" w:rsidRDefault="005F1D7D">
      <w:pPr>
        <w:spacing w:after="100"/>
      </w:pPr>
      <w:r>
        <w:t>Example: let p=[0.8,0.2], q=[0.6,0.4], and use natural logarithms. DKL(p||q)=0.8 ln(0.8/0.6)+0.2 ln(0.2</w:t>
      </w:r>
      <w:r>
        <w:t>/0.4)≈0.0915 nats. Reversing the direction gives DKL(q||p)=0.6 ln(0.6/0.8)+0.4 ln(0.4/0.2)≈0.1046 nats. The values differ because KL divergence is asymmetric: DKL(p||q) weights discrepancies according to p, whereas DKL(q||p) weights them according to q.</w:t>
      </w:r>
    </w:p>
    <w:p w:rsidR="00006DC2" w:rsidRDefault="005F1D7D">
      <w:pPr>
        <w:spacing w:after="100"/>
      </w:pPr>
      <w:r>
        <w:t>Fo</w:t>
      </w:r>
      <w:r>
        <w:t>r a fixed target distribution p, H(p) is constant with respect to the model. Therefore minimizing H(p,q) is equivalent to minimizing DKL(p||q). In classification with one-hot targets, cross-entropy strongly penalizes assigning very low probability to the c</w:t>
      </w:r>
      <w:r>
        <w:t>orrect class.</w:t>
      </w:r>
    </w:p>
    <w:p w:rsidR="00006DC2" w:rsidRDefault="005F1D7D">
      <w:pPr>
        <w:pStyle w:val="Heading2"/>
      </w:pPr>
      <w:r>
        <w:t>4.3 Comparing models</w:t>
      </w:r>
    </w:p>
    <w:p w:rsidR="00006DC2" w:rsidRDefault="005F1D7D">
      <w:pPr>
        <w:spacing w:after="100"/>
      </w:pPr>
      <w:r>
        <w:t>Report per-model cross-entropy and macro-F1 alongside accuracy. A model can have good accuracy but poorly calibrated probabilities, producing high cross-entropy. Compare class-wise recall and the confusion matrix to ident</w:t>
      </w:r>
      <w:r>
        <w:t>ify whether Early Blight and Late Blight are confused. For noisy labels, the measured loss may partly reflect incorrect targets rather than model failure.</w:t>
      </w:r>
    </w:p>
    <w:p w:rsidR="00006DC2" w:rsidRDefault="005F1D7D">
      <w:pPr>
        <w:pStyle w:val="Heading1"/>
      </w:pPr>
      <w:r>
        <w:t>5. Task 4 – Numerical Computation Issues</w:t>
      </w:r>
    </w:p>
    <w:p w:rsidR="00006DC2" w:rsidRDefault="005F1D7D">
      <w:pPr>
        <w:pStyle w:val="Heading2"/>
      </w:pPr>
      <w:r>
        <w:t>5.1 Softmax overflow and stable computation</w:t>
      </w:r>
    </w:p>
    <w:p w:rsidR="00006DC2" w:rsidRDefault="005F1D7D">
      <w:pPr>
        <w:spacing w:after="100"/>
      </w:pPr>
      <w:r>
        <w:t>Softmax converts</w:t>
      </w:r>
      <w:r>
        <w:t xml:space="preserve"> logits zᵢ into probabilities pᵢ=exp(zᵢ)/Σⱼexp(zⱼ). With z=[1000,999,995], directly evaluating exp(1000) overflows in standard floating-point arithmetic. Subtracting the maximum logit gives z'=[0,−1,−5]. Since softmax is unchanged by adding or subtracting </w:t>
      </w:r>
      <w:r>
        <w:t>the same constant from every logit, the probabilities are proportional to [1,e⁻¹,e⁻⁵]. The denominator is approximately 1+0.3679+0.0067=1.3746, giving probabilities approximately [0.727, 0.268, 0.0049].</w:t>
      </w:r>
    </w:p>
    <w:p w:rsidR="00006DC2" w:rsidRDefault="005F1D7D">
      <w:pPr>
        <w:spacing w:after="100"/>
      </w:pPr>
      <w:r>
        <w:t xml:space="preserve">The log-sum-exp identity is log Σᵢ exp(zᵢ) = m + log </w:t>
      </w:r>
      <w:r>
        <w:t>Σᵢ exp(zᵢ−m), where m=max(z). It avoids overflow by exponentiating non-positive values. Underflow can occur for very negative logits; stable log-softmax implementations avoid taking log of a rounded zero.</w:t>
      </w:r>
    </w:p>
    <w:p w:rsidR="00006DC2" w:rsidRDefault="005F1D7D">
      <w:pPr>
        <w:pStyle w:val="Heading2"/>
      </w:pPr>
      <w:r>
        <w:t>5.2 Covariance conditioning</w:t>
      </w:r>
    </w:p>
    <w:p w:rsidR="00006DC2" w:rsidRDefault="005F1D7D">
      <w:pPr>
        <w:spacing w:after="100"/>
      </w:pPr>
      <w:r>
        <w:t>The condition number κ(</w:t>
      </w:r>
      <w:r>
        <w:t>C)=λmax/λmin for a positive-definite covariance matrix indicates how differently scaled the feature directions are. A large condition number creates narrow valleys in the loss surface and can make gradient descent slow or unstable: a learning rate large en</w:t>
      </w:r>
      <w:r>
        <w:t xml:space="preserve">ough for one direction may overshoot in another. Highly correlated pixels, constant background regions and redundant features can worsen conditioning. </w:t>
      </w:r>
      <w:r>
        <w:lastRenderedPageBreak/>
        <w:t xml:space="preserve">Normalization, PCA, regularization and stable gradient calculations may improve optimization. If λmin is </w:t>
      </w:r>
      <w:r>
        <w:t>nearly zero, the covariance matrix is ill-conditioned or singular.</w:t>
      </w:r>
    </w:p>
    <w:p w:rsidR="00006DC2" w:rsidRDefault="005F1D7D">
      <w:pPr>
        <w:pStyle w:val="Heading1"/>
      </w:pPr>
      <w:r>
        <w:t>6. Task 5 – Three Classical Learning Baselines</w:t>
      </w:r>
    </w:p>
    <w:p w:rsidR="00006DC2" w:rsidRDefault="005F1D7D">
      <w:pPr>
        <w:spacing w:after="100"/>
      </w:pPr>
      <w:r>
        <w:t>The baselines should be trained and evaluated using the same split and preprocessing protocol. Three meaningfully different approaches are sel</w:t>
      </w:r>
      <w:r>
        <w:t>ected.</w:t>
      </w:r>
    </w:p>
    <w:tbl>
      <w:tblPr>
        <w:tblStyle w:val="TableGrid"/>
        <w:tblW w:w="0" w:type="auto"/>
        <w:jc w:val="center"/>
        <w:tblLook w:val="04A0" w:firstRow="1" w:lastRow="0" w:firstColumn="1" w:lastColumn="0" w:noHBand="0" w:noVBand="1"/>
      </w:tblPr>
      <w:tblGrid>
        <w:gridCol w:w="2482"/>
        <w:gridCol w:w="2481"/>
        <w:gridCol w:w="2481"/>
        <w:gridCol w:w="2482"/>
      </w:tblGrid>
      <w:tr w:rsidR="00006DC2">
        <w:trPr>
          <w:jc w:val="center"/>
        </w:trPr>
        <w:tc>
          <w:tcPr>
            <w:tcW w:w="2484" w:type="dxa"/>
            <w:shd w:val="clear" w:color="auto" w:fill="CFE2F3"/>
          </w:tcPr>
          <w:p w:rsidR="00006DC2" w:rsidRDefault="005F1D7D">
            <w:r>
              <w:rPr>
                <w:b/>
              </w:rPr>
              <w:t>Algorithm</w:t>
            </w:r>
          </w:p>
        </w:tc>
        <w:tc>
          <w:tcPr>
            <w:tcW w:w="2484" w:type="dxa"/>
            <w:shd w:val="clear" w:color="auto" w:fill="CFE2F3"/>
          </w:tcPr>
          <w:p w:rsidR="00006DC2" w:rsidRDefault="005F1D7D">
            <w:r>
              <w:rPr>
                <w:b/>
              </w:rPr>
              <w:t>Hypothesis space / inductive bias</w:t>
            </w:r>
          </w:p>
        </w:tc>
        <w:tc>
          <w:tcPr>
            <w:tcW w:w="2484" w:type="dxa"/>
            <w:shd w:val="clear" w:color="auto" w:fill="CFE2F3"/>
          </w:tcPr>
          <w:p w:rsidR="00006DC2" w:rsidRDefault="005F1D7D">
            <w:r>
              <w:rPr>
                <w:b/>
              </w:rPr>
              <w:t>Strengths and limitations on 4,096 features</w:t>
            </w:r>
          </w:p>
        </w:tc>
        <w:tc>
          <w:tcPr>
            <w:tcW w:w="2484" w:type="dxa"/>
            <w:shd w:val="clear" w:color="auto" w:fill="CFE2F3"/>
          </w:tcPr>
          <w:p w:rsidR="00006DC2" w:rsidRDefault="005F1D7D">
            <w:r>
              <w:rPr>
                <w:b/>
              </w:rPr>
              <w:t>Likely PCA effect</w:t>
            </w:r>
          </w:p>
        </w:tc>
      </w:tr>
      <w:tr w:rsidR="00006DC2">
        <w:trPr>
          <w:jc w:val="center"/>
        </w:trPr>
        <w:tc>
          <w:tcPr>
            <w:tcW w:w="2484" w:type="dxa"/>
            <w:vAlign w:val="center"/>
          </w:tcPr>
          <w:p w:rsidR="00006DC2" w:rsidRDefault="005F1D7D">
            <w:r>
              <w:t>Multinomial logistic regression</w:t>
            </w:r>
          </w:p>
        </w:tc>
        <w:tc>
          <w:tcPr>
            <w:tcW w:w="2484" w:type="dxa"/>
            <w:vAlign w:val="center"/>
          </w:tcPr>
          <w:p w:rsidR="00006DC2" w:rsidRDefault="005F1D7D">
            <w:r>
              <w:t>Linear decision boundaries; probabilities from softmax</w:t>
            </w:r>
          </w:p>
        </w:tc>
        <w:tc>
          <w:tcPr>
            <w:tcW w:w="2484" w:type="dxa"/>
            <w:vAlign w:val="center"/>
          </w:tcPr>
          <w:p w:rsidR="00006DC2" w:rsidRDefault="005F1D7D">
            <w:r>
              <w:t>Fast and compact; may underfit complex disease texture.</w:t>
            </w:r>
          </w:p>
        </w:tc>
        <w:tc>
          <w:tcPr>
            <w:tcW w:w="2484" w:type="dxa"/>
            <w:vAlign w:val="center"/>
          </w:tcPr>
          <w:p w:rsidR="00006DC2" w:rsidRDefault="005F1D7D">
            <w:r>
              <w:t>Often benefits from removing redundant dimensions and regularization.</w:t>
            </w:r>
          </w:p>
        </w:tc>
      </w:tr>
      <w:tr w:rsidR="00006DC2">
        <w:trPr>
          <w:jc w:val="center"/>
        </w:trPr>
        <w:tc>
          <w:tcPr>
            <w:tcW w:w="2484" w:type="dxa"/>
            <w:vAlign w:val="center"/>
          </w:tcPr>
          <w:p w:rsidR="00006DC2" w:rsidRDefault="005F1D7D">
            <w:r>
              <w:t>k-nearest neighbours (k-NN)</w:t>
            </w:r>
          </w:p>
        </w:tc>
        <w:tc>
          <w:tcPr>
            <w:tcW w:w="2484" w:type="dxa"/>
            <w:vAlign w:val="center"/>
          </w:tcPr>
          <w:p w:rsidR="00006DC2" w:rsidRDefault="005F1D7D">
            <w:r>
              <w:t>Non-parametric local decisions based on feature distance</w:t>
            </w:r>
          </w:p>
        </w:tc>
        <w:tc>
          <w:tcPr>
            <w:tcW w:w="2484" w:type="dxa"/>
            <w:vAlign w:val="center"/>
          </w:tcPr>
          <w:p w:rsidR="00006DC2" w:rsidRDefault="005F1D7D">
            <w:r>
              <w:t>Simple, flexible; prediction cost and storage grow with training set; distances become less informa</w:t>
            </w:r>
            <w:r>
              <w:t>tive in high dimensions.</w:t>
            </w:r>
          </w:p>
        </w:tc>
        <w:tc>
          <w:tcPr>
            <w:tcW w:w="2484" w:type="dxa"/>
            <w:vAlign w:val="center"/>
          </w:tcPr>
          <w:p w:rsidR="00006DC2" w:rsidRDefault="005F1D7D">
            <w:r>
              <w:t>May improve distance quality and reduce computation, but lost detail can change neighbours.</w:t>
            </w:r>
          </w:p>
        </w:tc>
      </w:tr>
      <w:tr w:rsidR="00006DC2">
        <w:trPr>
          <w:jc w:val="center"/>
        </w:trPr>
        <w:tc>
          <w:tcPr>
            <w:tcW w:w="2484" w:type="dxa"/>
            <w:vAlign w:val="center"/>
          </w:tcPr>
          <w:p w:rsidR="00006DC2" w:rsidRDefault="005F1D7D">
            <w:r>
              <w:t>Random forest</w:t>
            </w:r>
          </w:p>
        </w:tc>
        <w:tc>
          <w:tcPr>
            <w:tcW w:w="2484" w:type="dxa"/>
            <w:vAlign w:val="center"/>
          </w:tcPr>
          <w:p w:rsidR="00006DC2" w:rsidRDefault="005F1D7D">
            <w:r>
              <w:t>Ensemble of decision trees using feature splits</w:t>
            </w:r>
          </w:p>
        </w:tc>
        <w:tc>
          <w:tcPr>
            <w:tcW w:w="2484" w:type="dxa"/>
            <w:vAlign w:val="center"/>
          </w:tcPr>
          <w:p w:rsidR="00006DC2" w:rsidRDefault="005F1D7D">
            <w:r>
              <w:t>Models nonlinear interactions; can be robust to scaling; trees may overfit a</w:t>
            </w:r>
            <w:r>
              <w:t>nd large forests consume memory.</w:t>
            </w:r>
          </w:p>
        </w:tc>
        <w:tc>
          <w:tcPr>
            <w:tcW w:w="2484" w:type="dxa"/>
            <w:vAlign w:val="center"/>
          </w:tcPr>
          <w:p w:rsidR="00006DC2" w:rsidRDefault="005F1D7D">
            <w:r>
              <w:t>May reduce noisy/redundant inputs but PCA rotations can make axis-aligned splits less interpretable or less effective.</w:t>
            </w:r>
          </w:p>
        </w:tc>
      </w:tr>
    </w:tbl>
    <w:p w:rsidR="00006DC2" w:rsidRDefault="00006DC2"/>
    <w:p w:rsidR="00006DC2" w:rsidRDefault="005F1D7D">
      <w:pPr>
        <w:spacing w:after="100"/>
      </w:pPr>
      <w:r>
        <w:t>The comparison should use raw normalized pixels and PCA features. A linear model may improve with comp</w:t>
      </w:r>
      <w:r>
        <w:t>ression if noise is removed; k-NN may benefit from reduced dimensionality but suffer if local disease cues are lost; a random forest may work well on selected pixel patterns but can become costly if too many trees or deep trees are used. These are hypothes</w:t>
      </w:r>
      <w:r>
        <w:t>es to test, not guaranteed rankings.</w:t>
      </w:r>
    </w:p>
    <w:p w:rsidR="00006DC2" w:rsidRDefault="005F1D7D">
      <w:pPr>
        <w:pStyle w:val="Heading1"/>
      </w:pPr>
      <w:r>
        <w:t>7. Task 6 – Capacity, Overfitting and Underfitting</w:t>
      </w:r>
    </w:p>
    <w:p w:rsidR="00006DC2" w:rsidRDefault="005F1D7D">
      <w:pPr>
        <w:spacing w:after="100"/>
      </w:pPr>
      <w:r>
        <w:t>Capacity describes how complex a model's decision function can be. A low-capacity model may fail to represent disease patterns and show high training and validation err</w:t>
      </w:r>
      <w:r>
        <w:t>or (underfitting). As capacity increases, training error generally decreases. Beyond a suitable point, the model may fit noise or accidental patterns: training error continues to decrease while validation error rises (overfitting). The difference between t</w:t>
      </w:r>
      <w:r>
        <w:t>raining and validation error is the generalization gap.</w:t>
      </w:r>
    </w:p>
    <w:tbl>
      <w:tblPr>
        <w:tblStyle w:val="TableGrid"/>
        <w:tblW w:w="0" w:type="auto"/>
        <w:jc w:val="center"/>
        <w:tblLook w:val="04A0" w:firstRow="1" w:lastRow="0" w:firstColumn="1" w:lastColumn="0" w:noHBand="0" w:noVBand="1"/>
      </w:tblPr>
      <w:tblGrid>
        <w:gridCol w:w="2480"/>
        <w:gridCol w:w="2482"/>
        <w:gridCol w:w="2482"/>
        <w:gridCol w:w="2482"/>
      </w:tblGrid>
      <w:tr w:rsidR="00006DC2">
        <w:trPr>
          <w:jc w:val="center"/>
        </w:trPr>
        <w:tc>
          <w:tcPr>
            <w:tcW w:w="2484" w:type="dxa"/>
            <w:shd w:val="clear" w:color="auto" w:fill="CFE2F3"/>
          </w:tcPr>
          <w:p w:rsidR="00006DC2" w:rsidRDefault="005F1D7D">
            <w:r>
              <w:rPr>
                <w:b/>
              </w:rPr>
              <w:t>Model</w:t>
            </w:r>
          </w:p>
        </w:tc>
        <w:tc>
          <w:tcPr>
            <w:tcW w:w="2484" w:type="dxa"/>
            <w:shd w:val="clear" w:color="auto" w:fill="CFE2F3"/>
          </w:tcPr>
          <w:p w:rsidR="00006DC2" w:rsidRDefault="005F1D7D">
            <w:r>
              <w:rPr>
                <w:b/>
              </w:rPr>
              <w:t>Capacity control</w:t>
            </w:r>
          </w:p>
        </w:tc>
        <w:tc>
          <w:tcPr>
            <w:tcW w:w="2484" w:type="dxa"/>
            <w:shd w:val="clear" w:color="auto" w:fill="CFE2F3"/>
          </w:tcPr>
          <w:p w:rsidR="00006DC2" w:rsidRDefault="005F1D7D">
            <w:r>
              <w:rPr>
                <w:b/>
              </w:rPr>
              <w:t>Underfitting sign</w:t>
            </w:r>
          </w:p>
        </w:tc>
        <w:tc>
          <w:tcPr>
            <w:tcW w:w="2484" w:type="dxa"/>
            <w:shd w:val="clear" w:color="auto" w:fill="CFE2F3"/>
          </w:tcPr>
          <w:p w:rsidR="00006DC2" w:rsidRDefault="005F1D7D">
            <w:r>
              <w:rPr>
                <w:b/>
              </w:rPr>
              <w:t>Overfitting sign</w:t>
            </w:r>
          </w:p>
        </w:tc>
      </w:tr>
      <w:tr w:rsidR="00006DC2">
        <w:trPr>
          <w:jc w:val="center"/>
        </w:trPr>
        <w:tc>
          <w:tcPr>
            <w:tcW w:w="2484" w:type="dxa"/>
            <w:vAlign w:val="center"/>
          </w:tcPr>
          <w:p w:rsidR="00006DC2" w:rsidRDefault="005F1D7D">
            <w:r>
              <w:t>Logistic regression</w:t>
            </w:r>
          </w:p>
        </w:tc>
        <w:tc>
          <w:tcPr>
            <w:tcW w:w="2484" w:type="dxa"/>
            <w:vAlign w:val="center"/>
          </w:tcPr>
          <w:p w:rsidR="00006DC2" w:rsidRDefault="005F1D7D">
            <w:r>
              <w:t>Regularization strength C or λ</w:t>
            </w:r>
          </w:p>
        </w:tc>
        <w:tc>
          <w:tcPr>
            <w:tcW w:w="2484" w:type="dxa"/>
            <w:vAlign w:val="center"/>
          </w:tcPr>
          <w:p w:rsidR="00006DC2" w:rsidRDefault="005F1D7D">
            <w:r>
              <w:t>Both training and validation scores are poor</w:t>
            </w:r>
          </w:p>
        </w:tc>
        <w:tc>
          <w:tcPr>
            <w:tcW w:w="2484" w:type="dxa"/>
            <w:vAlign w:val="center"/>
          </w:tcPr>
          <w:p w:rsidR="00006DC2" w:rsidRDefault="005F1D7D">
            <w:r>
              <w:t xml:space="preserve">Weak regularization gives a widening </w:t>
            </w:r>
            <w:r>
              <w:t>train–validation gap.</w:t>
            </w:r>
          </w:p>
        </w:tc>
      </w:tr>
      <w:tr w:rsidR="00006DC2">
        <w:trPr>
          <w:jc w:val="center"/>
        </w:trPr>
        <w:tc>
          <w:tcPr>
            <w:tcW w:w="2484" w:type="dxa"/>
            <w:vAlign w:val="center"/>
          </w:tcPr>
          <w:p w:rsidR="00006DC2" w:rsidRDefault="005F1D7D">
            <w:r>
              <w:t>k-NN</w:t>
            </w:r>
          </w:p>
        </w:tc>
        <w:tc>
          <w:tcPr>
            <w:tcW w:w="2484" w:type="dxa"/>
            <w:vAlign w:val="center"/>
          </w:tcPr>
          <w:p w:rsidR="00006DC2" w:rsidRDefault="005F1D7D">
            <w:r>
              <w:t>k neighbours</w:t>
            </w:r>
          </w:p>
        </w:tc>
        <w:tc>
          <w:tcPr>
            <w:tcW w:w="2484" w:type="dxa"/>
            <w:vAlign w:val="center"/>
          </w:tcPr>
          <w:p w:rsidR="00006DC2" w:rsidRDefault="005F1D7D">
            <w:r>
              <w:t>Large k smooths away class boundaries</w:t>
            </w:r>
          </w:p>
        </w:tc>
        <w:tc>
          <w:tcPr>
            <w:tcW w:w="2484" w:type="dxa"/>
            <w:vAlign w:val="center"/>
          </w:tcPr>
          <w:p w:rsidR="00006DC2" w:rsidRDefault="005F1D7D">
            <w:r>
              <w:t>Very small k memorizes local noise; training accuracy may approach 100%.</w:t>
            </w:r>
          </w:p>
        </w:tc>
      </w:tr>
      <w:tr w:rsidR="00006DC2">
        <w:trPr>
          <w:jc w:val="center"/>
        </w:trPr>
        <w:tc>
          <w:tcPr>
            <w:tcW w:w="2484" w:type="dxa"/>
            <w:vAlign w:val="center"/>
          </w:tcPr>
          <w:p w:rsidR="00006DC2" w:rsidRDefault="005F1D7D">
            <w:r>
              <w:lastRenderedPageBreak/>
              <w:t>Random forest</w:t>
            </w:r>
          </w:p>
        </w:tc>
        <w:tc>
          <w:tcPr>
            <w:tcW w:w="2484" w:type="dxa"/>
            <w:vAlign w:val="center"/>
          </w:tcPr>
          <w:p w:rsidR="00006DC2" w:rsidRDefault="005F1D7D">
            <w:r>
              <w:t>Maximum depth, minimum leaf size, number of trees</w:t>
            </w:r>
          </w:p>
        </w:tc>
        <w:tc>
          <w:tcPr>
            <w:tcW w:w="2484" w:type="dxa"/>
            <w:vAlign w:val="center"/>
          </w:tcPr>
          <w:p w:rsidR="00006DC2" w:rsidRDefault="005F1D7D">
            <w:r>
              <w:t xml:space="preserve">Very shallow trees miss complex </w:t>
            </w:r>
            <w:r>
              <w:t>patterns</w:t>
            </w:r>
          </w:p>
        </w:tc>
        <w:tc>
          <w:tcPr>
            <w:tcW w:w="2484" w:type="dxa"/>
            <w:vAlign w:val="center"/>
          </w:tcPr>
          <w:p w:rsidR="00006DC2" w:rsidRDefault="005F1D7D">
            <w:r>
              <w:t>Deep trees with tiny leaves fit noise and show a larger gap.</w:t>
            </w:r>
          </w:p>
        </w:tc>
      </w:tr>
    </w:tbl>
    <w:p w:rsidR="00006DC2" w:rsidRDefault="00006DC2"/>
    <w:p w:rsidR="00006DC2" w:rsidRDefault="005F1D7D">
      <w:pPr>
        <w:spacing w:after="100"/>
      </w:pPr>
      <w:r>
        <w:t xml:space="preserve">Use validation data or stratified k-fold cross-validation to choose hyperparameters. The test set must be reserved for a final, one-time estimate. Selecting parameters on the test set </w:t>
      </w:r>
      <w:r>
        <w:t>indirectly adapts the model to that set and produces an optimistically biased reported error.</w:t>
      </w:r>
    </w:p>
    <w:p w:rsidR="00006DC2" w:rsidRDefault="005F1D7D">
      <w:pPr>
        <w:spacing w:after="100"/>
      </w:pPr>
      <w:r>
        <w:t>For the report, plot training and validation error against k for k-NN, regularization for logistic regression, and tree depth for the forest. Mark underfitting, t</w:t>
      </w:r>
      <w:r>
        <w:t>he best validation region and overfitting on each graph. These plots require actual model runs.</w:t>
      </w:r>
    </w:p>
    <w:p w:rsidR="00006DC2" w:rsidRDefault="005F1D7D">
      <w:pPr>
        <w:pStyle w:val="Heading1"/>
      </w:pPr>
      <w:r>
        <w:t>8. Task 7 – Bias–Variance and Estimation</w:t>
      </w:r>
    </w:p>
    <w:p w:rsidR="00006DC2" w:rsidRDefault="005F1D7D">
      <w:pPr>
        <w:pStyle w:val="Heading2"/>
      </w:pPr>
      <w:r>
        <w:t>8.1 Bootstrap experiment</w:t>
      </w:r>
    </w:p>
    <w:p w:rsidR="00006DC2" w:rsidRDefault="005F1D7D">
      <w:pPr>
        <w:spacing w:after="100"/>
      </w:pPr>
      <w:r>
        <w:t>Create at least 10 bootstrap replicas by sampling training examples with replacement. Fit a lo</w:t>
      </w:r>
      <w:r>
        <w:t>w-capacity model (for example, strongly regularized logistic regression) and a higher-capacity model (for example, a deep random forest) on each replica. On the same held-out examples, record each replica's predicted class probabilities. For a regression-s</w:t>
      </w:r>
      <w:r>
        <w:t>tyle squared-loss analysis, the expected prediction error decomposes as bias² + variance + irreducible noise. For classification, an exact decomposition depends on the chosen loss and definition; a practical report can estimate prediction variability acros</w:t>
      </w:r>
      <w:r>
        <w:t>s replicas and discuss the limitations rather than claiming a universal exact decomposition.</w:t>
      </w:r>
    </w:p>
    <w:p w:rsidR="00006DC2" w:rsidRDefault="005F1D7D">
      <w:pPr>
        <w:spacing w:after="100"/>
      </w:pPr>
      <w:r>
        <w:t>Low-capacity models often have higher bias and lower variance. High-capacity models can reduce bias but are more sensitive to the training sample, increasing varia</w:t>
      </w:r>
      <w:r>
        <w:t>nce. Label noise adds irreducible uncertainty and can make high-capacity models fit incorrect labels.</w:t>
      </w:r>
    </w:p>
    <w:tbl>
      <w:tblPr>
        <w:tblStyle w:val="TableGrid"/>
        <w:tblW w:w="0" w:type="auto"/>
        <w:jc w:val="center"/>
        <w:tblLook w:val="04A0" w:firstRow="1" w:lastRow="0" w:firstColumn="1" w:lastColumn="0" w:noHBand="0" w:noVBand="1"/>
      </w:tblPr>
      <w:tblGrid>
        <w:gridCol w:w="4962"/>
        <w:gridCol w:w="4964"/>
      </w:tblGrid>
      <w:tr w:rsidR="00006DC2">
        <w:trPr>
          <w:jc w:val="center"/>
        </w:trPr>
        <w:tc>
          <w:tcPr>
            <w:tcW w:w="4968" w:type="dxa"/>
            <w:shd w:val="clear" w:color="auto" w:fill="CFE2F3"/>
          </w:tcPr>
          <w:p w:rsidR="00006DC2" w:rsidRDefault="005F1D7D">
            <w:r>
              <w:rPr>
                <w:b/>
              </w:rPr>
              <w:t>Quantity to report</w:t>
            </w:r>
          </w:p>
        </w:tc>
        <w:tc>
          <w:tcPr>
            <w:tcW w:w="4968" w:type="dxa"/>
            <w:shd w:val="clear" w:color="auto" w:fill="CFE2F3"/>
          </w:tcPr>
          <w:p w:rsidR="00006DC2" w:rsidRDefault="005F1D7D">
            <w:r>
              <w:rPr>
                <w:b/>
              </w:rPr>
              <w:t>Method</w:t>
            </w:r>
          </w:p>
        </w:tc>
      </w:tr>
      <w:tr w:rsidR="00006DC2">
        <w:trPr>
          <w:jc w:val="center"/>
        </w:trPr>
        <w:tc>
          <w:tcPr>
            <w:tcW w:w="4968" w:type="dxa"/>
            <w:vAlign w:val="center"/>
          </w:tcPr>
          <w:p w:rsidR="00006DC2" w:rsidRDefault="005F1D7D">
            <w:r>
              <w:t>Bias²</w:t>
            </w:r>
          </w:p>
        </w:tc>
        <w:tc>
          <w:tcPr>
            <w:tcW w:w="4968" w:type="dxa"/>
            <w:vAlign w:val="center"/>
          </w:tcPr>
          <w:p w:rsidR="00006DC2" w:rsidRDefault="005F1D7D">
            <w:r>
              <w:t>Squared difference between mean bootstrap prediction and target in a specified probability/regression formulation.</w:t>
            </w:r>
          </w:p>
        </w:tc>
      </w:tr>
      <w:tr w:rsidR="00006DC2">
        <w:trPr>
          <w:jc w:val="center"/>
        </w:trPr>
        <w:tc>
          <w:tcPr>
            <w:tcW w:w="4968" w:type="dxa"/>
            <w:vAlign w:val="center"/>
          </w:tcPr>
          <w:p w:rsidR="00006DC2" w:rsidRDefault="005F1D7D">
            <w:r>
              <w:t>Varia</w:t>
            </w:r>
            <w:r>
              <w:t>nce</w:t>
            </w:r>
          </w:p>
        </w:tc>
        <w:tc>
          <w:tcPr>
            <w:tcW w:w="4968" w:type="dxa"/>
            <w:vAlign w:val="center"/>
          </w:tcPr>
          <w:p w:rsidR="00006DC2" w:rsidRDefault="005F1D7D">
            <w:r>
              <w:t>Average squared deviation of replica predictions from their bootstrap mean.</w:t>
            </w:r>
          </w:p>
        </w:tc>
      </w:tr>
      <w:tr w:rsidR="00006DC2">
        <w:trPr>
          <w:jc w:val="center"/>
        </w:trPr>
        <w:tc>
          <w:tcPr>
            <w:tcW w:w="4968" w:type="dxa"/>
            <w:vAlign w:val="center"/>
          </w:tcPr>
          <w:p w:rsidR="00006DC2" w:rsidRDefault="005F1D7D">
            <w:r>
              <w:t>Noise / residual gap</w:t>
            </w:r>
          </w:p>
        </w:tc>
        <w:tc>
          <w:tcPr>
            <w:tcW w:w="4968" w:type="dxa"/>
            <w:vAlign w:val="center"/>
          </w:tcPr>
          <w:p w:rsidR="00006DC2" w:rsidRDefault="005F1D7D">
            <w:r>
              <w:t>Discuss label ambiguity, finite samples, model mismatch and the fact that classification loss may not obey a simple squared-error identity.</w:t>
            </w:r>
          </w:p>
        </w:tc>
      </w:tr>
      <w:tr w:rsidR="00006DC2">
        <w:trPr>
          <w:jc w:val="center"/>
        </w:trPr>
        <w:tc>
          <w:tcPr>
            <w:tcW w:w="4968" w:type="dxa"/>
            <w:vAlign w:val="center"/>
          </w:tcPr>
          <w:p w:rsidR="00006DC2" w:rsidRDefault="005F1D7D">
            <w:r>
              <w:t>Replicas</w:t>
            </w:r>
          </w:p>
        </w:tc>
        <w:tc>
          <w:tcPr>
            <w:tcW w:w="4968" w:type="dxa"/>
            <w:vAlign w:val="center"/>
          </w:tcPr>
          <w:p w:rsidR="00006DC2" w:rsidRDefault="005F1D7D">
            <w:r>
              <w:t xml:space="preserve">Use </w:t>
            </w:r>
            <w:r>
              <w:t>at least 10; 30–100 is preferable if computationally practical.</w:t>
            </w:r>
          </w:p>
        </w:tc>
      </w:tr>
    </w:tbl>
    <w:p w:rsidR="00006DC2" w:rsidRDefault="00006DC2"/>
    <w:p w:rsidR="00006DC2" w:rsidRDefault="005F1D7D">
      <w:pPr>
        <w:pStyle w:val="Heading2"/>
      </w:pPr>
      <w:r>
        <w:t>8.2 MLE and MAP with a Beta prior</w:t>
      </w:r>
    </w:p>
    <w:p w:rsidR="00006DC2" w:rsidRDefault="005F1D7D">
      <w:pPr>
        <w:spacing w:after="100"/>
      </w:pPr>
      <w:r>
        <w:t>For a binary event with s successes in n observations, the maximum-likelihood estimate is p_MLE=s/n. With a Beta(α,β) prior, the posterior is Beta(α+s, β+n−</w:t>
      </w:r>
      <w:r>
        <w:t>s). The posterior mean MAP-style Bayesian estimate often reported for smoothing is (s+α)/(n+α+β); strictly, the posterior mode (MAP) is (s+α−1)/(n+α+β−2) when α+s&gt;1 and β+n−s&gt;1.</w:t>
      </w:r>
    </w:p>
    <w:p w:rsidR="00006DC2" w:rsidRDefault="005F1D7D">
      <w:pPr>
        <w:spacing w:after="100"/>
      </w:pPr>
      <w:r>
        <w:t>Example: choose a uniform Beta(1,1) prior and observe s=8 successes in n=10. M</w:t>
      </w:r>
      <w:r>
        <w:t xml:space="preserve">LE=0.8. The posterior mean is 9/12=0.75, while the posterior mode is also 8/10=0.8 for this uniform prior. With a Beta(2,2) prior, posterior mean is 10/14≈0.714 and posterior mode is 9/14≈0.643. This demonstrates that the prior can pull estimates </w:t>
      </w:r>
      <w:r>
        <w:lastRenderedPageBreak/>
        <w:t>toward it</w:t>
      </w:r>
      <w:r>
        <w:t>s preferred range. As n grows, the data likelihood dominates a fixed prior and the difference between MLE and Bayesian estimates generally shrinks.</w:t>
      </w:r>
    </w:p>
    <w:p w:rsidR="00006DC2" w:rsidRDefault="005F1D7D">
      <w:pPr>
        <w:pStyle w:val="Heading1"/>
      </w:pPr>
      <w:r>
        <w:t>9. Task 8 – Gradient-Based Optimization</w:t>
      </w:r>
    </w:p>
    <w:p w:rsidR="00006DC2" w:rsidRDefault="005F1D7D">
      <w:pPr>
        <w:pStyle w:val="Heading2"/>
      </w:pPr>
      <w:r>
        <w:t>9.1 Softmax regression and gradient derivation</w:t>
      </w:r>
    </w:p>
    <w:p w:rsidR="00006DC2" w:rsidRDefault="005F1D7D">
      <w:pPr>
        <w:spacing w:after="100"/>
      </w:pPr>
      <w:r>
        <w:t>Let X ∈ R^(N×d) be th</w:t>
      </w:r>
      <w:r>
        <w:t>e design matrix, W ∈ R^(d×C) the weights and b ∈ R^C the bias. Logits are Z=XW+b and probabilities are P=softmax(Z) row by row. With one-hot target matrix Y, mean cross-entropy is L=−(1/N)ΣᵢΣc Yᵢc log Pᵢc. For one example, the derivative of cross-entropy w</w:t>
      </w:r>
      <w:r>
        <w:t>ith respect to logit z_c is p_c−y_c. Applying the chain rule gives ∇W L = Xᵀ(P−Y)/N and ∇b L = Σᵢ(Pᵢ−Yᵢ)/N. With L2 regularization λ||W||²/2, add λW to ∇W L.</w:t>
      </w:r>
    </w:p>
    <w:p w:rsidR="00006DC2" w:rsidRDefault="005F1D7D">
      <w:pPr>
        <w:spacing w:after="100"/>
      </w:pPr>
      <w:r>
        <w:t>A gradient update is W ← W−η∇W L and b ← b−η∇b L, where η is the learning rate.</w:t>
      </w:r>
    </w:p>
    <w:p w:rsidR="00006DC2" w:rsidRDefault="005F1D7D">
      <w:pPr>
        <w:pStyle w:val="Heading2"/>
      </w:pPr>
      <w:r>
        <w:t>9.2 Batch, stochas</w:t>
      </w:r>
      <w:r>
        <w:t>tic and mini-batch updates</w:t>
      </w:r>
    </w:p>
    <w:tbl>
      <w:tblPr>
        <w:tblStyle w:val="TableGrid"/>
        <w:tblW w:w="0" w:type="auto"/>
        <w:jc w:val="center"/>
        <w:tblLook w:val="04A0" w:firstRow="1" w:lastRow="0" w:firstColumn="1" w:lastColumn="0" w:noHBand="0" w:noVBand="1"/>
      </w:tblPr>
      <w:tblGrid>
        <w:gridCol w:w="3308"/>
        <w:gridCol w:w="3309"/>
        <w:gridCol w:w="3309"/>
      </w:tblGrid>
      <w:tr w:rsidR="00006DC2">
        <w:trPr>
          <w:jc w:val="center"/>
        </w:trPr>
        <w:tc>
          <w:tcPr>
            <w:tcW w:w="3312" w:type="dxa"/>
            <w:shd w:val="clear" w:color="auto" w:fill="CFE2F3"/>
          </w:tcPr>
          <w:p w:rsidR="00006DC2" w:rsidRDefault="005F1D7D">
            <w:r>
              <w:rPr>
                <w:b/>
              </w:rPr>
              <w:t>Strategy</w:t>
            </w:r>
          </w:p>
        </w:tc>
        <w:tc>
          <w:tcPr>
            <w:tcW w:w="3312" w:type="dxa"/>
            <w:shd w:val="clear" w:color="auto" w:fill="CFE2F3"/>
          </w:tcPr>
          <w:p w:rsidR="00006DC2" w:rsidRDefault="005F1D7D">
            <w:r>
              <w:rPr>
                <w:b/>
              </w:rPr>
              <w:t>Update frequency</w:t>
            </w:r>
          </w:p>
        </w:tc>
        <w:tc>
          <w:tcPr>
            <w:tcW w:w="3312" w:type="dxa"/>
            <w:shd w:val="clear" w:color="auto" w:fill="CFE2F3"/>
          </w:tcPr>
          <w:p w:rsidR="00006DC2" w:rsidRDefault="005F1D7D">
            <w:r>
              <w:rPr>
                <w:b/>
              </w:rPr>
              <w:t>Expected behaviour</w:t>
            </w:r>
          </w:p>
        </w:tc>
      </w:tr>
      <w:tr w:rsidR="00006DC2">
        <w:trPr>
          <w:jc w:val="center"/>
        </w:trPr>
        <w:tc>
          <w:tcPr>
            <w:tcW w:w="3312" w:type="dxa"/>
            <w:vAlign w:val="center"/>
          </w:tcPr>
          <w:p w:rsidR="00006DC2" w:rsidRDefault="005F1D7D">
            <w:r>
              <w:t>Batch gradient descent</w:t>
            </w:r>
          </w:p>
        </w:tc>
        <w:tc>
          <w:tcPr>
            <w:tcW w:w="3312" w:type="dxa"/>
            <w:vAlign w:val="center"/>
          </w:tcPr>
          <w:p w:rsidR="00006DC2" w:rsidRDefault="005F1D7D">
            <w:r>
              <w:t>One update using all training examples</w:t>
            </w:r>
          </w:p>
        </w:tc>
        <w:tc>
          <w:tcPr>
            <w:tcW w:w="3312" w:type="dxa"/>
            <w:vAlign w:val="center"/>
          </w:tcPr>
          <w:p w:rsidR="00006DC2" w:rsidRDefault="005F1D7D">
            <w:r>
              <w:t>Smooth gradient, but each update is expensive and memory intensive.</w:t>
            </w:r>
          </w:p>
        </w:tc>
      </w:tr>
      <w:tr w:rsidR="00006DC2">
        <w:trPr>
          <w:jc w:val="center"/>
        </w:trPr>
        <w:tc>
          <w:tcPr>
            <w:tcW w:w="3312" w:type="dxa"/>
            <w:vAlign w:val="center"/>
          </w:tcPr>
          <w:p w:rsidR="00006DC2" w:rsidRDefault="005F1D7D">
            <w:r>
              <w:t>Stochastic gradient descent</w:t>
            </w:r>
          </w:p>
        </w:tc>
        <w:tc>
          <w:tcPr>
            <w:tcW w:w="3312" w:type="dxa"/>
            <w:vAlign w:val="center"/>
          </w:tcPr>
          <w:p w:rsidR="00006DC2" w:rsidRDefault="005F1D7D">
            <w:r>
              <w:t>One update per example</w:t>
            </w:r>
          </w:p>
        </w:tc>
        <w:tc>
          <w:tcPr>
            <w:tcW w:w="3312" w:type="dxa"/>
            <w:vAlign w:val="center"/>
          </w:tcPr>
          <w:p w:rsidR="00006DC2" w:rsidRDefault="005F1D7D">
            <w:r>
              <w:t>Low cost per update but noisy path; can move quickly initially and fluctuate near a minimum.</w:t>
            </w:r>
          </w:p>
        </w:tc>
      </w:tr>
      <w:tr w:rsidR="00006DC2">
        <w:trPr>
          <w:jc w:val="center"/>
        </w:trPr>
        <w:tc>
          <w:tcPr>
            <w:tcW w:w="3312" w:type="dxa"/>
            <w:vAlign w:val="center"/>
          </w:tcPr>
          <w:p w:rsidR="00006DC2" w:rsidRDefault="005F1D7D">
            <w:r>
              <w:t>Mini-batch SGD</w:t>
            </w:r>
          </w:p>
        </w:tc>
        <w:tc>
          <w:tcPr>
            <w:tcW w:w="3312" w:type="dxa"/>
            <w:vAlign w:val="center"/>
          </w:tcPr>
          <w:p w:rsidR="00006DC2" w:rsidRDefault="005F1D7D">
            <w:r>
              <w:t>One update per small batch, e.g. 32</w:t>
            </w:r>
          </w:p>
        </w:tc>
        <w:tc>
          <w:tcPr>
            <w:tcW w:w="3312" w:type="dxa"/>
            <w:vAlign w:val="center"/>
          </w:tcPr>
          <w:p w:rsidR="00006DC2" w:rsidRDefault="005F1D7D">
            <w:r>
              <w:t>Balances vectorization and gradient noise; commonly practical for image data.</w:t>
            </w:r>
          </w:p>
        </w:tc>
      </w:tr>
    </w:tbl>
    <w:p w:rsidR="00006DC2" w:rsidRDefault="00006DC2"/>
    <w:p w:rsidR="00006DC2" w:rsidRDefault="005F1D7D">
      <w:pPr>
        <w:spacing w:after="100"/>
      </w:pPr>
      <w:r>
        <w:t>Compare at least three learning</w:t>
      </w:r>
      <w:r>
        <w:t xml:space="preserve"> rates such as 0.001, 0.01 and 0.1. A very small rate may converge slowly; a suitable rate decreases loss efficiently; a rate that is too large can oscillate or diverge. These outcomes depend on feature scaling and conditioning, so the rates should be test</w:t>
      </w:r>
      <w:r>
        <w:t>ed rather than assumed. Plot training and validation loss by epoch, record elapsed time per epoch, and use stable softmax/log-softmax.</w:t>
      </w:r>
    </w:p>
    <w:p w:rsidR="00006DC2" w:rsidRDefault="005F1D7D">
      <w:pPr>
        <w:spacing w:after="100"/>
      </w:pPr>
      <w:r>
        <w:t>A reproducible implementation should use a fixed random seed, identical data splits and the same stopping rule. If the lo</w:t>
      </w:r>
      <w:r>
        <w:t>ss becomes NaN or infinite, inspect learning rate, input scale, logits and numerical stability.</w:t>
      </w:r>
    </w:p>
    <w:p w:rsidR="00006DC2" w:rsidRDefault="005F1D7D">
      <w:pPr>
        <w:pStyle w:val="Heading1"/>
      </w:pPr>
      <w:r>
        <w:t>10. Task 9 – Experimental Performance Organization</w:t>
      </w:r>
    </w:p>
    <w:p w:rsidR="00006DC2" w:rsidRDefault="005F1D7D">
      <w:pPr>
        <w:spacing w:after="100"/>
      </w:pPr>
      <w:r>
        <w:t>Evaluate every model on consistent stratified subsets of 1,000, 5,000, 10,000 and the full available dataset.</w:t>
      </w:r>
      <w:r>
        <w:t xml:space="preserve"> Keep the validation and test sets separate from training subsets. Report accuracy, macro-precision, macro-recall, macro-F1, confusion matrix, training time, single-image inference latency, parameter count and peak model memory.</w:t>
      </w:r>
    </w:p>
    <w:tbl>
      <w:tblPr>
        <w:tblStyle w:val="TableGrid"/>
        <w:tblW w:w="0" w:type="auto"/>
        <w:jc w:val="center"/>
        <w:tblLook w:val="04A0" w:firstRow="1" w:lastRow="0" w:firstColumn="1" w:lastColumn="0" w:noHBand="0" w:noVBand="1"/>
      </w:tblPr>
      <w:tblGrid>
        <w:gridCol w:w="1406"/>
        <w:gridCol w:w="1487"/>
        <w:gridCol w:w="1411"/>
        <w:gridCol w:w="1406"/>
        <w:gridCol w:w="1402"/>
        <w:gridCol w:w="1411"/>
        <w:gridCol w:w="1403"/>
      </w:tblGrid>
      <w:tr w:rsidR="00006DC2">
        <w:trPr>
          <w:jc w:val="center"/>
        </w:trPr>
        <w:tc>
          <w:tcPr>
            <w:tcW w:w="1419" w:type="dxa"/>
            <w:shd w:val="clear" w:color="auto" w:fill="CFE2F3"/>
          </w:tcPr>
          <w:p w:rsidR="00006DC2" w:rsidRDefault="005F1D7D">
            <w:r>
              <w:rPr>
                <w:b/>
              </w:rPr>
              <w:t>Dataset scale</w:t>
            </w:r>
          </w:p>
        </w:tc>
        <w:tc>
          <w:tcPr>
            <w:tcW w:w="1419" w:type="dxa"/>
            <w:shd w:val="clear" w:color="auto" w:fill="CFE2F3"/>
          </w:tcPr>
          <w:p w:rsidR="00006DC2" w:rsidRDefault="005F1D7D">
            <w:r>
              <w:rPr>
                <w:b/>
              </w:rPr>
              <w:t>Model / featu</w:t>
            </w:r>
            <w:r>
              <w:rPr>
                <w:b/>
              </w:rPr>
              <w:t>res</w:t>
            </w:r>
          </w:p>
        </w:tc>
        <w:tc>
          <w:tcPr>
            <w:tcW w:w="1419" w:type="dxa"/>
            <w:shd w:val="clear" w:color="auto" w:fill="CFE2F3"/>
          </w:tcPr>
          <w:p w:rsidR="00006DC2" w:rsidRDefault="005F1D7D">
            <w:r>
              <w:rPr>
                <w:b/>
              </w:rPr>
              <w:t>Accuracy</w:t>
            </w:r>
          </w:p>
        </w:tc>
        <w:tc>
          <w:tcPr>
            <w:tcW w:w="1419" w:type="dxa"/>
            <w:shd w:val="clear" w:color="auto" w:fill="CFE2F3"/>
          </w:tcPr>
          <w:p w:rsidR="00006DC2" w:rsidRDefault="005F1D7D">
            <w:r>
              <w:rPr>
                <w:b/>
              </w:rPr>
              <w:t>Macro-F1</w:t>
            </w:r>
          </w:p>
        </w:tc>
        <w:tc>
          <w:tcPr>
            <w:tcW w:w="1419" w:type="dxa"/>
            <w:shd w:val="clear" w:color="auto" w:fill="CFE2F3"/>
          </w:tcPr>
          <w:p w:rsidR="00006DC2" w:rsidRDefault="005F1D7D">
            <w:r>
              <w:rPr>
                <w:b/>
              </w:rPr>
              <w:t>Train time</w:t>
            </w:r>
          </w:p>
        </w:tc>
        <w:tc>
          <w:tcPr>
            <w:tcW w:w="1419" w:type="dxa"/>
            <w:shd w:val="clear" w:color="auto" w:fill="CFE2F3"/>
          </w:tcPr>
          <w:p w:rsidR="00006DC2" w:rsidRDefault="005F1D7D">
            <w:r>
              <w:rPr>
                <w:b/>
              </w:rPr>
              <w:t>Inference ms/image</w:t>
            </w:r>
          </w:p>
        </w:tc>
        <w:tc>
          <w:tcPr>
            <w:tcW w:w="1419" w:type="dxa"/>
            <w:shd w:val="clear" w:color="auto" w:fill="CFE2F3"/>
          </w:tcPr>
          <w:p w:rsidR="00006DC2" w:rsidRDefault="005F1D7D">
            <w:r>
              <w:rPr>
                <w:b/>
              </w:rPr>
              <w:t>Model size MB</w:t>
            </w:r>
          </w:p>
        </w:tc>
      </w:tr>
      <w:tr w:rsidR="00006DC2">
        <w:trPr>
          <w:jc w:val="center"/>
        </w:trPr>
        <w:tc>
          <w:tcPr>
            <w:tcW w:w="1419" w:type="dxa"/>
            <w:vAlign w:val="center"/>
          </w:tcPr>
          <w:p w:rsidR="00006DC2" w:rsidRDefault="005F1D7D">
            <w:r>
              <w:t>1,000</w:t>
            </w:r>
          </w:p>
        </w:tc>
        <w:tc>
          <w:tcPr>
            <w:tcW w:w="1419" w:type="dxa"/>
            <w:vAlign w:val="center"/>
          </w:tcPr>
          <w:p w:rsidR="00006DC2" w:rsidRDefault="005F1D7D">
            <w:r>
              <w:t>Logistic regression / raw</w:t>
            </w:r>
          </w:p>
        </w:tc>
        <w:tc>
          <w:tcPr>
            <w:tcW w:w="1419" w:type="dxa"/>
            <w:vAlign w:val="center"/>
          </w:tcPr>
          <w:p w:rsidR="00006DC2" w:rsidRDefault="005F1D7D">
            <w:r>
              <w:t>Fill after run</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r>
      <w:tr w:rsidR="00006DC2">
        <w:trPr>
          <w:jc w:val="center"/>
        </w:trPr>
        <w:tc>
          <w:tcPr>
            <w:tcW w:w="1419" w:type="dxa"/>
            <w:vAlign w:val="center"/>
          </w:tcPr>
          <w:p w:rsidR="00006DC2" w:rsidRDefault="005F1D7D">
            <w:r>
              <w:t>1,000</w:t>
            </w:r>
          </w:p>
        </w:tc>
        <w:tc>
          <w:tcPr>
            <w:tcW w:w="1419" w:type="dxa"/>
            <w:vAlign w:val="center"/>
          </w:tcPr>
          <w:p w:rsidR="00006DC2" w:rsidRDefault="005F1D7D">
            <w:r>
              <w:t>k-NN / PCA</w:t>
            </w:r>
          </w:p>
        </w:tc>
        <w:tc>
          <w:tcPr>
            <w:tcW w:w="1419" w:type="dxa"/>
            <w:vAlign w:val="center"/>
          </w:tcPr>
          <w:p w:rsidR="00006DC2" w:rsidRDefault="005F1D7D">
            <w:r>
              <w:t>Fill after run</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r>
      <w:tr w:rsidR="00006DC2">
        <w:trPr>
          <w:jc w:val="center"/>
        </w:trPr>
        <w:tc>
          <w:tcPr>
            <w:tcW w:w="1419" w:type="dxa"/>
            <w:vAlign w:val="center"/>
          </w:tcPr>
          <w:p w:rsidR="00006DC2" w:rsidRDefault="005F1D7D">
            <w:r>
              <w:t>1,000</w:t>
            </w:r>
          </w:p>
        </w:tc>
        <w:tc>
          <w:tcPr>
            <w:tcW w:w="1419" w:type="dxa"/>
            <w:vAlign w:val="center"/>
          </w:tcPr>
          <w:p w:rsidR="00006DC2" w:rsidRDefault="005F1D7D">
            <w:r>
              <w:t>Random forest / raw</w:t>
            </w:r>
          </w:p>
        </w:tc>
        <w:tc>
          <w:tcPr>
            <w:tcW w:w="1419" w:type="dxa"/>
            <w:vAlign w:val="center"/>
          </w:tcPr>
          <w:p w:rsidR="00006DC2" w:rsidRDefault="005F1D7D">
            <w:r>
              <w:t>Fill after run</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r>
      <w:tr w:rsidR="00006DC2">
        <w:trPr>
          <w:jc w:val="center"/>
        </w:trPr>
        <w:tc>
          <w:tcPr>
            <w:tcW w:w="1419" w:type="dxa"/>
            <w:vAlign w:val="center"/>
          </w:tcPr>
          <w:p w:rsidR="00006DC2" w:rsidRDefault="005F1D7D">
            <w:r>
              <w:lastRenderedPageBreak/>
              <w:t>5,000</w:t>
            </w:r>
          </w:p>
        </w:tc>
        <w:tc>
          <w:tcPr>
            <w:tcW w:w="1419" w:type="dxa"/>
            <w:vAlign w:val="center"/>
          </w:tcPr>
          <w:p w:rsidR="00006DC2" w:rsidRDefault="005F1D7D">
            <w:r>
              <w:t>Repeat all configurations</w:t>
            </w:r>
          </w:p>
        </w:tc>
        <w:tc>
          <w:tcPr>
            <w:tcW w:w="1419" w:type="dxa"/>
            <w:vAlign w:val="center"/>
          </w:tcPr>
          <w:p w:rsidR="00006DC2" w:rsidRDefault="005F1D7D">
            <w:r>
              <w:t>Fill after run</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r>
      <w:tr w:rsidR="00006DC2">
        <w:trPr>
          <w:jc w:val="center"/>
        </w:trPr>
        <w:tc>
          <w:tcPr>
            <w:tcW w:w="1419" w:type="dxa"/>
            <w:vAlign w:val="center"/>
          </w:tcPr>
          <w:p w:rsidR="00006DC2" w:rsidRDefault="005F1D7D">
            <w:r>
              <w:t>10,000</w:t>
            </w:r>
          </w:p>
        </w:tc>
        <w:tc>
          <w:tcPr>
            <w:tcW w:w="1419" w:type="dxa"/>
            <w:vAlign w:val="center"/>
          </w:tcPr>
          <w:p w:rsidR="00006DC2" w:rsidRDefault="005F1D7D">
            <w:r>
              <w:t>Repeat all configurations</w:t>
            </w:r>
          </w:p>
        </w:tc>
        <w:tc>
          <w:tcPr>
            <w:tcW w:w="1419" w:type="dxa"/>
            <w:vAlign w:val="center"/>
          </w:tcPr>
          <w:p w:rsidR="00006DC2" w:rsidRDefault="005F1D7D">
            <w:r>
              <w:t>Fill after run</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r>
      <w:tr w:rsidR="00006DC2">
        <w:trPr>
          <w:jc w:val="center"/>
        </w:trPr>
        <w:tc>
          <w:tcPr>
            <w:tcW w:w="1419" w:type="dxa"/>
            <w:vAlign w:val="center"/>
          </w:tcPr>
          <w:p w:rsidR="00006DC2" w:rsidRDefault="005F1D7D">
            <w:r>
              <w:t>Full dataset</w:t>
            </w:r>
          </w:p>
        </w:tc>
        <w:tc>
          <w:tcPr>
            <w:tcW w:w="1419" w:type="dxa"/>
            <w:vAlign w:val="center"/>
          </w:tcPr>
          <w:p w:rsidR="00006DC2" w:rsidRDefault="005F1D7D">
            <w:r>
              <w:t>Repeat all configurations</w:t>
            </w:r>
          </w:p>
        </w:tc>
        <w:tc>
          <w:tcPr>
            <w:tcW w:w="1419" w:type="dxa"/>
            <w:vAlign w:val="center"/>
          </w:tcPr>
          <w:p w:rsidR="00006DC2" w:rsidRDefault="005F1D7D">
            <w:r>
              <w:t>Fill after run</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c>
          <w:tcPr>
            <w:tcW w:w="1419" w:type="dxa"/>
            <w:vAlign w:val="center"/>
          </w:tcPr>
          <w:p w:rsidR="00006DC2" w:rsidRDefault="005F1D7D">
            <w:r>
              <w:t>Fill</w:t>
            </w:r>
          </w:p>
        </w:tc>
      </w:tr>
    </w:tbl>
    <w:p w:rsidR="00006DC2" w:rsidRDefault="00006DC2"/>
    <w:p w:rsidR="00006DC2" w:rsidRDefault="005F1D7D">
      <w:pPr>
        <w:spacing w:after="100"/>
      </w:pPr>
      <w:r>
        <w:t xml:space="preserve">As training data increases, generalization may </w:t>
      </w:r>
      <w:r>
        <w:t>improve and estimates become more stable, but training time and storage can increase. k-NN is particularly sensitive at inference because it compares a query with stored examples. A confusion matrix should be inspected for disease pairs with similar visual</w:t>
      </w:r>
      <w:r>
        <w:t xml:space="preserve"> symptoms. Macro-F1 gives each class equal weight and is useful when classes are imbalanced.</w:t>
      </w:r>
    </w:p>
    <w:p w:rsidR="00006DC2" w:rsidRDefault="005F1D7D">
      <w:pPr>
        <w:spacing w:after="100"/>
      </w:pPr>
      <w:r>
        <w:t>Do not enter invented metrics. Replace each 'Fill after run' cell with the actual value and include the environment used: CPU/GPU, RAM, Python and library versions</w:t>
      </w:r>
      <w:r>
        <w:t>, dataset version, random seed and image preprocessing.</w:t>
      </w:r>
    </w:p>
    <w:p w:rsidR="00006DC2" w:rsidRDefault="005F1D7D">
      <w:pPr>
        <w:pStyle w:val="Heading1"/>
      </w:pPr>
      <w:r>
        <w:t>11. Task 10 – Theory Compared with Experimental Behaviour</w:t>
      </w:r>
    </w:p>
    <w:p w:rsidR="00006DC2" w:rsidRDefault="005F1D7D">
      <w:pPr>
        <w:spacing w:after="100"/>
      </w:pPr>
      <w:r>
        <w:t>The theory and measured results should be compared using the following checks:</w:t>
      </w:r>
    </w:p>
    <w:p w:rsidR="00006DC2" w:rsidRDefault="005F1D7D">
      <w:pPr>
        <w:pStyle w:val="ListBullet"/>
        <w:spacing w:after="40"/>
      </w:pPr>
      <w:r>
        <w:t>PCA: compare cumulative explained variance with the accuracy an</w:t>
      </w:r>
      <w:r>
        <w:t>d macro-F1 retained at each k. A mismatch can occur because discriminative information is not necessarily the highest-variance information.</w:t>
      </w:r>
    </w:p>
    <w:p w:rsidR="00006DC2" w:rsidRDefault="005F1D7D">
      <w:pPr>
        <w:pStyle w:val="ListBullet"/>
        <w:spacing w:after="40"/>
      </w:pPr>
      <w:r>
        <w:t xml:space="preserve">Optimization: compare loss-curve speed and stability with the covariance condition number. A large condition number </w:t>
      </w:r>
      <w:r>
        <w:t>may explain slow convergence, although regularization, initialization and learning rate also matter.</w:t>
      </w:r>
    </w:p>
    <w:p w:rsidR="00006DC2" w:rsidRDefault="005F1D7D">
      <w:pPr>
        <w:pStyle w:val="ListBullet"/>
        <w:spacing w:after="40"/>
      </w:pPr>
      <w:r>
        <w:t>Bias–variance: compare bootstrap prediction variability with the capacity curves. A larger train–validation gap for a high-capacity model is consistent wit</w:t>
      </w:r>
      <w:r>
        <w:t>h increased variance.</w:t>
      </w:r>
    </w:p>
    <w:p w:rsidR="00006DC2" w:rsidRDefault="005F1D7D">
      <w:pPr>
        <w:pStyle w:val="ListBullet"/>
        <w:spacing w:after="40"/>
      </w:pPr>
      <w:r>
        <w:t>Runtime: compare parameter count and feature dimension with measured latency and memory. Actual deployment performance can differ from desktop measurements because of device hardware and software.</w:t>
      </w:r>
    </w:p>
    <w:p w:rsidR="00006DC2" w:rsidRDefault="005F1D7D">
      <w:pPr>
        <w:spacing w:after="100"/>
      </w:pPr>
      <w:r>
        <w:t>Any disagreement should be discussed,</w:t>
      </w:r>
      <w:r>
        <w:t xml:space="preserve"> not hidden. Possible causes include data leakage, class imbalance, noisy labels, random variation, an insufficient number of bootstrap replicas, PCA removing useful disease cues, or differences between desktop and smartphone execution.</w:t>
      </w:r>
    </w:p>
    <w:p w:rsidR="00006DC2" w:rsidRDefault="005F1D7D">
      <w:pPr>
        <w:pStyle w:val="Heading1"/>
      </w:pPr>
      <w:r>
        <w:t>12. Task 11 – Is De</w:t>
      </w:r>
      <w:r>
        <w:t>ep Learning Justified?</w:t>
      </w:r>
    </w:p>
    <w:p w:rsidR="00006DC2" w:rsidRDefault="005F1D7D">
      <w:pPr>
        <w:spacing w:after="100"/>
      </w:pPr>
      <w:r>
        <w:t>Classical baselines are essential because they provide transparent, relatively inexpensive reference points. Logistic regression may be too simple to model irregular lesions and texture; k-NN may be slow at inference and sensitive to</w:t>
      </w:r>
      <w:r>
        <w:t xml:space="preserve"> distance concentration in high-dimensional spaces; random forests may need many trees and can be large. If the best tuned baseline still has unacceptable per-class recall, confuses visually similar diseases, or fails across lighting and background variati</w:t>
      </w:r>
      <w:r>
        <w:t>on, a learned image representation becomes more compelling.</w:t>
      </w:r>
    </w:p>
    <w:p w:rsidR="00006DC2" w:rsidRDefault="005F1D7D">
      <w:pPr>
        <w:spacing w:after="100"/>
      </w:pPr>
      <w:r>
        <w:t>The curse of dimensionality means that data requirements and distance-based estimation become difficult as dimension grows. Local constancy is the assumption that nearby examples tend to share lab</w:t>
      </w:r>
      <w:r>
        <w:t>els, while smoothness assumes small input changes should not cause arbitrary prediction changes. Leaf images also lie on a structured, lower-dimensional manifold shaped by leaf geometry, lighting, camera angle, disease patterns and backgrounds. A convoluti</w:t>
      </w:r>
      <w:r>
        <w:t>onal neural network can exploit local spatial patterns and learn hierarchical features, from edges and textures to larger lesion structures.</w:t>
      </w:r>
    </w:p>
    <w:p w:rsidR="00006DC2" w:rsidRDefault="005F1D7D">
      <w:pPr>
        <w:spacing w:after="100"/>
      </w:pPr>
      <w:r>
        <w:lastRenderedPageBreak/>
        <w:t>Deep learning has trade-offs: it typically requires more labelled data, compute and careful tuning, and can be less</w:t>
      </w:r>
      <w:r>
        <w:t xml:space="preserve"> interpretable than simple baselines. Transfer learning from a pretrained compact image model may reduce data needs. The justified decision must depend on actual held-out results, per-class errors, calibration, latency and memory—not on a general statement</w:t>
      </w:r>
      <w:r>
        <w:t xml:space="preserve"> that deep learning is always more accurate.</w:t>
      </w:r>
    </w:p>
    <w:p w:rsidR="00006DC2" w:rsidRDefault="005F1D7D">
      <w:pPr>
        <w:spacing w:after="100"/>
      </w:pPr>
      <w:r>
        <w:t>Provisional decision: test a compact CNN or mobile-oriented pretrained model only if the tuned classical baselines do not meet the required performance and deployment constraints. This is a conditional recommend</w:t>
      </w:r>
      <w:r>
        <w:t>ation; the final decision must be updated after the experiments in Tasks 5–10.</w:t>
      </w:r>
    </w:p>
    <w:p w:rsidR="00006DC2" w:rsidRDefault="005F1D7D">
      <w:pPr>
        <w:pStyle w:val="Heading1"/>
      </w:pPr>
      <w:r>
        <w:t>13. Task 12 – Design Challenge: 38 Classes, 20% Noisy Labels, 50 ms and 5 MB</w:t>
      </w:r>
    </w:p>
    <w:p w:rsidR="00006DC2" w:rsidRDefault="005F1D7D">
      <w:pPr>
        <w:pStyle w:val="Heading2"/>
      </w:pPr>
      <w:r>
        <w:t>13.1 A. Impact analysis</w:t>
      </w:r>
    </w:p>
    <w:p w:rsidR="00006DC2" w:rsidRDefault="005F1D7D">
      <w:pPr>
        <w:spacing w:after="100"/>
      </w:pPr>
      <w:r>
        <w:t>The output space grows from three classes to 38 crop–disease classes. The ou</w:t>
      </w:r>
      <w:r>
        <w:t>tput layer must produce 38 logits, and the data must cover all classes sufficiently. For balanced classes, maximum class entropy grows from log₂3≈1.585 bits to log₂38≈5.248 bits. With 38 classes, a uniform random guess has accuracy 1/38≈2.63%, compared wit</w:t>
      </w:r>
      <w:r>
        <w:t>h 1/3≈33.3% for three classes. Actual chance performance depends on class frequencies.</w:t>
      </w:r>
    </w:p>
    <w:p w:rsidR="00006DC2" w:rsidRDefault="005F1D7D">
      <w:pPr>
        <w:spacing w:after="100"/>
      </w:pPr>
      <w:r>
        <w:t>Approximately 20% noisy labels mean some training targets may be wrong. This can raise apparent training loss, bias the learned boundary, increase variance and cause hig</w:t>
      </w:r>
      <w:r>
        <w:t>h-capacity models to memorize mistakes. Test labels must be as reliable as possible; otherwise, measured error mixes model error with annotation error. The original assumptions of a small label space and unconstrained desktop computation no longer apply.</w:t>
      </w:r>
    </w:p>
    <w:p w:rsidR="00006DC2" w:rsidRDefault="005F1D7D">
      <w:pPr>
        <w:pStyle w:val="Heading2"/>
      </w:pPr>
      <w:r>
        <w:t>1</w:t>
      </w:r>
      <w:r>
        <w:t>3.2 B. Examine the original conclusion</w:t>
      </w:r>
    </w:p>
    <w:p w:rsidR="00006DC2" w:rsidRDefault="005F1D7D">
      <w:pPr>
        <w:spacing w:after="100"/>
      </w:pPr>
      <w:r>
        <w:t>The best original baseline cannot be declared compliant until latency and memory are measured on the target phone or a representative device. A 5 MB model limit is a strict storage/runtime constraint whose exact inter</w:t>
      </w:r>
      <w:r>
        <w:t>pretation (weights only or full runtime memory) should be confirmed with the project specification. k-NN may be problematic because stored examples can exceed the memory budget and inference cost grows with training-set size. A linear classifier can be com</w:t>
      </w:r>
      <w:r>
        <w:t>pact, but its accuracy may be limited by linear decision boundaries. A small, quantized model or compact regularized classifier may be more feasible, subject to measured accuracy.</w:t>
      </w:r>
    </w:p>
    <w:tbl>
      <w:tblPr>
        <w:tblStyle w:val="TableGrid"/>
        <w:tblW w:w="0" w:type="auto"/>
        <w:jc w:val="center"/>
        <w:tblLook w:val="04A0" w:firstRow="1" w:lastRow="0" w:firstColumn="1" w:lastColumn="0" w:noHBand="0" w:noVBand="1"/>
      </w:tblPr>
      <w:tblGrid>
        <w:gridCol w:w="3308"/>
        <w:gridCol w:w="3309"/>
        <w:gridCol w:w="3309"/>
      </w:tblGrid>
      <w:tr w:rsidR="00006DC2">
        <w:trPr>
          <w:jc w:val="center"/>
        </w:trPr>
        <w:tc>
          <w:tcPr>
            <w:tcW w:w="3312" w:type="dxa"/>
            <w:shd w:val="clear" w:color="auto" w:fill="CFE2F3"/>
          </w:tcPr>
          <w:p w:rsidR="00006DC2" w:rsidRDefault="005F1D7D">
            <w:r>
              <w:rPr>
                <w:b/>
              </w:rPr>
              <w:t>Constraint</w:t>
            </w:r>
          </w:p>
        </w:tc>
        <w:tc>
          <w:tcPr>
            <w:tcW w:w="3312" w:type="dxa"/>
            <w:shd w:val="clear" w:color="auto" w:fill="CFE2F3"/>
          </w:tcPr>
          <w:p w:rsidR="00006DC2" w:rsidRDefault="005F1D7D">
            <w:r>
              <w:rPr>
                <w:b/>
              </w:rPr>
              <w:t>Measurement needed</w:t>
            </w:r>
          </w:p>
        </w:tc>
        <w:tc>
          <w:tcPr>
            <w:tcW w:w="3312" w:type="dxa"/>
            <w:shd w:val="clear" w:color="auto" w:fill="CFE2F3"/>
          </w:tcPr>
          <w:p w:rsidR="00006DC2" w:rsidRDefault="005F1D7D">
            <w:r>
              <w:rPr>
                <w:b/>
              </w:rPr>
              <w:t>Pass criterion</w:t>
            </w:r>
          </w:p>
        </w:tc>
      </w:tr>
      <w:tr w:rsidR="00006DC2">
        <w:trPr>
          <w:jc w:val="center"/>
        </w:trPr>
        <w:tc>
          <w:tcPr>
            <w:tcW w:w="3312" w:type="dxa"/>
            <w:vAlign w:val="center"/>
          </w:tcPr>
          <w:p w:rsidR="00006DC2" w:rsidRDefault="005F1D7D">
            <w:r>
              <w:t>Latency</w:t>
            </w:r>
          </w:p>
        </w:tc>
        <w:tc>
          <w:tcPr>
            <w:tcW w:w="3312" w:type="dxa"/>
            <w:vAlign w:val="center"/>
          </w:tcPr>
          <w:p w:rsidR="00006DC2" w:rsidRDefault="005F1D7D">
            <w:r>
              <w:t>Median and 95th-percen</w:t>
            </w:r>
            <w:r>
              <w:t>tile end-to-end inference on target device</w:t>
            </w:r>
          </w:p>
        </w:tc>
        <w:tc>
          <w:tcPr>
            <w:tcW w:w="3312" w:type="dxa"/>
            <w:vAlign w:val="center"/>
          </w:tcPr>
          <w:p w:rsidR="00006DC2" w:rsidRDefault="005F1D7D">
            <w:r>
              <w:t>At or below 50 ms per image</w:t>
            </w:r>
          </w:p>
        </w:tc>
      </w:tr>
      <w:tr w:rsidR="00006DC2">
        <w:trPr>
          <w:jc w:val="center"/>
        </w:trPr>
        <w:tc>
          <w:tcPr>
            <w:tcW w:w="3312" w:type="dxa"/>
            <w:vAlign w:val="center"/>
          </w:tcPr>
          <w:p w:rsidR="00006DC2" w:rsidRDefault="005F1D7D">
            <w:r>
              <w:t>Model size</w:t>
            </w:r>
          </w:p>
        </w:tc>
        <w:tc>
          <w:tcPr>
            <w:tcW w:w="3312" w:type="dxa"/>
            <w:vAlign w:val="center"/>
          </w:tcPr>
          <w:p w:rsidR="00006DC2" w:rsidRDefault="005F1D7D">
            <w:r>
              <w:t>Serialized model size and, if required, peak runtime memory</w:t>
            </w:r>
          </w:p>
        </w:tc>
        <w:tc>
          <w:tcPr>
            <w:tcW w:w="3312" w:type="dxa"/>
            <w:vAlign w:val="center"/>
          </w:tcPr>
          <w:p w:rsidR="00006DC2" w:rsidRDefault="005F1D7D">
            <w:r>
              <w:t>At or below 5 MB under the agreed definition</w:t>
            </w:r>
          </w:p>
        </w:tc>
      </w:tr>
      <w:tr w:rsidR="00006DC2">
        <w:trPr>
          <w:jc w:val="center"/>
        </w:trPr>
        <w:tc>
          <w:tcPr>
            <w:tcW w:w="3312" w:type="dxa"/>
            <w:vAlign w:val="center"/>
          </w:tcPr>
          <w:p w:rsidR="00006DC2" w:rsidRDefault="005F1D7D">
            <w:r>
              <w:t>38-class quality</w:t>
            </w:r>
          </w:p>
        </w:tc>
        <w:tc>
          <w:tcPr>
            <w:tcW w:w="3312" w:type="dxa"/>
            <w:vAlign w:val="center"/>
          </w:tcPr>
          <w:p w:rsidR="00006DC2" w:rsidRDefault="005F1D7D">
            <w:r>
              <w:t>Macro-F1, per-class recall, confusion matrix</w:t>
            </w:r>
          </w:p>
        </w:tc>
        <w:tc>
          <w:tcPr>
            <w:tcW w:w="3312" w:type="dxa"/>
            <w:vAlign w:val="center"/>
          </w:tcPr>
          <w:p w:rsidR="00006DC2" w:rsidRDefault="005F1D7D">
            <w:r>
              <w:t>Thresholds should be defined by the project/faculty; report all metrics</w:t>
            </w:r>
          </w:p>
        </w:tc>
      </w:tr>
      <w:tr w:rsidR="00006DC2">
        <w:trPr>
          <w:jc w:val="center"/>
        </w:trPr>
        <w:tc>
          <w:tcPr>
            <w:tcW w:w="3312" w:type="dxa"/>
            <w:vAlign w:val="center"/>
          </w:tcPr>
          <w:p w:rsidR="00006DC2" w:rsidRDefault="005F1D7D">
            <w:r>
              <w:t>Label noise robustness</w:t>
            </w:r>
          </w:p>
        </w:tc>
        <w:tc>
          <w:tcPr>
            <w:tcW w:w="3312" w:type="dxa"/>
            <w:vAlign w:val="center"/>
          </w:tcPr>
          <w:p w:rsidR="00006DC2" w:rsidRDefault="005F1D7D">
            <w:r>
              <w:t>Performance on a clean, independently labelled test set</w:t>
            </w:r>
          </w:p>
        </w:tc>
        <w:tc>
          <w:tcPr>
            <w:tcW w:w="3312" w:type="dxa"/>
            <w:vAlign w:val="center"/>
          </w:tcPr>
          <w:p w:rsidR="00006DC2" w:rsidRDefault="005F1D7D">
            <w:r>
              <w:t>Compare standard loss with robust alternatives</w:t>
            </w:r>
          </w:p>
        </w:tc>
      </w:tr>
    </w:tbl>
    <w:p w:rsidR="00006DC2" w:rsidRDefault="00006DC2"/>
    <w:p w:rsidR="00006DC2" w:rsidRDefault="005F1D7D">
      <w:pPr>
        <w:pStyle w:val="Heading2"/>
      </w:pPr>
      <w:r>
        <w:t>13.3 C. Adaptation options</w:t>
      </w:r>
    </w:p>
    <w:tbl>
      <w:tblPr>
        <w:tblStyle w:val="TableGrid"/>
        <w:tblW w:w="0" w:type="auto"/>
        <w:jc w:val="center"/>
        <w:tblLook w:val="04A0" w:firstRow="1" w:lastRow="0" w:firstColumn="1" w:lastColumn="0" w:noHBand="0" w:noVBand="1"/>
      </w:tblPr>
      <w:tblGrid>
        <w:gridCol w:w="3308"/>
        <w:gridCol w:w="3309"/>
        <w:gridCol w:w="3309"/>
      </w:tblGrid>
      <w:tr w:rsidR="00006DC2">
        <w:trPr>
          <w:jc w:val="center"/>
        </w:trPr>
        <w:tc>
          <w:tcPr>
            <w:tcW w:w="3312" w:type="dxa"/>
            <w:shd w:val="clear" w:color="auto" w:fill="CFE2F3"/>
          </w:tcPr>
          <w:p w:rsidR="00006DC2" w:rsidRDefault="005F1D7D">
            <w:r>
              <w:rPr>
                <w:b/>
              </w:rPr>
              <w:t>Option</w:t>
            </w:r>
          </w:p>
        </w:tc>
        <w:tc>
          <w:tcPr>
            <w:tcW w:w="3312" w:type="dxa"/>
            <w:shd w:val="clear" w:color="auto" w:fill="CFE2F3"/>
          </w:tcPr>
          <w:p w:rsidR="00006DC2" w:rsidRDefault="005F1D7D">
            <w:r>
              <w:rPr>
                <w:b/>
              </w:rPr>
              <w:t>Expected effect on ca</w:t>
            </w:r>
            <w:r>
              <w:rPr>
                <w:b/>
              </w:rPr>
              <w:t>pacity/error</w:t>
            </w:r>
          </w:p>
        </w:tc>
        <w:tc>
          <w:tcPr>
            <w:tcW w:w="3312" w:type="dxa"/>
            <w:shd w:val="clear" w:color="auto" w:fill="CFE2F3"/>
          </w:tcPr>
          <w:p w:rsidR="00006DC2" w:rsidRDefault="005F1D7D">
            <w:r>
              <w:rPr>
                <w:b/>
              </w:rPr>
              <w:t>Computational effect and limitation</w:t>
            </w:r>
          </w:p>
        </w:tc>
      </w:tr>
      <w:tr w:rsidR="00006DC2">
        <w:trPr>
          <w:jc w:val="center"/>
        </w:trPr>
        <w:tc>
          <w:tcPr>
            <w:tcW w:w="3312" w:type="dxa"/>
            <w:vAlign w:val="center"/>
          </w:tcPr>
          <w:p w:rsidR="00006DC2" w:rsidRDefault="005F1D7D">
            <w:r>
              <w:t>Reduce PCA dimension (e.g. compare 64, 128, 256)</w:t>
            </w:r>
          </w:p>
        </w:tc>
        <w:tc>
          <w:tcPr>
            <w:tcW w:w="3312" w:type="dxa"/>
            <w:vAlign w:val="center"/>
          </w:tcPr>
          <w:p w:rsidR="00006DC2" w:rsidRDefault="005F1D7D">
            <w:r>
              <w:t>Can reduce variance and remove redundancy; too few components may discard disease cues.</w:t>
            </w:r>
          </w:p>
        </w:tc>
        <w:tc>
          <w:tcPr>
            <w:tcW w:w="3312" w:type="dxa"/>
            <w:vAlign w:val="center"/>
          </w:tcPr>
          <w:p w:rsidR="00006DC2" w:rsidRDefault="005F1D7D">
            <w:r>
              <w:t xml:space="preserve">Smaller feature vectors and faster classical-model operations; PCA </w:t>
            </w:r>
            <w:r>
              <w:t>transform itself also has a cost.</w:t>
            </w:r>
          </w:p>
        </w:tc>
      </w:tr>
      <w:tr w:rsidR="00006DC2">
        <w:trPr>
          <w:jc w:val="center"/>
        </w:trPr>
        <w:tc>
          <w:tcPr>
            <w:tcW w:w="3312" w:type="dxa"/>
            <w:vAlign w:val="center"/>
          </w:tcPr>
          <w:p w:rsidR="00006DC2" w:rsidRDefault="005F1D7D">
            <w:r>
              <w:lastRenderedPageBreak/>
              <w:t>Increase regularization / limit tree depth</w:t>
            </w:r>
          </w:p>
        </w:tc>
        <w:tc>
          <w:tcPr>
            <w:tcW w:w="3312" w:type="dxa"/>
            <w:vAlign w:val="center"/>
          </w:tcPr>
          <w:p w:rsidR="00006DC2" w:rsidRDefault="005F1D7D">
            <w:r>
              <w:t>Reduces effective capacity and may reduce fitting of noisy labels; excessive regularization increases bias.</w:t>
            </w:r>
          </w:p>
        </w:tc>
        <w:tc>
          <w:tcPr>
            <w:tcW w:w="3312" w:type="dxa"/>
            <w:vAlign w:val="center"/>
          </w:tcPr>
          <w:p w:rsidR="00006DC2" w:rsidRDefault="005F1D7D">
            <w:r>
              <w:t>Usually reduces model complexity; validate macro-F1 and per-class reca</w:t>
            </w:r>
            <w:r>
              <w:t>ll.</w:t>
            </w:r>
          </w:p>
        </w:tc>
      </w:tr>
      <w:tr w:rsidR="00006DC2">
        <w:trPr>
          <w:jc w:val="center"/>
        </w:trPr>
        <w:tc>
          <w:tcPr>
            <w:tcW w:w="3312" w:type="dxa"/>
            <w:vAlign w:val="center"/>
          </w:tcPr>
          <w:p w:rsidR="00006DC2" w:rsidRDefault="005F1D7D">
            <w:r>
              <w:t>Label smoothing</w:t>
            </w:r>
          </w:p>
        </w:tc>
        <w:tc>
          <w:tcPr>
            <w:tcW w:w="3312" w:type="dxa"/>
            <w:vAlign w:val="center"/>
          </w:tcPr>
          <w:p w:rsidR="00006DC2" w:rsidRDefault="005F1D7D">
            <w:r>
              <w:t>Replaces one-hot targets with softened targets, reducing extreme confidence and sometimes improving robustness.</w:t>
            </w:r>
          </w:p>
        </w:tc>
        <w:tc>
          <w:tcPr>
            <w:tcW w:w="3312" w:type="dxa"/>
            <w:vAlign w:val="center"/>
          </w:tcPr>
          <w:p w:rsidR="00006DC2" w:rsidRDefault="005F1D7D">
            <w:r>
              <w:t>Small extra computational cost; does not fix incorrect labels by itself.</w:t>
            </w:r>
          </w:p>
        </w:tc>
      </w:tr>
      <w:tr w:rsidR="00006DC2">
        <w:trPr>
          <w:jc w:val="center"/>
        </w:trPr>
        <w:tc>
          <w:tcPr>
            <w:tcW w:w="3312" w:type="dxa"/>
            <w:vAlign w:val="center"/>
          </w:tcPr>
          <w:p w:rsidR="00006DC2" w:rsidRDefault="005F1D7D">
            <w:r>
              <w:t>Noise-robust loss or sample reweighting</w:t>
            </w:r>
          </w:p>
        </w:tc>
        <w:tc>
          <w:tcPr>
            <w:tcW w:w="3312" w:type="dxa"/>
            <w:vAlign w:val="center"/>
          </w:tcPr>
          <w:p w:rsidR="00006DC2" w:rsidRDefault="005F1D7D">
            <w:r>
              <w:t>Can reduc</w:t>
            </w:r>
            <w:r>
              <w:t>e influence of suspicious labels if noise assumptions are reasonable.</w:t>
            </w:r>
          </w:p>
        </w:tc>
        <w:tc>
          <w:tcPr>
            <w:tcW w:w="3312" w:type="dxa"/>
            <w:vAlign w:val="center"/>
          </w:tcPr>
          <w:p w:rsidR="00006DC2" w:rsidRDefault="005F1D7D">
            <w:r>
              <w:t>Adds design/tuning complexity; may underweight difficult but valid examples.</w:t>
            </w:r>
          </w:p>
        </w:tc>
      </w:tr>
      <w:tr w:rsidR="00006DC2">
        <w:trPr>
          <w:jc w:val="center"/>
        </w:trPr>
        <w:tc>
          <w:tcPr>
            <w:tcW w:w="3312" w:type="dxa"/>
            <w:vAlign w:val="center"/>
          </w:tcPr>
          <w:p w:rsidR="00006DC2" w:rsidRDefault="005F1D7D">
            <w:r>
              <w:t>Quantization / compact architecture</w:t>
            </w:r>
          </w:p>
        </w:tc>
        <w:tc>
          <w:tcPr>
            <w:tcW w:w="3312" w:type="dxa"/>
            <w:vAlign w:val="center"/>
          </w:tcPr>
          <w:p w:rsidR="00006DC2" w:rsidRDefault="005F1D7D">
            <w:r>
              <w:t>Reduces parameter storage and often speeds inference; quantization can s</w:t>
            </w:r>
            <w:r>
              <w:t>lightly reduce accuracy.</w:t>
            </w:r>
          </w:p>
        </w:tc>
        <w:tc>
          <w:tcPr>
            <w:tcW w:w="3312" w:type="dxa"/>
            <w:vAlign w:val="center"/>
          </w:tcPr>
          <w:p w:rsidR="00006DC2" w:rsidRDefault="005F1D7D">
            <w:r>
              <w:t>Directly supports the 5 MB and 50 ms constraints; test on-device.</w:t>
            </w:r>
          </w:p>
        </w:tc>
      </w:tr>
      <w:tr w:rsidR="00006DC2">
        <w:trPr>
          <w:jc w:val="center"/>
        </w:trPr>
        <w:tc>
          <w:tcPr>
            <w:tcW w:w="3312" w:type="dxa"/>
            <w:vAlign w:val="center"/>
          </w:tcPr>
          <w:p w:rsidR="00006DC2" w:rsidRDefault="005F1D7D">
            <w:r>
              <w:t>Use class-balanced sampling or weights</w:t>
            </w:r>
          </w:p>
        </w:tc>
        <w:tc>
          <w:tcPr>
            <w:tcW w:w="3312" w:type="dxa"/>
            <w:vAlign w:val="center"/>
          </w:tcPr>
          <w:p w:rsidR="00006DC2" w:rsidRDefault="005F1D7D">
            <w:r>
              <w:t>Improves attention to rare classes and macro recall.</w:t>
            </w:r>
          </w:p>
        </w:tc>
        <w:tc>
          <w:tcPr>
            <w:tcW w:w="3312" w:type="dxa"/>
            <w:vAlign w:val="center"/>
          </w:tcPr>
          <w:p w:rsidR="00006DC2" w:rsidRDefault="005F1D7D">
            <w:r>
              <w:t>May change calibration and can overemphasize noisy minority examples.</w:t>
            </w:r>
          </w:p>
        </w:tc>
      </w:tr>
    </w:tbl>
    <w:p w:rsidR="00006DC2" w:rsidRDefault="00006DC2"/>
    <w:p w:rsidR="00006DC2" w:rsidRDefault="005F1D7D">
      <w:pPr>
        <w:pStyle w:val="Heading2"/>
      </w:pPr>
      <w:r>
        <w:t>13.4 D. Evidence-based conclusion</w:t>
      </w:r>
    </w:p>
    <w:p w:rsidR="00006DC2" w:rsidRDefault="005F1D7D">
      <w:pPr>
        <w:spacing w:after="100"/>
      </w:pPr>
      <w:r>
        <w:t>The recommended response is MODIFY rather than blindly retain the original design. First, preserve the classical baselines as controls; then use stratified class-balanced evaluation, careful label review, a noise-aware tra</w:t>
      </w:r>
      <w:r>
        <w:t>ining strategy and model compression. Reduce PCA dimension only when validation results show that useful disease information is retained. Compare regularized logistic regression or a compact tree/ensemble with a small quantized CNN if the baseline performa</w:t>
      </w:r>
      <w:r>
        <w:t>nce is insufficient.</w:t>
      </w:r>
    </w:p>
    <w:p w:rsidR="00006DC2" w:rsidRDefault="005F1D7D">
      <w:pPr>
        <w:spacing w:after="100"/>
      </w:pPr>
      <w:r>
        <w:t>The final choice should be accepted only when four forms of evidence agree: (1) entropy, conditioning and bias–variance analysis explain the main sources of uncertainty; (2) the 38-class test set demonstrates acceptable macro-F1 and pe</w:t>
      </w:r>
      <w:r>
        <w:t>r-class recall; (3) on-device measurements satisfy ≤50 ms and ≤5 MB; and (4) the chosen adaptation provides the best measured balance of error, robustness and cost. Since no actual runs were supplied for this report, compliance with these numerical constra</w:t>
      </w:r>
      <w:r>
        <w:t>ints remains unverified.</w:t>
      </w:r>
    </w:p>
    <w:p w:rsidR="00006DC2" w:rsidRDefault="005F1D7D">
      <w:pPr>
        <w:pStyle w:val="Heading1"/>
      </w:pPr>
      <w:r>
        <w:t>14. Suggested Experimental Workflow</w:t>
      </w:r>
    </w:p>
    <w:p w:rsidR="00006DC2" w:rsidRDefault="005F1D7D">
      <w:pPr>
        <w:pStyle w:val="ListBullet"/>
        <w:spacing w:after="40"/>
      </w:pPr>
      <w:r>
        <w:t>Choose and document a public leaf-disease dataset and the exact classes used.</w:t>
      </w:r>
    </w:p>
    <w:p w:rsidR="00006DC2" w:rsidRDefault="005F1D7D">
      <w:pPr>
        <w:pStyle w:val="ListBullet"/>
        <w:spacing w:after="40"/>
      </w:pPr>
      <w:r>
        <w:t>Remove corrupted files and document duplicate handling; inspect class counts and sample images.</w:t>
      </w:r>
    </w:p>
    <w:p w:rsidR="00006DC2" w:rsidRDefault="005F1D7D">
      <w:pPr>
        <w:pStyle w:val="ListBullet"/>
        <w:spacing w:after="40"/>
      </w:pPr>
      <w:r>
        <w:t>Create stratified tra</w:t>
      </w:r>
      <w:r>
        <w:t>in/validation/test splits, grouping related images where possible.</w:t>
      </w:r>
    </w:p>
    <w:p w:rsidR="00006DC2" w:rsidRDefault="005F1D7D">
      <w:pPr>
        <w:pStyle w:val="ListBullet"/>
        <w:spacing w:after="40"/>
      </w:pPr>
      <w:r>
        <w:t>Resize and convert images consistently; normalize pixel values; fit PCA only on training data.</w:t>
      </w:r>
    </w:p>
    <w:p w:rsidR="00006DC2" w:rsidRDefault="005F1D7D">
      <w:pPr>
        <w:pStyle w:val="ListBullet"/>
        <w:spacing w:after="40"/>
      </w:pPr>
      <w:r>
        <w:t>Train logistic regression, k-NN and random forest on raw and PCA features.</w:t>
      </w:r>
    </w:p>
    <w:p w:rsidR="00006DC2" w:rsidRDefault="005F1D7D">
      <w:pPr>
        <w:pStyle w:val="ListBullet"/>
        <w:spacing w:after="40"/>
      </w:pPr>
      <w:r>
        <w:t>Run capacity and hy</w:t>
      </w:r>
      <w:r>
        <w:t>perparameter studies using validation data or cross-validation.</w:t>
      </w:r>
    </w:p>
    <w:p w:rsidR="00006DC2" w:rsidRDefault="005F1D7D">
      <w:pPr>
        <w:pStyle w:val="ListBullet"/>
        <w:spacing w:after="40"/>
      </w:pPr>
      <w:r>
        <w:t>Run at least 10 bootstrap replicas for the bias–variance analysis.</w:t>
      </w:r>
    </w:p>
    <w:p w:rsidR="00006DC2" w:rsidRDefault="005F1D7D">
      <w:pPr>
        <w:pStyle w:val="ListBullet"/>
        <w:spacing w:after="40"/>
      </w:pPr>
      <w:r>
        <w:t>Implement stable softmax regression from scratch and compare batch, SGD and mini-batch strategies at three learning rates.</w:t>
      </w:r>
    </w:p>
    <w:p w:rsidR="00006DC2" w:rsidRDefault="005F1D7D">
      <w:pPr>
        <w:pStyle w:val="ListBullet"/>
        <w:spacing w:after="40"/>
      </w:pPr>
      <w:r>
        <w:t>Re</w:t>
      </w:r>
      <w:r>
        <w:t>peat evaluations at 1,000, 5,000, 10,000 and full dataset scales.</w:t>
      </w:r>
    </w:p>
    <w:p w:rsidR="00006DC2" w:rsidRDefault="005F1D7D">
      <w:pPr>
        <w:pStyle w:val="ListBullet"/>
        <w:spacing w:after="40"/>
      </w:pPr>
      <w:r>
        <w:t>Measure inference latency and model size on the target smartphone; document the device and measurement procedure.</w:t>
      </w:r>
    </w:p>
    <w:p w:rsidR="00006DC2" w:rsidRDefault="005F1D7D">
      <w:pPr>
        <w:pStyle w:val="ListBullet"/>
        <w:spacing w:after="40"/>
      </w:pPr>
      <w:r>
        <w:t>Evaluate the 38-class/noisy-label design challenge and update the conclusion</w:t>
      </w:r>
      <w:r>
        <w:t xml:space="preserve"> based on measured evidence.</w:t>
      </w:r>
    </w:p>
    <w:p w:rsidR="00006DC2" w:rsidRDefault="005F1D7D">
      <w:pPr>
        <w:pStyle w:val="Heading1"/>
      </w:pPr>
      <w:r>
        <w:lastRenderedPageBreak/>
        <w:t>15. Conclusion</w:t>
      </w:r>
    </w:p>
    <w:p w:rsidR="00006DC2" w:rsidRDefault="005F1D7D">
      <w:pPr>
        <w:spacing w:after="100"/>
      </w:pPr>
      <w:r>
        <w:t>The AgriVision problem combines high-dimensional image representation, uncertain labels, numerical optimization and strict deployment requirements. Linear algebra and PCA help characterize redundancy and compress</w:t>
      </w:r>
      <w:r>
        <w:t xml:space="preserve"> features, while entropy, cross-entropy and KL divergence explain class uncertainty and probabilistic prediction quality. Stable softmax calculations and attention to covariance conditioning are essential for reliable optimization. Classical baselines reve</w:t>
      </w:r>
      <w:r>
        <w:t>al different inductive biases and capacity trade-offs; validation curves and bootstrap experiments help diagnose underfitting, overfitting, bias and variance.</w:t>
      </w:r>
    </w:p>
    <w:p w:rsidR="00006DC2" w:rsidRDefault="005F1D7D">
      <w:pPr>
        <w:spacing w:after="100"/>
      </w:pPr>
      <w:r>
        <w:t>Deep learning is justified only if experiments show that the best classical approach cannot provi</w:t>
      </w:r>
      <w:r>
        <w:t>de the required class-wise performance and robustness. Under the expanded 38-class setting with noisy labels and smartphone limits, the design should be modified and evaluated using reliable labels, macro-level metrics, noise-aware training and compression</w:t>
      </w:r>
      <w:r>
        <w:t>. The final deployment decision must be based on reproducible experimental measurements, particularly latency, memory and per-class errors.</w:t>
      </w:r>
    </w:p>
    <w:p w:rsidR="00006DC2" w:rsidRDefault="005F1D7D">
      <w:pPr>
        <w:pStyle w:val="Heading1"/>
      </w:pPr>
      <w:r>
        <w:t>References</w:t>
      </w:r>
    </w:p>
    <w:p w:rsidR="00006DC2" w:rsidRDefault="005F1D7D">
      <w:pPr>
        <w:spacing w:after="100"/>
      </w:pPr>
      <w:r>
        <w:t>1. Assignment brief: SIMATS Engineering, CSA47 – Deep Learning, CO1 Assessment 1: Analyze the Mathematica</w:t>
      </w:r>
      <w:r>
        <w:t>l and Machine Learning Foundations of a Crop-Disease Screening System.</w:t>
      </w:r>
    </w:p>
    <w:p w:rsidR="00006DC2" w:rsidRDefault="005F1D7D">
      <w:pPr>
        <w:spacing w:after="100"/>
      </w:pPr>
      <w:r>
        <w:t>2. Bishop, C. M. (2006). Pattern Recognition and Machine Learning. Springer.</w:t>
      </w:r>
    </w:p>
    <w:p w:rsidR="00006DC2" w:rsidRDefault="005F1D7D">
      <w:pPr>
        <w:spacing w:after="100"/>
      </w:pPr>
      <w:r>
        <w:t>3. Goodfellow, I., Bengio, Y., &amp; Courville, A. (2016). Deep Learning. MIT Press.</w:t>
      </w:r>
    </w:p>
    <w:p w:rsidR="00006DC2" w:rsidRDefault="005F1D7D">
      <w:pPr>
        <w:spacing w:after="100"/>
      </w:pPr>
      <w:r>
        <w:t>4. Jolliffe, I. T., &amp; Cadim</w:t>
      </w:r>
      <w:r>
        <w:t>a, J. (2016). Principal component analysis: a review and recent developments. Philosophical Transactions of the Royal Society A, 374(2065).</w:t>
      </w:r>
    </w:p>
    <w:p w:rsidR="00006DC2" w:rsidRDefault="005F1D7D">
      <w:pPr>
        <w:spacing w:after="100"/>
      </w:pPr>
      <w:r>
        <w:t>5. PlantVillage dataset (if selected for implementation): document the exact public repository/version, class subset</w:t>
      </w:r>
      <w:r>
        <w:t>, access date and license used in the final submission.</w:t>
      </w:r>
    </w:p>
    <w:sectPr w:rsidR="00006DC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D7D" w:rsidRDefault="005F1D7D">
      <w:pPr>
        <w:spacing w:after="0" w:line="240" w:lineRule="auto"/>
      </w:pPr>
      <w:r>
        <w:separator/>
      </w:r>
    </w:p>
  </w:endnote>
  <w:endnote w:type="continuationSeparator" w:id="0">
    <w:p w:rsidR="005F1D7D" w:rsidRDefault="005F1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C2" w:rsidRDefault="005F1D7D">
    <w:pPr>
      <w:pStyle w:val="Footer"/>
      <w:jc w:val="center"/>
    </w:pPr>
    <w:r>
      <w:t xml:space="preserve">AgriVision Crop-Disease Screening Assignment  |  Page </w:t>
    </w:r>
    <w:r>
      <w:fldChar w:fldCharType="begin"/>
    </w:r>
    <w:r>
      <w:instrText>PAGE</w:instrText>
    </w:r>
    <w:r w:rsidR="00630ABD">
      <w:fldChar w:fldCharType="separate"/>
    </w:r>
    <w:r w:rsidR="00630ABD">
      <w:rPr>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D7D" w:rsidRDefault="005F1D7D">
      <w:pPr>
        <w:spacing w:after="0" w:line="240" w:lineRule="auto"/>
      </w:pPr>
      <w:r>
        <w:separator/>
      </w:r>
    </w:p>
  </w:footnote>
  <w:footnote w:type="continuationSeparator" w:id="0">
    <w:p w:rsidR="005F1D7D" w:rsidRDefault="005F1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DC2"/>
    <w:rsid w:val="00034616"/>
    <w:rsid w:val="0006063C"/>
    <w:rsid w:val="0015074B"/>
    <w:rsid w:val="0029639D"/>
    <w:rsid w:val="00326F90"/>
    <w:rsid w:val="005F1D7D"/>
    <w:rsid w:val="00630A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D20CA"/>
  <w14:defaultImageDpi w14:val="300"/>
  <w15:docId w15:val="{A90205F1-6282-4DCC-9E42-CA72E4BA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600AC-9004-4A92-B3C7-8FE8A4F1A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4754</Words>
  <Characters>27103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2026-10-13T04:26:00Z</dcterms:created>
  <dcterms:modified xsi:type="dcterms:W3CDTF">2026-10-13T04:26:00Z</dcterms:modified>
  <cp:category/>
</cp:coreProperties>
</file>