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4E78"/>
          <w:sz w:val="56"/>
          <w:szCs w:val="56"/>
        </w:rPr>
        <w:t xml:space="preserve">BUSINESS INSIGHT REPORT</w:t>
      </w:r>
    </w:p>
    <w:p>
      <w:pPr>
        <w:pBdr>
          <w:bottom w:val="single" w:color="1F4E78" w:sz="12" w:space="8"/>
        </w:pBdr>
        <w:spacing w:before="300"/>
        <w:jc w:val="center"/>
      </w:pPr>
      <w:r>
        <w:rPr>
          <w:sz w:val="4"/>
          <w:szCs w:val="4"/>
        </w:rPr>
        <w:t xml:space="preserve"> </w:t>
      </w:r>
    </w:p>
    <w:p>
      <w:pPr>
        <w:spacing w:before="1000"/>
      </w:pPr>
    </w:p>
    <w:p>
      <w:pPr>
        <w:spacing w:after="160"/>
        <w:jc w:val="center"/>
      </w:pPr>
      <w:r>
        <w:rPr>
          <w:b/>
          <w:bCs/>
          <w:color w:val="595959"/>
          <w:sz w:val="24"/>
          <w:szCs w:val="24"/>
        </w:rPr>
        <w:t xml:space="preserve">Dataset Name</w:t>
      </w:r>
    </w:p>
    <w:p>
      <w:pPr>
        <w:spacing w:after="400"/>
        <w:jc w:val="center"/>
      </w:pPr>
      <w:r>
        <w:rPr>
          <w:sz w:val="24"/>
          <w:szCs w:val="24"/>
        </w:rPr>
        <w:t xml:space="preserve">Global Sales &amp; Financial Performance — Interactive Sales Dashboard</w:t>
      </w:r>
    </w:p>
    <w:p>
      <w:pPr>
        <w:spacing w:after="160"/>
        <w:jc w:val="center"/>
      </w:pPr>
      <w:r>
        <w:rPr>
          <w:b/>
          <w:bCs/>
          <w:color w:val="595959"/>
          <w:sz w:val="24"/>
          <w:szCs w:val="24"/>
        </w:rPr>
        <w:t xml:space="preserve">Student Name</w:t>
      </w:r>
    </w:p>
    <w:p>
      <w:pPr>
        <w:spacing w:after="400"/>
        <w:jc w:val="center"/>
      </w:pPr>
      <w:r>
        <w:rPr>
          <w:i/>
          <w:iCs/>
          <w:color w:val="B7472A"/>
          <w:sz w:val="24"/>
          <w:szCs w:val="24"/>
        </w:rPr>
        <w:t xml:space="preserve">[Insert your full name]</w:t>
      </w:r>
    </w:p>
    <w:p>
      <w:pPr>
        <w:spacing w:before="1600"/>
        <w:jc w:val="center"/>
      </w:pPr>
      <w:r>
        <w:rPr>
          <w:i/>
          <w:iCs/>
          <w:color w:val="595959"/>
          <w:sz w:val="20"/>
          <w:szCs w:val="20"/>
        </w:rPr>
        <w:t xml:space="preserve">[Insert Course / Module Name]</w:t>
      </w:r>
    </w:p>
    <w:p>
      <w:pPr>
        <w:spacing w:before="120"/>
        <w:jc w:val="center"/>
      </w:pPr>
      <w:r>
        <w:rPr>
          <w:i/>
          <w:iCs/>
          <w:color w:val="595959"/>
          <w:sz w:val="20"/>
          <w:szCs w:val="20"/>
        </w:rPr>
        <w:t xml:space="preserve">[Insert Submission Date]</w:t>
      </w:r>
    </w:p>
    <w:p>
      <w:pPr>
        <w:sectPr>
          <w:pgSz w:w="12240" w:h="15840" w:orient="portrait"/>
          <w:pgMar w:top="1440" w:right="1440" w:bottom="1440" w:left="1440" w:header="708" w:footer="708" w:gutter="0"/>
          <w:pgNumType/>
          <w:docGrid w:linePitch="360"/>
        </w:sectPr>
      </w:pPr>
    </w:p>
    <w:p>
      <w:pPr>
        <w:pStyle w:val="Heading1"/>
        <w:pBdr>
          <w:bottom w:val="single" w:color="1F4E78" w:sz="8" w:space="4"/>
        </w:pBdr>
        <w:spacing w:after="200" w:before="400"/>
      </w:pPr>
      <w:r>
        <w:rPr>
          <w:b/>
          <w:bCs/>
          <w:color w:val="1F4E78"/>
          <w:sz w:val="30"/>
          <w:szCs w:val="30"/>
        </w:rPr>
        <w:t xml:space="preserve">2. Introduction</w:t>
      </w:r>
    </w:p>
    <w:p>
      <w:pPr>
        <w:spacing w:after="200" w:line="276"/>
      </w:pPr>
      <w:r>
        <w:rPr>
          <w:sz w:val="22"/>
          <w:szCs w:val="22"/>
        </w:rPr>
        <w:t xml:space="preserve">This report presents a business analysis of the Global Sales &amp; Financial Performance dataset, drawn from an interactive Power BI sales dashboard covering transactions across product categories, regions, employees and time. The dashboard tracks orders placed between 2018 and 2024 and consolidates them into headline financial metrics, category and regional breakdowns, monthly trends, employee contribution, and product-level detail.</w:t>
      </w:r>
    </w:p>
    <w:p>
      <w:pPr>
        <w:spacing w:after="200" w:line="276"/>
      </w:pPr>
      <w:r>
        <w:rPr>
          <w:sz w:val="22"/>
          <w:szCs w:val="22"/>
        </w:rPr>
        <w:t xml:space="preserve">The purpose of this analysis is to identify which parts of the business are performing well and which are not, so that management can make informed decisions on inventory, marketing, regional expansion, staffing and product strategy. The sections that follow walk through the dashboard's KPIs, then break performance down by product category, month, region and employee, and close with a set of business recommendations grounded in these findings.</w:t>
      </w:r>
    </w:p>
    <w:p>
      <w:pPr>
        <w:pStyle w:val="Heading1"/>
        <w:pBdr>
          <w:bottom w:val="single" w:color="1F4E78" w:sz="8" w:space="4"/>
        </w:pBdr>
        <w:spacing w:after="200" w:before="400"/>
      </w:pPr>
      <w:r>
        <w:rPr>
          <w:b/>
          <w:bCs/>
          <w:color w:val="1F4E78"/>
          <w:sz w:val="30"/>
          <w:szCs w:val="30"/>
        </w:rPr>
        <w:t xml:space="preserve">3. Dashboard Overview</w:t>
      </w:r>
    </w:p>
    <w:p>
      <w:pPr>
        <w:spacing w:after="200"/>
        <w:jc w:val="center"/>
      </w:pPr>
      <w:r>
        <w:drawing>
          <wp:inline distT="0" distB="0" distL="0" distR="0">
            <wp:extent cx="58293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3295650"/>
                    </a:xfrm>
                    <a:prstGeom prst="rect">
                      <a:avLst/>
                    </a:prstGeom>
                  </pic:spPr>
                </pic:pic>
              </a:graphicData>
            </a:graphic>
          </wp:inline>
        </w:drawing>
      </w:r>
    </w:p>
    <w:p>
      <w:pPr>
        <w:pStyle w:val="Heading2"/>
        <w:spacing w:after="120" w:before="240"/>
      </w:pPr>
      <w:r>
        <w:rPr>
          <w:b/>
          <w:bCs/>
          <w:color w:val="1F4E78"/>
          <w:sz w:val="24"/>
          <w:szCs w:val="24"/>
        </w:rPr>
        <w:t xml:space="preserve">Dashboard Description</w:t>
      </w:r>
    </w:p>
    <w:p>
      <w:pPr>
        <w:spacing w:after="200" w:line="276"/>
      </w:pPr>
      <w:r>
        <w:rPr>
          <w:sz w:val="22"/>
          <w:szCs w:val="22"/>
        </w:rPr>
        <w:t xml:space="preserve">The Interactive Sales Dashboard opens with six KPI cards — Total Sales, Total Profit, Total Quantity, Total Cost, Order Count and Average Sales — giving an at-a-glance summary of overall performance. Below the KPIs, a column chart breaks total sales down by product category, a line chart tracks total sales by month, and a donut chart shows the regional split of sales. A horizontal bar chart ranks employees by total profit generated, and a detail table lists total sales, quantity and profit for individual products. Slicers for Year (2018–2024), Category and Region let users filter every visual interactively.</w:t>
      </w:r>
    </w:p>
    <w:p>
      <w:r>
        <w:br w:type="page"/>
      </w:r>
    </w:p>
    <w:p>
      <w:pPr>
        <w:pStyle w:val="Heading1"/>
        <w:pBdr>
          <w:bottom w:val="single" w:color="1F4E78" w:sz="8" w:space="4"/>
        </w:pBdr>
        <w:spacing w:after="200" w:before="400"/>
      </w:pPr>
      <w:r>
        <w:rPr>
          <w:b/>
          <w:bCs/>
          <w:color w:val="1F4E78"/>
          <w:sz w:val="30"/>
          <w:szCs w:val="30"/>
        </w:rPr>
        <w:t xml:space="preserve">4. KPI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EBF7" w:val="clear"/>
            <w:tcMar>
              <w:top w:type="dxa" w:w="160"/>
              <w:left w:type="dxa" w:w="160"/>
              <w:bottom w:type="dxa" w:w="160"/>
              <w:right w:type="dxa" w:w="160"/>
            </w:tcMar>
            <w:vAlign w:val="center"/>
          </w:tcPr>
          <w:p>
            <w:pPr>
              <w:spacing w:after="80"/>
              <w:jc w:val="center"/>
            </w:pPr>
            <w:r>
              <w:rPr>
                <w:b/>
                <w:bCs/>
                <w:color w:val="1F4E78"/>
                <w:sz w:val="26"/>
                <w:szCs w:val="26"/>
              </w:rPr>
              <w:t xml:space="preserve">70.64M</w:t>
            </w:r>
          </w:p>
          <w:p>
            <w:pPr>
              <w:jc w:val="center"/>
            </w:pPr>
            <w:r>
              <w:rPr>
                <w:color w:val="595959"/>
                <w:sz w:val="20"/>
                <w:szCs w:val="20"/>
              </w:rPr>
              <w:t xml:space="preserve">Total Sales</w:t>
            </w:r>
          </w:p>
        </w:tc>
        <w:tc>
          <w:tcPr>
            <w:tcW w:type="dxa" w:w="3120"/>
            <w:shd w:fill="DDEBF7" w:val="clear"/>
            <w:tcMar>
              <w:top w:type="dxa" w:w="160"/>
              <w:left w:type="dxa" w:w="160"/>
              <w:bottom w:type="dxa" w:w="160"/>
              <w:right w:type="dxa" w:w="160"/>
            </w:tcMar>
            <w:vAlign w:val="center"/>
          </w:tcPr>
          <w:p>
            <w:pPr>
              <w:spacing w:after="80"/>
              <w:jc w:val="center"/>
            </w:pPr>
            <w:r>
              <w:rPr>
                <w:b/>
                <w:bCs/>
                <w:color w:val="1F4E78"/>
                <w:sz w:val="26"/>
                <w:szCs w:val="26"/>
              </w:rPr>
              <w:t xml:space="preserve">25.12M</w:t>
            </w:r>
          </w:p>
          <w:p>
            <w:pPr>
              <w:jc w:val="center"/>
            </w:pPr>
            <w:r>
              <w:rPr>
                <w:color w:val="595959"/>
                <w:sz w:val="20"/>
                <w:szCs w:val="20"/>
              </w:rPr>
              <w:t xml:space="preserve">Total Profit</w:t>
            </w:r>
          </w:p>
        </w:tc>
        <w:tc>
          <w:tcPr>
            <w:tcW w:type="dxa" w:w="3120"/>
            <w:shd w:fill="DDEBF7" w:val="clear"/>
            <w:tcMar>
              <w:top w:type="dxa" w:w="160"/>
              <w:left w:type="dxa" w:w="160"/>
              <w:bottom w:type="dxa" w:w="160"/>
              <w:right w:type="dxa" w:w="160"/>
            </w:tcMar>
            <w:vAlign w:val="center"/>
          </w:tcPr>
          <w:p>
            <w:pPr>
              <w:spacing w:after="80"/>
              <w:jc w:val="center"/>
            </w:pPr>
            <w:r>
              <w:rPr>
                <w:b/>
                <w:bCs/>
                <w:color w:val="1F4E78"/>
                <w:sz w:val="26"/>
                <w:szCs w:val="26"/>
              </w:rPr>
              <w:t xml:space="preserve">300K</w:t>
            </w:r>
          </w:p>
          <w:p>
            <w:pPr>
              <w:jc w:val="center"/>
            </w:pPr>
            <w:r>
              <w:rPr>
                <w:color w:val="595959"/>
                <w:sz w:val="20"/>
                <w:szCs w:val="20"/>
              </w:rPr>
              <w:t xml:space="preserve">Total Quantity</w:t>
            </w:r>
          </w:p>
        </w:tc>
      </w:tr>
      <w:tr>
        <w:tc>
          <w:tcPr>
            <w:tcW w:type="dxa" w:w="3120"/>
            <w:shd w:fill="DDEBF7" w:val="clear"/>
            <w:tcMar>
              <w:top w:type="dxa" w:w="160"/>
              <w:left w:type="dxa" w:w="160"/>
              <w:bottom w:type="dxa" w:w="160"/>
              <w:right w:type="dxa" w:w="160"/>
            </w:tcMar>
            <w:vAlign w:val="center"/>
          </w:tcPr>
          <w:p>
            <w:pPr>
              <w:spacing w:after="80"/>
              <w:jc w:val="center"/>
            </w:pPr>
            <w:r>
              <w:rPr>
                <w:b/>
                <w:bCs/>
                <w:color w:val="1F4E78"/>
                <w:sz w:val="26"/>
                <w:szCs w:val="26"/>
              </w:rPr>
              <w:t xml:space="preserve">45.52M</w:t>
            </w:r>
          </w:p>
          <w:p>
            <w:pPr>
              <w:jc w:val="center"/>
            </w:pPr>
            <w:r>
              <w:rPr>
                <w:color w:val="595959"/>
                <w:sz w:val="20"/>
                <w:szCs w:val="20"/>
              </w:rPr>
              <w:t xml:space="preserve">Total Cost</w:t>
            </w:r>
          </w:p>
        </w:tc>
        <w:tc>
          <w:tcPr>
            <w:tcW w:type="dxa" w:w="3120"/>
            <w:shd w:fill="DDEBF7" w:val="clear"/>
            <w:tcMar>
              <w:top w:type="dxa" w:w="160"/>
              <w:left w:type="dxa" w:w="160"/>
              <w:bottom w:type="dxa" w:w="160"/>
              <w:right w:type="dxa" w:w="160"/>
            </w:tcMar>
            <w:vAlign w:val="center"/>
          </w:tcPr>
          <w:p>
            <w:pPr>
              <w:spacing w:after="80"/>
              <w:jc w:val="center"/>
            </w:pPr>
            <w:r>
              <w:rPr>
                <w:b/>
                <w:bCs/>
                <w:color w:val="1F4E78"/>
                <w:sz w:val="26"/>
                <w:szCs w:val="26"/>
              </w:rPr>
              <w:t xml:space="preserve">100K</w:t>
            </w:r>
          </w:p>
          <w:p>
            <w:pPr>
              <w:jc w:val="center"/>
            </w:pPr>
            <w:r>
              <w:rPr>
                <w:color w:val="595959"/>
                <w:sz w:val="20"/>
                <w:szCs w:val="20"/>
              </w:rPr>
              <w:t xml:space="preserve">Order Count</w:t>
            </w:r>
          </w:p>
        </w:tc>
        <w:tc>
          <w:tcPr>
            <w:tcW w:type="dxa" w:w="3120"/>
            <w:shd w:fill="DDEBF7" w:val="clear"/>
            <w:tcMar>
              <w:top w:type="dxa" w:w="160"/>
              <w:left w:type="dxa" w:w="160"/>
              <w:bottom w:type="dxa" w:w="160"/>
              <w:right w:type="dxa" w:w="160"/>
            </w:tcMar>
            <w:vAlign w:val="center"/>
          </w:tcPr>
          <w:p>
            <w:pPr>
              <w:spacing w:after="80"/>
              <w:jc w:val="center"/>
            </w:pPr>
            <w:r>
              <w:rPr>
                <w:b/>
                <w:bCs/>
                <w:color w:val="1F4E78"/>
                <w:sz w:val="26"/>
                <w:szCs w:val="26"/>
              </w:rPr>
              <w:t xml:space="preserve">706.36</w:t>
            </w:r>
          </w:p>
          <w:p>
            <w:pPr>
              <w:jc w:val="center"/>
            </w:pPr>
            <w:r>
              <w:rPr>
                <w:color w:val="595959"/>
                <w:sz w:val="20"/>
                <w:szCs w:val="20"/>
              </w:rPr>
              <w:t xml:space="preserve">Average Sales</w:t>
            </w:r>
          </w:p>
        </w:tc>
      </w:tr>
    </w:tbl>
    <w:p>
      <w:pPr>
        <w:spacing w:before="240"/>
      </w:pPr>
    </w:p>
    <w:p>
      <w:pPr>
        <w:spacing w:after="200" w:line="276"/>
      </w:pPr>
      <w:r>
        <w:rPr>
          <w:sz w:val="22"/>
          <w:szCs w:val="22"/>
        </w:rPr>
        <w:t xml:space="preserve">Overall, the business generated 70.64M in total sales against 45.52M in total cost, producing 25.12M in profit — a gross margin of roughly 35.6%. With 100K orders totaling 300K units sold, the average order carries about 3 units, and the average sale per order is 706.36. This points to a healthy, moderately-priced volume business rather than either a low-margin high-volume model or a high-ticket low-volume one.</w:t>
      </w:r>
    </w:p>
    <w:p>
      <w:pPr>
        <w:pStyle w:val="Heading1"/>
        <w:pBdr>
          <w:bottom w:val="single" w:color="1F4E78" w:sz="8" w:space="4"/>
        </w:pBdr>
        <w:spacing w:after="200" w:before="400"/>
      </w:pPr>
      <w:r>
        <w:rPr>
          <w:b/>
          <w:bCs/>
          <w:color w:val="1F4E78"/>
          <w:sz w:val="30"/>
          <w:szCs w:val="30"/>
        </w:rPr>
        <w:t xml:space="preserve">5. Product Category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4E78" w:val="clear"/>
            <w:tcMar>
              <w:top w:type="dxa" w:w="120"/>
              <w:left w:type="dxa" w:w="120"/>
              <w:bottom w:type="dxa" w:w="120"/>
              <w:right w:type="dxa" w:w="120"/>
            </w:tcMar>
          </w:tcPr>
          <w:p>
            <w:pPr>
              <w:jc w:val="left"/>
            </w:pPr>
            <w:r>
              <w:rPr>
                <w:b/>
                <w:bCs/>
                <w:color w:val="FFFFFF"/>
                <w:sz w:val="20"/>
                <w:szCs w:val="20"/>
              </w:rPr>
              <w:t xml:space="preserve">Product Category</w:t>
            </w:r>
          </w:p>
        </w:tc>
        <w:tc>
          <w:tcPr>
            <w:tcW w:type="dxa" w:w="3960"/>
            <w:shd w:fill="1F4E78" w:val="clear"/>
            <w:tcMar>
              <w:top w:type="dxa" w:w="120"/>
              <w:left w:type="dxa" w:w="120"/>
              <w:bottom w:type="dxa" w:w="120"/>
              <w:right w:type="dxa" w:w="120"/>
            </w:tcMar>
          </w:tcPr>
          <w:p>
            <w:pPr>
              <w:jc w:val="right"/>
            </w:pPr>
            <w:r>
              <w:rPr>
                <w:b/>
                <w:bCs/>
                <w:color w:val="FFFFFF"/>
                <w:sz w:val="20"/>
                <w:szCs w:val="20"/>
              </w:rPr>
              <w:t xml:space="preserve">Total Sales</w:t>
            </w:r>
          </w:p>
        </w:tc>
      </w:tr>
      <w:tr>
        <w:tc>
          <w:tcPr>
            <w:tcW w:type="dxa" w:w="5400"/>
            <w:shd w:fill="FFFFFF" w:val="clear"/>
            <w:tcMar>
              <w:top w:type="dxa" w:w="100"/>
              <w:left w:type="dxa" w:w="120"/>
              <w:bottom w:type="dxa" w:w="100"/>
              <w:right w:type="dxa" w:w="120"/>
            </w:tcMar>
          </w:tcPr>
          <w:p>
            <w:pPr>
              <w:jc w:val="left"/>
            </w:pPr>
            <w:r>
              <w:rPr>
                <w:sz w:val="20"/>
                <w:szCs w:val="20"/>
              </w:rPr>
              <w:t xml:space="preserve">Clothing</w:t>
            </w:r>
          </w:p>
        </w:tc>
        <w:tc>
          <w:tcPr>
            <w:tcW w:type="dxa" w:w="3960"/>
            <w:shd w:fill="FFFFFF" w:val="clear"/>
            <w:tcMar>
              <w:top w:type="dxa" w:w="100"/>
              <w:left w:type="dxa" w:w="120"/>
              <w:bottom w:type="dxa" w:w="100"/>
              <w:right w:type="dxa" w:w="120"/>
            </w:tcMar>
          </w:tcPr>
          <w:p>
            <w:pPr>
              <w:jc w:val="right"/>
            </w:pPr>
            <w:r>
              <w:rPr>
                <w:sz w:val="20"/>
                <w:szCs w:val="20"/>
              </w:rPr>
              <w:t xml:space="preserve">14M</w:t>
            </w:r>
          </w:p>
        </w:tc>
      </w:tr>
      <w:tr>
        <w:tc>
          <w:tcPr>
            <w:tcW w:type="dxa" w:w="5400"/>
            <w:shd w:fill="F2F2F2" w:val="clear"/>
            <w:tcMar>
              <w:top w:type="dxa" w:w="100"/>
              <w:left w:type="dxa" w:w="120"/>
              <w:bottom w:type="dxa" w:w="100"/>
              <w:right w:type="dxa" w:w="120"/>
            </w:tcMar>
          </w:tcPr>
          <w:p>
            <w:pPr>
              <w:jc w:val="left"/>
            </w:pPr>
            <w:r>
              <w:rPr>
                <w:sz w:val="20"/>
                <w:szCs w:val="20"/>
              </w:rPr>
              <w:t xml:space="preserve">Accessories</w:t>
            </w:r>
          </w:p>
        </w:tc>
        <w:tc>
          <w:tcPr>
            <w:tcW w:type="dxa" w:w="3960"/>
            <w:shd w:fill="F2F2F2" w:val="clear"/>
            <w:tcMar>
              <w:top w:type="dxa" w:w="100"/>
              <w:left w:type="dxa" w:w="120"/>
              <w:bottom w:type="dxa" w:w="100"/>
              <w:right w:type="dxa" w:w="120"/>
            </w:tcMar>
          </w:tcPr>
          <w:p>
            <w:pPr>
              <w:jc w:val="right"/>
            </w:pPr>
            <w:r>
              <w:rPr>
                <w:sz w:val="20"/>
                <w:szCs w:val="20"/>
              </w:rPr>
              <w:t xml:space="preserve">13M</w:t>
            </w:r>
          </w:p>
        </w:tc>
      </w:tr>
      <w:tr>
        <w:tc>
          <w:tcPr>
            <w:tcW w:type="dxa" w:w="5400"/>
            <w:shd w:fill="FFFFFF" w:val="clear"/>
            <w:tcMar>
              <w:top w:type="dxa" w:w="100"/>
              <w:left w:type="dxa" w:w="120"/>
              <w:bottom w:type="dxa" w:w="100"/>
              <w:right w:type="dxa" w:w="120"/>
            </w:tcMar>
          </w:tcPr>
          <w:p>
            <w:pPr>
              <w:jc w:val="left"/>
            </w:pPr>
            <w:r>
              <w:rPr>
                <w:sz w:val="20"/>
                <w:szCs w:val="20"/>
              </w:rPr>
              <w:t xml:space="preserve">Kitchen</w:t>
            </w:r>
          </w:p>
        </w:tc>
        <w:tc>
          <w:tcPr>
            <w:tcW w:type="dxa" w:w="3960"/>
            <w:shd w:fill="FFFFFF" w:val="clear"/>
            <w:tcMar>
              <w:top w:type="dxa" w:w="100"/>
              <w:left w:type="dxa" w:w="120"/>
              <w:bottom w:type="dxa" w:w="100"/>
              <w:right w:type="dxa" w:w="120"/>
            </w:tcMar>
          </w:tcPr>
          <w:p>
            <w:pPr>
              <w:jc w:val="right"/>
            </w:pPr>
            <w:r>
              <w:rPr>
                <w:sz w:val="20"/>
                <w:szCs w:val="20"/>
              </w:rPr>
              <w:t xml:space="preserve">13M</w:t>
            </w:r>
          </w:p>
        </w:tc>
      </w:tr>
      <w:tr>
        <w:tc>
          <w:tcPr>
            <w:tcW w:type="dxa" w:w="5400"/>
            <w:shd w:fill="F2F2F2" w:val="clear"/>
            <w:tcMar>
              <w:top w:type="dxa" w:w="100"/>
              <w:left w:type="dxa" w:w="120"/>
              <w:bottom w:type="dxa" w:w="100"/>
              <w:right w:type="dxa" w:w="120"/>
            </w:tcMar>
          </w:tcPr>
          <w:p>
            <w:pPr>
              <w:jc w:val="left"/>
            </w:pPr>
            <w:r>
              <w:rPr>
                <w:sz w:val="20"/>
                <w:szCs w:val="20"/>
              </w:rPr>
              <w:t xml:space="preserve">Electronics</w:t>
            </w:r>
          </w:p>
        </w:tc>
        <w:tc>
          <w:tcPr>
            <w:tcW w:type="dxa" w:w="3960"/>
            <w:shd w:fill="F2F2F2" w:val="clear"/>
            <w:tcMar>
              <w:top w:type="dxa" w:w="100"/>
              <w:left w:type="dxa" w:w="120"/>
              <w:bottom w:type="dxa" w:w="100"/>
              <w:right w:type="dxa" w:w="120"/>
            </w:tcMar>
          </w:tcPr>
          <w:p>
            <w:pPr>
              <w:jc w:val="right"/>
            </w:pPr>
            <w:r>
              <w:rPr>
                <w:sz w:val="20"/>
                <w:szCs w:val="20"/>
              </w:rPr>
              <w:t xml:space="preserve">11M</w:t>
            </w:r>
          </w:p>
        </w:tc>
      </w:tr>
      <w:tr>
        <w:tc>
          <w:tcPr>
            <w:tcW w:type="dxa" w:w="5400"/>
            <w:shd w:fill="FFFFFF" w:val="clear"/>
            <w:tcMar>
              <w:top w:type="dxa" w:w="100"/>
              <w:left w:type="dxa" w:w="120"/>
              <w:bottom w:type="dxa" w:w="100"/>
              <w:right w:type="dxa" w:w="120"/>
            </w:tcMar>
          </w:tcPr>
          <w:p>
            <w:pPr>
              <w:jc w:val="left"/>
            </w:pPr>
            <w:r>
              <w:rPr>
                <w:sz w:val="20"/>
                <w:szCs w:val="20"/>
              </w:rPr>
              <w:t xml:space="preserve">Outdoor</w:t>
            </w:r>
          </w:p>
        </w:tc>
        <w:tc>
          <w:tcPr>
            <w:tcW w:type="dxa" w:w="3960"/>
            <w:shd w:fill="FFFFFF" w:val="clear"/>
            <w:tcMar>
              <w:top w:type="dxa" w:w="100"/>
              <w:left w:type="dxa" w:w="120"/>
              <w:bottom w:type="dxa" w:w="100"/>
              <w:right w:type="dxa" w:w="120"/>
            </w:tcMar>
          </w:tcPr>
          <w:p>
            <w:pPr>
              <w:jc w:val="right"/>
            </w:pPr>
            <w:r>
              <w:rPr>
                <w:sz w:val="20"/>
                <w:szCs w:val="20"/>
              </w:rPr>
              <w:t xml:space="preserve">10M</w:t>
            </w:r>
          </w:p>
        </w:tc>
      </w:tr>
      <w:tr>
        <w:tc>
          <w:tcPr>
            <w:tcW w:type="dxa" w:w="5400"/>
            <w:shd w:fill="F2F2F2" w:val="clear"/>
            <w:tcMar>
              <w:top w:type="dxa" w:w="100"/>
              <w:left w:type="dxa" w:w="120"/>
              <w:bottom w:type="dxa" w:w="100"/>
              <w:right w:type="dxa" w:w="120"/>
            </w:tcMar>
          </w:tcPr>
          <w:p>
            <w:pPr>
              <w:jc w:val="left"/>
            </w:pPr>
            <w:r>
              <w:rPr>
                <w:sz w:val="20"/>
                <w:szCs w:val="20"/>
              </w:rPr>
              <w:t xml:space="preserve">Furniture</w:t>
            </w:r>
          </w:p>
        </w:tc>
        <w:tc>
          <w:tcPr>
            <w:tcW w:type="dxa" w:w="3960"/>
            <w:shd w:fill="F2F2F2" w:val="clear"/>
            <w:tcMar>
              <w:top w:type="dxa" w:w="100"/>
              <w:left w:type="dxa" w:w="120"/>
              <w:bottom w:type="dxa" w:w="100"/>
              <w:right w:type="dxa" w:w="120"/>
            </w:tcMar>
          </w:tcPr>
          <w:p>
            <w:pPr>
              <w:jc w:val="right"/>
            </w:pPr>
            <w:r>
              <w:rPr>
                <w:sz w:val="20"/>
                <w:szCs w:val="20"/>
              </w:rPr>
              <w:t xml:space="preserve">10M</w:t>
            </w:r>
          </w:p>
        </w:tc>
      </w:tr>
    </w:tbl>
    <w:p>
      <w:pPr>
        <w:spacing w:before="200"/>
      </w:pPr>
    </w:p>
    <w:p>
      <w:pPr>
        <w:spacing w:after="200" w:line="276"/>
      </w:pPr>
      <w:r>
        <w:rPr>
          <w:sz w:val="22"/>
          <w:szCs w:val="22"/>
        </w:rPr>
        <w:t xml:space="preserve">Clothing is the top-performing category at 14M in sales, narrowly ahead of Accessories and Kitchen, which are tied at roughly 13M each. Electronics trails at 11M, while Outdoor and Furniture are the weakest categories, each contributing about 10M. The spread between the strongest and weakest categories is around 4M — roughly 28% lower — indicating category performance is fairly balanced with Clothing as a modest leader rather than one category dominating the mix.</w:t>
      </w:r>
    </w:p>
    <w:p>
      <w:pPr>
        <w:pStyle w:val="Heading1"/>
        <w:pBdr>
          <w:bottom w:val="single" w:color="1F4E78" w:sz="8" w:space="4"/>
        </w:pBdr>
        <w:spacing w:after="200" w:before="400"/>
      </w:pPr>
      <w:r>
        <w:rPr>
          <w:b/>
          <w:bCs/>
          <w:color w:val="1F4E78"/>
          <w:sz w:val="30"/>
          <w:szCs w:val="30"/>
        </w:rPr>
        <w:t xml:space="preserve">6. Monthly Sales Trend Analysis</w:t>
      </w:r>
    </w:p>
    <w:p>
      <w:pPr>
        <w:spacing w:after="200" w:line="276"/>
      </w:pPr>
      <w:r>
        <w:rPr>
          <w:sz w:val="22"/>
          <w:szCs w:val="22"/>
        </w:rPr>
        <w:t xml:space="preserve">Monthly total sales range from a high of about 6.19M down to a low of about 5.60M over the period shown, a spread of roughly 0.6M. The trend line slopes gently downward across the months plotted rather than showing sharp seasonal peaks or troughs, suggesting demand is relatively stable month to month with a mild softening trend rather than pronounced seasonality. This is worth monitoring: a sustained gradual decline, even a small one, can compound over multiple quarters if the underlying cause (e.g. demand saturation, competitive pressure, or reduced marketing activity) is not addressed.</w:t>
      </w:r>
    </w:p>
    <w:p>
      <w:r>
        <w:br w:type="page"/>
      </w:r>
    </w:p>
    <w:p>
      <w:pPr>
        <w:pStyle w:val="Heading1"/>
        <w:pBdr>
          <w:bottom w:val="single" w:color="1F4E78" w:sz="8" w:space="4"/>
        </w:pBdr>
        <w:spacing w:after="200" w:before="400"/>
      </w:pPr>
      <w:r>
        <w:rPr>
          <w:b/>
          <w:bCs/>
          <w:color w:val="1F4E78"/>
          <w:sz w:val="30"/>
          <w:szCs w:val="30"/>
        </w:rPr>
        <w:t xml:space="preserve">7. Regional Sales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shd w:fill="1F4E78" w:val="clear"/>
            <w:tcMar>
              <w:top w:type="dxa" w:w="120"/>
              <w:left w:type="dxa" w:w="120"/>
              <w:bottom w:type="dxa" w:w="120"/>
              <w:right w:type="dxa" w:w="120"/>
            </w:tcMar>
          </w:tcPr>
          <w:p>
            <w:pPr>
              <w:jc w:val="left"/>
            </w:pPr>
            <w:r>
              <w:rPr>
                <w:b/>
                <w:bCs/>
                <w:color w:val="FFFFFF"/>
                <w:sz w:val="20"/>
                <w:szCs w:val="20"/>
              </w:rPr>
              <w:t xml:space="preserve">Region</w:t>
            </w:r>
          </w:p>
        </w:tc>
        <w:tc>
          <w:tcPr>
            <w:tcW w:type="dxa" w:w="3600"/>
            <w:shd w:fill="1F4E78" w:val="clear"/>
            <w:tcMar>
              <w:top w:type="dxa" w:w="120"/>
              <w:left w:type="dxa" w:w="120"/>
              <w:bottom w:type="dxa" w:w="120"/>
              <w:right w:type="dxa" w:w="120"/>
            </w:tcMar>
          </w:tcPr>
          <w:p>
            <w:pPr>
              <w:jc w:val="right"/>
            </w:pPr>
            <w:r>
              <w:rPr>
                <w:b/>
                <w:bCs/>
                <w:color w:val="FFFFFF"/>
                <w:sz w:val="20"/>
                <w:szCs w:val="20"/>
              </w:rPr>
              <w:t xml:space="preserve">Total Sales</w:t>
            </w:r>
          </w:p>
        </w:tc>
        <w:tc>
          <w:tcPr>
            <w:tcW w:type="dxa" w:w="2160"/>
            <w:shd w:fill="1F4E78" w:val="clear"/>
            <w:tcMar>
              <w:top w:type="dxa" w:w="120"/>
              <w:left w:type="dxa" w:w="120"/>
              <w:bottom w:type="dxa" w:w="120"/>
              <w:right w:type="dxa" w:w="120"/>
            </w:tcMar>
          </w:tcPr>
          <w:p>
            <w:pPr>
              <w:jc w:val="right"/>
            </w:pPr>
            <w:r>
              <w:rPr>
                <w:b/>
                <w:bCs/>
                <w:color w:val="FFFFFF"/>
                <w:sz w:val="20"/>
                <w:szCs w:val="20"/>
              </w:rPr>
              <w:t xml:space="preserve">% of Total</w:t>
            </w:r>
          </w:p>
        </w:tc>
      </w:tr>
      <w:tr>
        <w:tc>
          <w:tcPr>
            <w:tcW w:type="dxa" w:w="3600"/>
            <w:shd w:fill="FFFFFF" w:val="clear"/>
            <w:tcMar>
              <w:top w:type="dxa" w:w="100"/>
              <w:left w:type="dxa" w:w="120"/>
              <w:bottom w:type="dxa" w:w="100"/>
              <w:right w:type="dxa" w:w="120"/>
            </w:tcMar>
          </w:tcPr>
          <w:p>
            <w:pPr>
              <w:jc w:val="left"/>
            </w:pPr>
            <w:r>
              <w:rPr>
                <w:sz w:val="20"/>
                <w:szCs w:val="20"/>
              </w:rPr>
              <w:t xml:space="preserve">Central</w:t>
            </w:r>
          </w:p>
        </w:tc>
        <w:tc>
          <w:tcPr>
            <w:tcW w:type="dxa" w:w="3600"/>
            <w:shd w:fill="FFFFFF" w:val="clear"/>
            <w:tcMar>
              <w:top w:type="dxa" w:w="100"/>
              <w:left w:type="dxa" w:w="120"/>
              <w:bottom w:type="dxa" w:w="100"/>
              <w:right w:type="dxa" w:w="120"/>
            </w:tcMar>
          </w:tcPr>
          <w:p>
            <w:pPr>
              <w:jc w:val="right"/>
            </w:pPr>
            <w:r>
              <w:rPr>
                <w:sz w:val="20"/>
                <w:szCs w:val="20"/>
              </w:rPr>
              <w:t xml:space="preserve">14.29M</w:t>
            </w:r>
          </w:p>
        </w:tc>
        <w:tc>
          <w:tcPr>
            <w:tcW w:type="dxa" w:w="2160"/>
            <w:shd w:fill="FFFFFF" w:val="clear"/>
            <w:tcMar>
              <w:top w:type="dxa" w:w="100"/>
              <w:left w:type="dxa" w:w="120"/>
              <w:bottom w:type="dxa" w:w="100"/>
              <w:right w:type="dxa" w:w="120"/>
            </w:tcMar>
          </w:tcPr>
          <w:p>
            <w:pPr>
              <w:jc w:val="right"/>
            </w:pPr>
            <w:r>
              <w:rPr>
                <w:sz w:val="20"/>
                <w:szCs w:val="20"/>
              </w:rPr>
              <w:t xml:space="preserve">20.23%</w:t>
            </w:r>
          </w:p>
        </w:tc>
      </w:tr>
      <w:tr>
        <w:tc>
          <w:tcPr>
            <w:tcW w:type="dxa" w:w="3600"/>
            <w:shd w:fill="F2F2F2" w:val="clear"/>
            <w:tcMar>
              <w:top w:type="dxa" w:w="100"/>
              <w:left w:type="dxa" w:w="120"/>
              <w:bottom w:type="dxa" w:w="100"/>
              <w:right w:type="dxa" w:w="120"/>
            </w:tcMar>
          </w:tcPr>
          <w:p>
            <w:pPr>
              <w:jc w:val="left"/>
            </w:pPr>
            <w:r>
              <w:rPr>
                <w:sz w:val="20"/>
                <w:szCs w:val="20"/>
              </w:rPr>
              <w:t xml:space="preserve">East</w:t>
            </w:r>
          </w:p>
        </w:tc>
        <w:tc>
          <w:tcPr>
            <w:tcW w:type="dxa" w:w="3600"/>
            <w:shd w:fill="F2F2F2" w:val="clear"/>
            <w:tcMar>
              <w:top w:type="dxa" w:w="100"/>
              <w:left w:type="dxa" w:w="120"/>
              <w:bottom w:type="dxa" w:w="100"/>
              <w:right w:type="dxa" w:w="120"/>
            </w:tcMar>
          </w:tcPr>
          <w:p>
            <w:pPr>
              <w:jc w:val="right"/>
            </w:pPr>
            <w:r>
              <w:rPr>
                <w:sz w:val="20"/>
                <w:szCs w:val="20"/>
              </w:rPr>
              <w:t xml:space="preserve">14.16M</w:t>
            </w:r>
          </w:p>
        </w:tc>
        <w:tc>
          <w:tcPr>
            <w:tcW w:type="dxa" w:w="2160"/>
            <w:shd w:fill="F2F2F2" w:val="clear"/>
            <w:tcMar>
              <w:top w:type="dxa" w:w="100"/>
              <w:left w:type="dxa" w:w="120"/>
              <w:bottom w:type="dxa" w:w="100"/>
              <w:right w:type="dxa" w:w="120"/>
            </w:tcMar>
          </w:tcPr>
          <w:p>
            <w:pPr>
              <w:jc w:val="right"/>
            </w:pPr>
            <w:r>
              <w:rPr>
                <w:sz w:val="20"/>
                <w:szCs w:val="20"/>
              </w:rPr>
              <w:t xml:space="preserve">20.04%</w:t>
            </w:r>
          </w:p>
        </w:tc>
      </w:tr>
      <w:tr>
        <w:tc>
          <w:tcPr>
            <w:tcW w:type="dxa" w:w="3600"/>
            <w:shd w:fill="FFFFFF" w:val="clear"/>
            <w:tcMar>
              <w:top w:type="dxa" w:w="100"/>
              <w:left w:type="dxa" w:w="120"/>
              <w:bottom w:type="dxa" w:w="100"/>
              <w:right w:type="dxa" w:w="120"/>
            </w:tcMar>
          </w:tcPr>
          <w:p>
            <w:pPr>
              <w:jc w:val="left"/>
            </w:pPr>
            <w:r>
              <w:rPr>
                <w:sz w:val="20"/>
                <w:szCs w:val="20"/>
              </w:rPr>
              <w:t xml:space="preserve">West</w:t>
            </w:r>
          </w:p>
        </w:tc>
        <w:tc>
          <w:tcPr>
            <w:tcW w:type="dxa" w:w="3600"/>
            <w:shd w:fill="FFFFFF" w:val="clear"/>
            <w:tcMar>
              <w:top w:type="dxa" w:w="100"/>
              <w:left w:type="dxa" w:w="120"/>
              <w:bottom w:type="dxa" w:w="100"/>
              <w:right w:type="dxa" w:w="120"/>
            </w:tcMar>
          </w:tcPr>
          <w:p>
            <w:pPr>
              <w:jc w:val="right"/>
            </w:pPr>
            <w:r>
              <w:rPr>
                <w:sz w:val="20"/>
                <w:szCs w:val="20"/>
              </w:rPr>
              <w:t xml:space="preserve">14.10M</w:t>
            </w:r>
          </w:p>
        </w:tc>
        <w:tc>
          <w:tcPr>
            <w:tcW w:type="dxa" w:w="2160"/>
            <w:shd w:fill="FFFFFF" w:val="clear"/>
            <w:tcMar>
              <w:top w:type="dxa" w:w="100"/>
              <w:left w:type="dxa" w:w="120"/>
              <w:bottom w:type="dxa" w:w="100"/>
              <w:right w:type="dxa" w:w="120"/>
            </w:tcMar>
          </w:tcPr>
          <w:p>
            <w:pPr>
              <w:jc w:val="right"/>
            </w:pPr>
            <w:r>
              <w:rPr>
                <w:sz w:val="20"/>
                <w:szCs w:val="20"/>
              </w:rPr>
              <w:t xml:space="preserve">19.96%</w:t>
            </w:r>
          </w:p>
        </w:tc>
      </w:tr>
      <w:tr>
        <w:tc>
          <w:tcPr>
            <w:tcW w:type="dxa" w:w="3600"/>
            <w:shd w:fill="F2F2F2" w:val="clear"/>
            <w:tcMar>
              <w:top w:type="dxa" w:w="100"/>
              <w:left w:type="dxa" w:w="120"/>
              <w:bottom w:type="dxa" w:w="100"/>
              <w:right w:type="dxa" w:w="120"/>
            </w:tcMar>
          </w:tcPr>
          <w:p>
            <w:pPr>
              <w:jc w:val="left"/>
            </w:pPr>
            <w:r>
              <w:rPr>
                <w:sz w:val="20"/>
                <w:szCs w:val="20"/>
              </w:rPr>
              <w:t xml:space="preserve">North</w:t>
            </w:r>
          </w:p>
        </w:tc>
        <w:tc>
          <w:tcPr>
            <w:tcW w:type="dxa" w:w="3600"/>
            <w:shd w:fill="F2F2F2" w:val="clear"/>
            <w:tcMar>
              <w:top w:type="dxa" w:w="100"/>
              <w:left w:type="dxa" w:w="120"/>
              <w:bottom w:type="dxa" w:w="100"/>
              <w:right w:type="dxa" w:w="120"/>
            </w:tcMar>
          </w:tcPr>
          <w:p>
            <w:pPr>
              <w:jc w:val="right"/>
            </w:pPr>
            <w:r>
              <w:rPr>
                <w:sz w:val="20"/>
                <w:szCs w:val="20"/>
              </w:rPr>
              <w:t xml:space="preserve">14.07M</w:t>
            </w:r>
          </w:p>
        </w:tc>
        <w:tc>
          <w:tcPr>
            <w:tcW w:type="dxa" w:w="2160"/>
            <w:shd w:fill="F2F2F2" w:val="clear"/>
            <w:tcMar>
              <w:top w:type="dxa" w:w="100"/>
              <w:left w:type="dxa" w:w="120"/>
              <w:bottom w:type="dxa" w:w="100"/>
              <w:right w:type="dxa" w:w="120"/>
            </w:tcMar>
          </w:tcPr>
          <w:p>
            <w:pPr>
              <w:jc w:val="right"/>
            </w:pPr>
            <w:r>
              <w:rPr>
                <w:sz w:val="20"/>
                <w:szCs w:val="20"/>
              </w:rPr>
              <w:t xml:space="preserve">19.92%</w:t>
            </w:r>
          </w:p>
        </w:tc>
      </w:tr>
      <w:tr>
        <w:tc>
          <w:tcPr>
            <w:tcW w:type="dxa" w:w="3600"/>
            <w:shd w:fill="FFFFFF" w:val="clear"/>
            <w:tcMar>
              <w:top w:type="dxa" w:w="100"/>
              <w:left w:type="dxa" w:w="120"/>
              <w:bottom w:type="dxa" w:w="100"/>
              <w:right w:type="dxa" w:w="120"/>
            </w:tcMar>
          </w:tcPr>
          <w:p>
            <w:pPr>
              <w:jc w:val="left"/>
            </w:pPr>
            <w:r>
              <w:rPr>
                <w:sz w:val="20"/>
                <w:szCs w:val="20"/>
              </w:rPr>
              <w:t xml:space="preserve">South</w:t>
            </w:r>
          </w:p>
        </w:tc>
        <w:tc>
          <w:tcPr>
            <w:tcW w:type="dxa" w:w="3600"/>
            <w:shd w:fill="FFFFFF" w:val="clear"/>
            <w:tcMar>
              <w:top w:type="dxa" w:w="100"/>
              <w:left w:type="dxa" w:w="120"/>
              <w:bottom w:type="dxa" w:w="100"/>
              <w:right w:type="dxa" w:w="120"/>
            </w:tcMar>
          </w:tcPr>
          <w:p>
            <w:pPr>
              <w:jc w:val="right"/>
            </w:pPr>
            <w:r>
              <w:rPr>
                <w:sz w:val="20"/>
                <w:szCs w:val="20"/>
              </w:rPr>
              <w:t xml:space="preserve">14.02M</w:t>
            </w:r>
          </w:p>
        </w:tc>
        <w:tc>
          <w:tcPr>
            <w:tcW w:type="dxa" w:w="2160"/>
            <w:shd w:fill="FFFFFF" w:val="clear"/>
            <w:tcMar>
              <w:top w:type="dxa" w:w="100"/>
              <w:left w:type="dxa" w:w="120"/>
              <w:bottom w:type="dxa" w:w="100"/>
              <w:right w:type="dxa" w:w="120"/>
            </w:tcMar>
          </w:tcPr>
          <w:p>
            <w:pPr>
              <w:jc w:val="right"/>
            </w:pPr>
            <w:r>
              <w:rPr>
                <w:sz w:val="20"/>
                <w:szCs w:val="20"/>
              </w:rPr>
              <w:t xml:space="preserve">19.85%</w:t>
            </w:r>
          </w:p>
        </w:tc>
      </w:tr>
    </w:tbl>
    <w:p>
      <w:pPr>
        <w:spacing w:before="200"/>
      </w:pPr>
    </w:p>
    <w:p>
      <w:pPr>
        <w:spacing w:after="200" w:line="276"/>
      </w:pPr>
      <w:r>
        <w:rPr>
          <w:sz w:val="22"/>
          <w:szCs w:val="22"/>
        </w:rPr>
        <w:t xml:space="preserve">Regional sales are exceptionally well balanced: all five regions sit within a narrow 19.85%–20.23% share of total sales, each close to the 20% mark expected from an even five-way split. Central leads narrowly at 14.29M (20.23%), while South is the lowest at 14.02M (19.85%) — a gap of only about 270K, under 2%. This even distribution suggests no single region is significantly under-served or over-relied upon, though it also means there is no clear standout region currently driving disproportionate growth.</w:t>
      </w:r>
    </w:p>
    <w:p>
      <w:pPr>
        <w:pStyle w:val="Heading1"/>
        <w:pBdr>
          <w:bottom w:val="single" w:color="1F4E78" w:sz="8" w:space="4"/>
        </w:pBdr>
        <w:spacing w:after="200" w:before="400"/>
      </w:pPr>
      <w:r>
        <w:rPr>
          <w:b/>
          <w:bCs/>
          <w:color w:val="1F4E78"/>
          <w:sz w:val="30"/>
          <w:szCs w:val="30"/>
        </w:rPr>
        <w:t xml:space="preserve">8. Employee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4E78" w:val="clear"/>
            <w:tcMar>
              <w:top w:type="dxa" w:w="120"/>
              <w:left w:type="dxa" w:w="120"/>
              <w:bottom w:type="dxa" w:w="120"/>
              <w:right w:type="dxa" w:w="120"/>
            </w:tcMar>
          </w:tcPr>
          <w:p>
            <w:pPr>
              <w:jc w:val="left"/>
            </w:pPr>
            <w:r>
              <w:rPr>
                <w:b/>
                <w:bCs/>
                <w:color w:val="FFFFFF"/>
                <w:sz w:val="20"/>
                <w:szCs w:val="20"/>
              </w:rPr>
              <w:t xml:space="preserve">Employee Name</w:t>
            </w:r>
          </w:p>
        </w:tc>
        <w:tc>
          <w:tcPr>
            <w:tcW w:type="dxa" w:w="3960"/>
            <w:shd w:fill="1F4E78" w:val="clear"/>
            <w:tcMar>
              <w:top w:type="dxa" w:w="120"/>
              <w:left w:type="dxa" w:w="120"/>
              <w:bottom w:type="dxa" w:w="120"/>
              <w:right w:type="dxa" w:w="120"/>
            </w:tcMar>
          </w:tcPr>
          <w:p>
            <w:pPr>
              <w:jc w:val="right"/>
            </w:pPr>
            <w:r>
              <w:rPr>
                <w:b/>
                <w:bCs/>
                <w:color w:val="FFFFFF"/>
                <w:sz w:val="20"/>
                <w:szCs w:val="20"/>
              </w:rPr>
              <w:t xml:space="preserve">Total Profit</w:t>
            </w:r>
          </w:p>
        </w:tc>
      </w:tr>
      <w:tr>
        <w:tc>
          <w:tcPr>
            <w:tcW w:type="dxa" w:w="5400"/>
            <w:shd w:fill="FFFFFF" w:val="clear"/>
            <w:tcMar>
              <w:top w:type="dxa" w:w="100"/>
              <w:left w:type="dxa" w:w="120"/>
              <w:bottom w:type="dxa" w:w="100"/>
              <w:right w:type="dxa" w:w="120"/>
            </w:tcMar>
          </w:tcPr>
          <w:p>
            <w:pPr>
              <w:jc w:val="left"/>
            </w:pPr>
            <w:r>
              <w:rPr>
                <w:sz w:val="20"/>
                <w:szCs w:val="20"/>
              </w:rPr>
              <w:t xml:space="preserve">Khaled Hassan</w:t>
            </w:r>
          </w:p>
        </w:tc>
        <w:tc>
          <w:tcPr>
            <w:tcW w:type="dxa" w:w="3960"/>
            <w:shd w:fill="FFFFFF" w:val="clear"/>
            <w:tcMar>
              <w:top w:type="dxa" w:w="100"/>
              <w:left w:type="dxa" w:w="120"/>
              <w:bottom w:type="dxa" w:w="100"/>
              <w:right w:type="dxa" w:w="120"/>
            </w:tcMar>
          </w:tcPr>
          <w:p>
            <w:pPr>
              <w:jc w:val="right"/>
            </w:pPr>
            <w:r>
              <w:rPr>
                <w:sz w:val="20"/>
                <w:szCs w:val="20"/>
              </w:rPr>
              <w:t xml:space="preserve">1.0M</w:t>
            </w:r>
          </w:p>
        </w:tc>
      </w:tr>
      <w:tr>
        <w:tc>
          <w:tcPr>
            <w:tcW w:type="dxa" w:w="5400"/>
            <w:shd w:fill="F2F2F2" w:val="clear"/>
            <w:tcMar>
              <w:top w:type="dxa" w:w="100"/>
              <w:left w:type="dxa" w:w="120"/>
              <w:bottom w:type="dxa" w:w="100"/>
              <w:right w:type="dxa" w:w="120"/>
            </w:tcMar>
          </w:tcPr>
          <w:p>
            <w:pPr>
              <w:jc w:val="left"/>
            </w:pPr>
            <w:r>
              <w:rPr>
                <w:sz w:val="20"/>
                <w:szCs w:val="20"/>
              </w:rPr>
              <w:t xml:space="preserve">Omar El-Sayed</w:t>
            </w:r>
          </w:p>
        </w:tc>
        <w:tc>
          <w:tcPr>
            <w:tcW w:type="dxa" w:w="3960"/>
            <w:shd w:fill="F2F2F2" w:val="clear"/>
            <w:tcMar>
              <w:top w:type="dxa" w:w="100"/>
              <w:left w:type="dxa" w:w="120"/>
              <w:bottom w:type="dxa" w:w="100"/>
              <w:right w:type="dxa" w:w="120"/>
            </w:tcMar>
          </w:tcPr>
          <w:p>
            <w:pPr>
              <w:jc w:val="right"/>
            </w:pPr>
            <w:r>
              <w:rPr>
                <w:sz w:val="20"/>
                <w:szCs w:val="20"/>
              </w:rPr>
              <w:t xml:space="preserve">1.0M</w:t>
            </w:r>
          </w:p>
        </w:tc>
      </w:tr>
      <w:tr>
        <w:tc>
          <w:tcPr>
            <w:tcW w:type="dxa" w:w="5400"/>
            <w:shd w:fill="FFFFFF" w:val="clear"/>
            <w:tcMar>
              <w:top w:type="dxa" w:w="100"/>
              <w:left w:type="dxa" w:w="120"/>
              <w:bottom w:type="dxa" w:w="100"/>
              <w:right w:type="dxa" w:w="120"/>
            </w:tcMar>
          </w:tcPr>
          <w:p>
            <w:pPr>
              <w:jc w:val="left"/>
            </w:pPr>
            <w:r>
              <w:rPr>
                <w:sz w:val="20"/>
                <w:szCs w:val="20"/>
              </w:rPr>
              <w:t xml:space="preserve">Hassan El-Sayed</w:t>
            </w:r>
          </w:p>
        </w:tc>
        <w:tc>
          <w:tcPr>
            <w:tcW w:type="dxa" w:w="3960"/>
            <w:shd w:fill="FFFFFF" w:val="clear"/>
            <w:tcMar>
              <w:top w:type="dxa" w:w="100"/>
              <w:left w:type="dxa" w:w="120"/>
              <w:bottom w:type="dxa" w:w="100"/>
              <w:right w:type="dxa" w:w="120"/>
            </w:tcMar>
          </w:tcPr>
          <w:p>
            <w:pPr>
              <w:jc w:val="right"/>
            </w:pPr>
            <w:r>
              <w:rPr>
                <w:sz w:val="20"/>
                <w:szCs w:val="20"/>
              </w:rPr>
              <w:t xml:space="preserve">1.0M</w:t>
            </w:r>
          </w:p>
        </w:tc>
      </w:tr>
      <w:tr>
        <w:tc>
          <w:tcPr>
            <w:tcW w:type="dxa" w:w="5400"/>
            <w:shd w:fill="F2F2F2" w:val="clear"/>
            <w:tcMar>
              <w:top w:type="dxa" w:w="100"/>
              <w:left w:type="dxa" w:w="120"/>
              <w:bottom w:type="dxa" w:w="100"/>
              <w:right w:type="dxa" w:w="120"/>
            </w:tcMar>
          </w:tcPr>
          <w:p>
            <w:pPr>
              <w:jc w:val="left"/>
            </w:pPr>
            <w:r>
              <w:rPr>
                <w:sz w:val="20"/>
                <w:szCs w:val="20"/>
              </w:rPr>
              <w:t xml:space="preserve">Ahmed Ibrahim</w:t>
            </w:r>
          </w:p>
        </w:tc>
        <w:tc>
          <w:tcPr>
            <w:tcW w:type="dxa" w:w="3960"/>
            <w:shd w:fill="F2F2F2" w:val="clear"/>
            <w:tcMar>
              <w:top w:type="dxa" w:w="100"/>
              <w:left w:type="dxa" w:w="120"/>
              <w:bottom w:type="dxa" w:w="100"/>
              <w:right w:type="dxa" w:w="120"/>
            </w:tcMar>
          </w:tcPr>
          <w:p>
            <w:pPr>
              <w:jc w:val="right"/>
            </w:pPr>
            <w:r>
              <w:rPr>
                <w:sz w:val="20"/>
                <w:szCs w:val="20"/>
              </w:rPr>
              <w:t xml:space="preserve">1.0M</w:t>
            </w:r>
          </w:p>
        </w:tc>
      </w:tr>
      <w:tr>
        <w:tc>
          <w:tcPr>
            <w:tcW w:type="dxa" w:w="5400"/>
            <w:shd w:fill="FFFFFF" w:val="clear"/>
            <w:tcMar>
              <w:top w:type="dxa" w:w="100"/>
              <w:left w:type="dxa" w:w="120"/>
              <w:bottom w:type="dxa" w:w="100"/>
              <w:right w:type="dxa" w:w="120"/>
            </w:tcMar>
          </w:tcPr>
          <w:p>
            <w:pPr>
              <w:jc w:val="left"/>
            </w:pPr>
            <w:r>
              <w:rPr>
                <w:sz w:val="20"/>
                <w:szCs w:val="20"/>
              </w:rPr>
              <w:t xml:space="preserve">John Smith</w:t>
            </w:r>
          </w:p>
        </w:tc>
        <w:tc>
          <w:tcPr>
            <w:tcW w:type="dxa" w:w="3960"/>
            <w:shd w:fill="FFFFFF" w:val="clear"/>
            <w:tcMar>
              <w:top w:type="dxa" w:w="100"/>
              <w:left w:type="dxa" w:w="120"/>
              <w:bottom w:type="dxa" w:w="100"/>
              <w:right w:type="dxa" w:w="120"/>
            </w:tcMar>
          </w:tcPr>
          <w:p>
            <w:pPr>
              <w:jc w:val="right"/>
            </w:pPr>
            <w:r>
              <w:rPr>
                <w:sz w:val="20"/>
                <w:szCs w:val="20"/>
              </w:rPr>
              <w:t xml:space="preserve">1.0M</w:t>
            </w:r>
          </w:p>
        </w:tc>
      </w:tr>
      <w:tr>
        <w:tc>
          <w:tcPr>
            <w:tcW w:type="dxa" w:w="5400"/>
            <w:shd w:fill="F2F2F2" w:val="clear"/>
            <w:tcMar>
              <w:top w:type="dxa" w:w="100"/>
              <w:left w:type="dxa" w:w="120"/>
              <w:bottom w:type="dxa" w:w="100"/>
              <w:right w:type="dxa" w:w="120"/>
            </w:tcMar>
          </w:tcPr>
          <w:p>
            <w:pPr>
              <w:jc w:val="left"/>
            </w:pPr>
            <w:r>
              <w:rPr>
                <w:sz w:val="20"/>
                <w:szCs w:val="20"/>
              </w:rPr>
              <w:t xml:space="preserve">Nora Garcia</w:t>
            </w:r>
          </w:p>
        </w:tc>
        <w:tc>
          <w:tcPr>
            <w:tcW w:type="dxa" w:w="3960"/>
            <w:shd w:fill="F2F2F2" w:val="clear"/>
            <w:tcMar>
              <w:top w:type="dxa" w:w="100"/>
              <w:left w:type="dxa" w:w="120"/>
              <w:bottom w:type="dxa" w:w="100"/>
              <w:right w:type="dxa" w:w="120"/>
            </w:tcMar>
          </w:tcPr>
          <w:p>
            <w:pPr>
              <w:jc w:val="right"/>
            </w:pPr>
            <w:r>
              <w:rPr>
                <w:sz w:val="20"/>
                <w:szCs w:val="20"/>
              </w:rPr>
              <w:t xml:space="preserve">0.5M</w:t>
            </w:r>
          </w:p>
        </w:tc>
      </w:tr>
      <w:tr>
        <w:tc>
          <w:tcPr>
            <w:tcW w:type="dxa" w:w="5400"/>
            <w:shd w:fill="FFFFFF" w:val="clear"/>
            <w:tcMar>
              <w:top w:type="dxa" w:w="100"/>
              <w:left w:type="dxa" w:w="120"/>
              <w:bottom w:type="dxa" w:w="100"/>
              <w:right w:type="dxa" w:w="120"/>
            </w:tcMar>
          </w:tcPr>
          <w:p>
            <w:pPr>
              <w:jc w:val="left"/>
            </w:pPr>
            <w:r>
              <w:rPr>
                <w:sz w:val="20"/>
                <w:szCs w:val="20"/>
              </w:rPr>
              <w:t xml:space="preserve">Fatima John...</w:t>
            </w:r>
          </w:p>
        </w:tc>
        <w:tc>
          <w:tcPr>
            <w:tcW w:type="dxa" w:w="3960"/>
            <w:shd w:fill="FFFFFF" w:val="clear"/>
            <w:tcMar>
              <w:top w:type="dxa" w:w="100"/>
              <w:left w:type="dxa" w:w="120"/>
              <w:bottom w:type="dxa" w:w="100"/>
              <w:right w:type="dxa" w:w="120"/>
            </w:tcMar>
          </w:tcPr>
          <w:p>
            <w:pPr>
              <w:jc w:val="right"/>
            </w:pPr>
            <w:r>
              <w:rPr>
                <w:sz w:val="20"/>
                <w:szCs w:val="20"/>
              </w:rPr>
              <w:t xml:space="preserve">0.5M</w:t>
            </w:r>
          </w:p>
        </w:tc>
      </w:tr>
    </w:tbl>
    <w:p>
      <w:pPr>
        <w:spacing w:before="200"/>
      </w:pPr>
    </w:p>
    <w:p>
      <w:pPr>
        <w:spacing w:after="200" w:line="276"/>
      </w:pPr>
      <w:r>
        <w:rPr>
          <w:sz w:val="22"/>
          <w:szCs w:val="22"/>
        </w:rPr>
        <w:t xml:space="preserve">Five employees — Khaled Hassan, Omar El-Sayed, Hassan El-Sayed, Ahmed Ibrahim and John Smith — each generate approximately 1.0M in profit and form a clear top performance tier. Nora Garcia and Fatima John... trail noticeably at around 0.5M each, roughly half the profit contribution of the top tier. This gap is worth investigating: it may reflect differences in tenure, territory or account size rather than effort, but it is large enough (50%) to warrant a closer look before drawing conclusions.</w:t>
      </w:r>
    </w:p>
    <w:p>
      <w:r>
        <w:br w:type="page"/>
      </w:r>
    </w:p>
    <w:p>
      <w:pPr>
        <w:pStyle w:val="Heading1"/>
        <w:pBdr>
          <w:bottom w:val="single" w:color="1F4E78" w:sz="8" w:space="4"/>
        </w:pBdr>
        <w:spacing w:after="200" w:before="400"/>
      </w:pPr>
      <w:r>
        <w:rPr>
          <w:b/>
          <w:bCs/>
          <w:color w:val="1F4E78"/>
          <w:sz w:val="30"/>
          <w:szCs w:val="30"/>
        </w:rPr>
        <w:t xml:space="preserve">9. Business Recommendations</w:t>
      </w:r>
    </w:p>
    <w:p>
      <w:pPr>
        <w:pStyle w:val="Heading2"/>
        <w:spacing w:after="120" w:before="240"/>
      </w:pPr>
      <w:r>
        <w:rPr>
          <w:b/>
          <w:bCs/>
          <w:color w:val="1F4E78"/>
          <w:sz w:val="24"/>
          <w:szCs w:val="24"/>
        </w:rPr>
        <w:t xml:space="preserve">Inventory Planning</w:t>
      </w:r>
    </w:p>
    <w:p>
      <w:pPr>
        <w:pStyle w:val="ListParagraph"/>
        <w:numPr>
          <w:ilvl w:val="0"/>
          <w:numId w:val="1"/>
        </w:numPr>
        <w:spacing w:after="100"/>
      </w:pPr>
      <w:r>
        <w:rPr>
          <w:sz w:val="22"/>
          <w:szCs w:val="22"/>
        </w:rPr>
        <w:t xml:space="preserve">Prioritize stock and reorder frequency for Clothing, Accessories and Kitchen — the top three categories account for the bulk of sales, and stockouts here carry the highest opportunity cost.</w:t>
      </w:r>
    </w:p>
    <w:p>
      <w:pPr>
        <w:pStyle w:val="ListParagraph"/>
        <w:numPr>
          <w:ilvl w:val="0"/>
          <w:numId w:val="1"/>
        </w:numPr>
        <w:spacing w:after="100"/>
      </w:pPr>
      <w:r>
        <w:rPr>
          <w:sz w:val="22"/>
          <w:szCs w:val="22"/>
        </w:rPr>
        <w:t xml:space="preserve">Review Outdoor and Furniture inventory levels; their lower sales volume (10M each) may allow for leaner stock without risking availability.</w:t>
      </w:r>
    </w:p>
    <w:p>
      <w:pPr>
        <w:pStyle w:val="Heading2"/>
        <w:spacing w:after="120" w:before="240"/>
      </w:pPr>
      <w:r>
        <w:rPr>
          <w:b/>
          <w:bCs/>
          <w:color w:val="1F4E78"/>
          <w:sz w:val="24"/>
          <w:szCs w:val="24"/>
        </w:rPr>
        <w:t xml:space="preserve">Marketing Strategy</w:t>
      </w:r>
    </w:p>
    <w:p>
      <w:pPr>
        <w:pStyle w:val="ListParagraph"/>
        <w:numPr>
          <w:ilvl w:val="0"/>
          <w:numId w:val="1"/>
        </w:numPr>
        <w:spacing w:after="100"/>
      </w:pPr>
      <w:r>
        <w:rPr>
          <w:sz w:val="22"/>
          <w:szCs w:val="22"/>
        </w:rPr>
        <w:t xml:space="preserve">Investigate the cause of the gentle month-over-month sales decline (6.19M down to 5.60M) — check whether it lines up with reduced promotional spend, pricing changes, or increased competition.</w:t>
      </w:r>
    </w:p>
    <w:p>
      <w:pPr>
        <w:pStyle w:val="ListParagraph"/>
        <w:numPr>
          <w:ilvl w:val="0"/>
          <w:numId w:val="1"/>
        </w:numPr>
        <w:spacing w:after="100"/>
      </w:pPr>
      <w:r>
        <w:rPr>
          <w:sz w:val="22"/>
          <w:szCs w:val="22"/>
        </w:rPr>
        <w:t xml:space="preserve">Consider a targeted campaign to re-accelerate growth, since no strong seasonal peak is currently offsetting the downward drift.</w:t>
      </w:r>
    </w:p>
    <w:p>
      <w:pPr>
        <w:pStyle w:val="Heading2"/>
        <w:spacing w:after="120" w:before="240"/>
      </w:pPr>
      <w:r>
        <w:rPr>
          <w:b/>
          <w:bCs/>
          <w:color w:val="1F4E78"/>
          <w:sz w:val="24"/>
          <w:szCs w:val="24"/>
        </w:rPr>
        <w:t xml:space="preserve">Regional Expansion</w:t>
      </w:r>
    </w:p>
    <w:p>
      <w:pPr>
        <w:pStyle w:val="ListParagraph"/>
        <w:numPr>
          <w:ilvl w:val="0"/>
          <w:numId w:val="1"/>
        </w:numPr>
        <w:spacing w:after="100"/>
      </w:pPr>
      <w:r>
        <w:rPr>
          <w:sz w:val="22"/>
          <w:szCs w:val="22"/>
        </w:rPr>
        <w:t xml:space="preserve">Because all five regions perform within a tight 19.85%–20.23% band, there is no urgent regional gap to close; instead, evaluate whether any region has untapped market size that could unlock growth beyond the current even split.</w:t>
      </w:r>
    </w:p>
    <w:p>
      <w:pPr>
        <w:pStyle w:val="ListParagraph"/>
        <w:numPr>
          <w:ilvl w:val="0"/>
          <w:numId w:val="1"/>
        </w:numPr>
        <w:spacing w:after="100"/>
      </w:pPr>
      <w:r>
        <w:rPr>
          <w:sz w:val="22"/>
          <w:szCs w:val="22"/>
        </w:rPr>
        <w:t xml:space="preserve">South (19.85%) is the softest region — a small, low-risk pilot campaign there could test whether it has more headroom than the other regions.</w:t>
      </w:r>
    </w:p>
    <w:p>
      <w:pPr>
        <w:pStyle w:val="Heading2"/>
        <w:spacing w:after="120" w:before="240"/>
      </w:pPr>
      <w:r>
        <w:rPr>
          <w:b/>
          <w:bCs/>
          <w:color w:val="1F4E78"/>
          <w:sz w:val="24"/>
          <w:szCs w:val="24"/>
        </w:rPr>
        <w:t xml:space="preserve">Employee Performance</w:t>
      </w:r>
    </w:p>
    <w:p>
      <w:pPr>
        <w:pStyle w:val="ListParagraph"/>
        <w:numPr>
          <w:ilvl w:val="0"/>
          <w:numId w:val="1"/>
        </w:numPr>
        <w:spacing w:after="100"/>
      </w:pPr>
      <w:r>
        <w:rPr>
          <w:sz w:val="22"/>
          <w:szCs w:val="22"/>
        </w:rPr>
        <w:t xml:space="preserve">Pair Nora Garcia and Fatima John... with top performers (Khaled Hassan, Omar El-Sayed, Hassan El-Sayed, Ahmed Ibrahim, John Smith) for mentoring, since the top tier generates roughly double the profit.</w:t>
      </w:r>
    </w:p>
    <w:p>
      <w:pPr>
        <w:pStyle w:val="ListParagraph"/>
        <w:numPr>
          <w:ilvl w:val="0"/>
          <w:numId w:val="1"/>
        </w:numPr>
        <w:spacing w:after="100"/>
      </w:pPr>
      <w:r>
        <w:rPr>
          <w:sz w:val="22"/>
          <w:szCs w:val="22"/>
        </w:rPr>
        <w:t xml:space="preserve">Review whether the gap is due to account/territory assignment rather than performance before adjusting incentive structures.</w:t>
      </w:r>
    </w:p>
    <w:p>
      <w:pPr>
        <w:pStyle w:val="Heading2"/>
        <w:spacing w:after="120" w:before="240"/>
      </w:pPr>
      <w:r>
        <w:rPr>
          <w:b/>
          <w:bCs/>
          <w:color w:val="1F4E78"/>
          <w:sz w:val="24"/>
          <w:szCs w:val="24"/>
        </w:rPr>
        <w:t xml:space="preserve">Product Portfolio</w:t>
      </w:r>
    </w:p>
    <w:p>
      <w:pPr>
        <w:pStyle w:val="ListParagraph"/>
        <w:numPr>
          <w:ilvl w:val="0"/>
          <w:numId w:val="1"/>
        </w:numPr>
        <w:spacing w:after="100"/>
      </w:pPr>
      <w:r>
        <w:rPr>
          <w:sz w:val="22"/>
          <w:szCs w:val="22"/>
        </w:rPr>
        <w:t xml:space="preserve">Products such as ACC-CHA-018 (787,438.28 in sales, 380,474.84 in profit — roughly a 48% margin) are strong candidates to feature more prominently or bundle with lower-margin items.</w:t>
      </w:r>
    </w:p>
    <w:p>
      <w:pPr>
        <w:pStyle w:val="ListParagraph"/>
        <w:numPr>
          <w:ilvl w:val="0"/>
          <w:numId w:val="1"/>
        </w:numPr>
        <w:spacing w:after="100"/>
      </w:pPr>
      <w:r>
        <w:rPr>
          <w:sz w:val="22"/>
          <w:szCs w:val="22"/>
        </w:rPr>
        <w:t xml:space="preserve">Low-margin products such as ACC-CAS-055 (112,782.02 in sales but only 11,427.02 in profit, about a 10% margin) should be reviewed for pricing or cost adjustments.</w:t>
      </w:r>
    </w:p>
    <w:p>
      <w:pPr>
        <w:pStyle w:val="Heading2"/>
        <w:spacing w:after="120" w:before="240"/>
      </w:pPr>
      <w:r>
        <w:rPr>
          <w:b/>
          <w:bCs/>
          <w:color w:val="1F4E78"/>
          <w:sz w:val="24"/>
          <w:szCs w:val="24"/>
        </w:rPr>
        <w:t xml:space="preserve">Customer Targeting</w:t>
      </w:r>
    </w:p>
    <w:p>
      <w:pPr>
        <w:pStyle w:val="ListParagraph"/>
        <w:numPr>
          <w:ilvl w:val="0"/>
          <w:numId w:val="1"/>
        </w:numPr>
        <w:spacing w:after="100"/>
      </w:pPr>
      <w:r>
        <w:rPr>
          <w:sz w:val="22"/>
          <w:szCs w:val="22"/>
        </w:rPr>
        <w:t xml:space="preserve">Use the balanced regional split to run consistent, nationwide campaigns rather than region-specific ones, since no region is significantly underperforming.</w:t>
      </w:r>
    </w:p>
    <w:p>
      <w:pPr>
        <w:pStyle w:val="ListParagraph"/>
        <w:numPr>
          <w:ilvl w:val="0"/>
          <w:numId w:val="1"/>
        </w:numPr>
        <w:spacing w:after="100"/>
      </w:pPr>
      <w:r>
        <w:rPr>
          <w:sz w:val="22"/>
          <w:szCs w:val="22"/>
        </w:rPr>
        <w:t xml:space="preserve">Target promotions around the Clothing, Accessories and Kitchen categories, where customer demand is demonstrably strongest.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e9e6223d271b12833e5889d4ac2e9c405750a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2026-09-17T07:32:58.393Z</dcterms:created>
  <dcterms:modified xsi:type="dcterms:W3CDTF">2026-09-17T07:32:58.403Z</dcterms:modified>
</cp:coreProperties>
</file>

<file path=docProps/custom.xml><?xml version="1.0" encoding="utf-8"?>
<Properties xmlns="http://schemas.openxmlformats.org/officeDocument/2006/custom-properties" xmlns:vt="http://schemas.openxmlformats.org/officeDocument/2006/docPropsVTypes"/>
</file>