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Project Design Phase</w:t>
      </w:r>
    </w:p>
    <w:p>
      <w:pPr>
        <w:jc w:val="center"/>
      </w:pPr>
      <w:r>
        <w:rPr>
          <w:b/>
          <w:sz w:val="30"/>
        </w:rPr>
        <w:t>Proposed Solution Template</w:t>
      </w:r>
    </w:p>
    <w:p>
      <w:pPr>
        <w:jc w:val="center"/>
      </w:pPr>
      <w:r>
        <w:rPr>
          <w:color w:val="5A5A5A"/>
          <w:sz w:val="20"/>
        </w:rPr>
        <w:t>ServiceNow-Based Employee Laptop Request Application</w:t>
      </w:r>
    </w:p>
    <w:p/>
    <w:tbl>
      <w:tblPr>
        <w:tblW w:type="auto" w:w="0"/>
        <w:jc w:val="center"/>
        <w:tblLayout w:type="fixed"/>
        <w:tblLook w:firstColumn="1" w:firstRow="1" w:lastColumn="0" w:lastRow="0" w:noHBand="0" w:noVBand="1" w:val="04A0"/>
      </w:tblPr>
      <w:tblGrid>
        <w:gridCol w:w="3552"/>
        <w:gridCol w:w="3552"/>
        <w:gridCol w:w="3552"/>
      </w:tblGrid>
      <w:tr>
        <w:tc>
          <w:tcPr>
            <w:tcW w:type="dxa" w:w="792"/>
            <w:vAlign w:val="top"/>
            <w:tcMar>
              <w:top w:w="90" w:type="dxa"/>
              <w:start w:w="90" w:type="dxa"/>
              <w:bottom w:w="90" w:type="dxa"/>
              <w:end w:w="90" w:type="dxa"/>
            </w:tcMar>
            <w:tcBorders>
              <w:top w:val="single" w:sz="8" w:space="0" w:color="808080"/>
              <w:left w:val="single" w:sz="8" w:space="0" w:color="808080"/>
              <w:bottom w:val="single" w:sz="8" w:space="0" w:color="808080"/>
              <w:right w:val="single" w:sz="8" w:space="0" w:color="808080"/>
            </w:tcBorders>
            <w:shd w:fill="4472C4"/>
          </w:tcPr>
          <w:p>
            <w:pPr>
              <w:spacing w:after="0"/>
            </w:pPr>
            <w:r/>
            <w:r>
              <w:rPr>
                <w:b/>
                <w:color w:val="FFFFFF"/>
                <w:sz w:val="18"/>
              </w:rPr>
              <w:t>S.No.</w:t>
            </w:r>
          </w:p>
        </w:tc>
        <w:tc>
          <w:tcPr>
            <w:tcW w:type="dxa" w:w="3528"/>
            <w:vAlign w:val="top"/>
            <w:tcMar>
              <w:top w:w="90" w:type="dxa"/>
              <w:start w:w="90" w:type="dxa"/>
              <w:bottom w:w="90" w:type="dxa"/>
              <w:end w:w="90" w:type="dxa"/>
            </w:tcMar>
            <w:tcBorders>
              <w:top w:val="single" w:sz="8" w:space="0" w:color="808080"/>
              <w:left w:val="single" w:sz="8" w:space="0" w:color="808080"/>
              <w:bottom w:val="single" w:sz="8" w:space="0" w:color="808080"/>
              <w:right w:val="single" w:sz="8" w:space="0" w:color="808080"/>
            </w:tcBorders>
            <w:shd w:fill="4472C4"/>
          </w:tcPr>
          <w:p>
            <w:pPr>
              <w:spacing w:after="0"/>
            </w:pPr>
            <w:r/>
            <w:r>
              <w:rPr>
                <w:b/>
                <w:color w:val="FFFFFF"/>
                <w:sz w:val="18"/>
              </w:rPr>
              <w:t>Parameter</w:t>
            </w:r>
          </w:p>
        </w:tc>
        <w:tc>
          <w:tcPr>
            <w:tcW w:type="dxa" w:w="7056"/>
            <w:vAlign w:val="top"/>
            <w:tcMar>
              <w:top w:w="90" w:type="dxa"/>
              <w:start w:w="90" w:type="dxa"/>
              <w:bottom w:w="90" w:type="dxa"/>
              <w:end w:w="90" w:type="dxa"/>
            </w:tcMar>
            <w:tcBorders>
              <w:top w:val="single" w:sz="8" w:space="0" w:color="808080"/>
              <w:left w:val="single" w:sz="8" w:space="0" w:color="808080"/>
              <w:bottom w:val="single" w:sz="8" w:space="0" w:color="808080"/>
              <w:right w:val="single" w:sz="8" w:space="0" w:color="808080"/>
            </w:tcBorders>
            <w:shd w:fill="4472C4"/>
          </w:tcPr>
          <w:p>
            <w:pPr>
              <w:spacing w:after="0"/>
            </w:pPr>
            <w:r/>
            <w:r>
              <w:rPr>
                <w:b/>
                <w:color w:val="FFFFFF"/>
                <w:sz w:val="18"/>
              </w:rPr>
              <w:t>Description</w:t>
            </w:r>
          </w:p>
        </w:tc>
      </w:tr>
      <w:tr>
        <w:tc>
          <w:tcPr>
            <w:tcW w:type="dxa" w:w="792"/>
            <w:vAlign w:val="top"/>
            <w:tcMar>
              <w:top w:w="90" w:type="dxa"/>
              <w:start w:w="90" w:type="dxa"/>
              <w:bottom w:w="90" w:type="dxa"/>
              <w:end w:w="90" w:type="dxa"/>
            </w:tcMar>
            <w:tcBorders>
              <w:top w:val="single" w:sz="8" w:space="0" w:color="808080"/>
              <w:left w:val="single" w:sz="8" w:space="0" w:color="808080"/>
              <w:bottom w:val="single" w:sz="8" w:space="0" w:color="808080"/>
              <w:right w:val="single" w:sz="8" w:space="0" w:color="808080"/>
            </w:tcBorders>
          </w:tcPr>
          <w:p>
            <w:pPr>
              <w:spacing w:after="0"/>
            </w:pPr>
            <w:r/>
            <w:r>
              <w:rPr>
                <w:b/>
                <w:color w:val="1F3756"/>
                <w:sz w:val="17"/>
              </w:rPr>
              <w:t>1</w:t>
            </w:r>
          </w:p>
        </w:tc>
        <w:tc>
          <w:tcPr>
            <w:tcW w:type="dxa" w:w="3528"/>
            <w:vAlign w:val="top"/>
            <w:tcMar>
              <w:top w:w="90" w:type="dxa"/>
              <w:start w:w="90" w:type="dxa"/>
              <w:bottom w:w="90" w:type="dxa"/>
              <w:end w:w="90" w:type="dxa"/>
            </w:tcMar>
            <w:tcBorders>
              <w:top w:val="single" w:sz="8" w:space="0" w:color="808080"/>
              <w:left w:val="single" w:sz="8" w:space="0" w:color="808080"/>
              <w:bottom w:val="single" w:sz="8" w:space="0" w:color="808080"/>
              <w:right w:val="single" w:sz="8" w:space="0" w:color="808080"/>
            </w:tcBorders>
          </w:tcPr>
          <w:p>
            <w:pPr>
              <w:spacing w:after="0"/>
            </w:pPr>
            <w:r/>
            <w:r>
              <w:rPr>
                <w:b/>
                <w:color w:val="1F3756"/>
                <w:sz w:val="17"/>
              </w:rPr>
              <w:t>Problem Statement (Problem to be solved)</w:t>
            </w:r>
          </w:p>
        </w:tc>
        <w:tc>
          <w:tcPr>
            <w:tcW w:type="dxa" w:w="7056"/>
            <w:vAlign w:val="top"/>
            <w:tcMar>
              <w:top w:w="90" w:type="dxa"/>
              <w:start w:w="90" w:type="dxa"/>
              <w:bottom w:w="90" w:type="dxa"/>
              <w:end w:w="90" w:type="dxa"/>
            </w:tcMar>
            <w:tcBorders>
              <w:top w:val="single" w:sz="8" w:space="0" w:color="808080"/>
              <w:left w:val="single" w:sz="8" w:space="0" w:color="808080"/>
              <w:bottom w:val="single" w:sz="8" w:space="0" w:color="808080"/>
              <w:right w:val="single" w:sz="8" w:space="0" w:color="808080"/>
            </w:tcBorders>
          </w:tcPr>
          <w:p>
            <w:pPr>
              <w:spacing w:after="0"/>
            </w:pPr>
            <w:r/>
            <w:r>
              <w:rPr>
                <w:color w:val="232323"/>
                <w:sz w:val="17"/>
              </w:rPr>
              <w:t>Employees need a standardized way to request laptops. Manual email/verbal requests make tracking, approval, duplicate prevention and status visibility difficult for employees, managers and IT.</w:t>
            </w:r>
          </w:p>
        </w:tc>
      </w:tr>
      <w:tr>
        <w:tc>
          <w:tcPr>
            <w:tcW w:type="dxa" w:w="792"/>
            <w:vAlign w:val="top"/>
            <w:tcMar>
              <w:top w:w="90" w:type="dxa"/>
              <w:start w:w="90" w:type="dxa"/>
              <w:bottom w:w="90" w:type="dxa"/>
              <w:end w:w="90" w:type="dxa"/>
            </w:tcMar>
            <w:tcBorders>
              <w:top w:val="single" w:sz="8" w:space="0" w:color="808080"/>
              <w:left w:val="single" w:sz="8" w:space="0" w:color="808080"/>
              <w:bottom w:val="single" w:sz="8" w:space="0" w:color="808080"/>
              <w:right w:val="single" w:sz="8" w:space="0" w:color="808080"/>
            </w:tcBorders>
            <w:shd w:fill="F2F6FA"/>
          </w:tcPr>
          <w:p>
            <w:pPr>
              <w:spacing w:after="0"/>
            </w:pPr>
            <w:r/>
            <w:r>
              <w:rPr>
                <w:b/>
                <w:color w:val="1F3756"/>
                <w:sz w:val="17"/>
              </w:rPr>
              <w:t>2</w:t>
            </w:r>
          </w:p>
        </w:tc>
        <w:tc>
          <w:tcPr>
            <w:tcW w:type="dxa" w:w="3528"/>
            <w:vAlign w:val="top"/>
            <w:tcMar>
              <w:top w:w="90" w:type="dxa"/>
              <w:start w:w="90" w:type="dxa"/>
              <w:bottom w:w="90" w:type="dxa"/>
              <w:end w:w="90" w:type="dxa"/>
            </w:tcMar>
            <w:tcBorders>
              <w:top w:val="single" w:sz="8" w:space="0" w:color="808080"/>
              <w:left w:val="single" w:sz="8" w:space="0" w:color="808080"/>
              <w:bottom w:val="single" w:sz="8" w:space="0" w:color="808080"/>
              <w:right w:val="single" w:sz="8" w:space="0" w:color="808080"/>
            </w:tcBorders>
            <w:shd w:fill="F2F6FA"/>
          </w:tcPr>
          <w:p>
            <w:pPr>
              <w:spacing w:after="0"/>
            </w:pPr>
            <w:r/>
            <w:r>
              <w:rPr>
                <w:b/>
                <w:color w:val="1F3756"/>
                <w:sz w:val="17"/>
              </w:rPr>
              <w:t>Idea / Solution description</w:t>
            </w:r>
          </w:p>
        </w:tc>
        <w:tc>
          <w:tcPr>
            <w:tcW w:type="dxa" w:w="7056"/>
            <w:vAlign w:val="top"/>
            <w:tcMar>
              <w:top w:w="90" w:type="dxa"/>
              <w:start w:w="90" w:type="dxa"/>
              <w:bottom w:w="90" w:type="dxa"/>
              <w:end w:w="90" w:type="dxa"/>
            </w:tcMar>
            <w:tcBorders>
              <w:top w:val="single" w:sz="8" w:space="0" w:color="808080"/>
              <w:left w:val="single" w:sz="8" w:space="0" w:color="808080"/>
              <w:bottom w:val="single" w:sz="8" w:space="0" w:color="808080"/>
              <w:right w:val="single" w:sz="8" w:space="0" w:color="808080"/>
            </w:tcBorders>
            <w:shd w:fill="F2F6FA"/>
          </w:tcPr>
          <w:p>
            <w:pPr>
              <w:spacing w:after="0"/>
            </w:pPr>
            <w:r/>
            <w:r>
              <w:rPr>
                <w:color w:val="232323"/>
                <w:sz w:val="17"/>
              </w:rPr>
              <w:t>Build a ServiceNow-Based Employee Laptop Request Application. Employees submit a Record Producer request with requester/manager details, Basic or Advance laptop type and reason. A Business Rule prevents duplicate requests within the same year. Flow Designer routes the request for manager approval, updates status and sends notifications.</w:t>
            </w:r>
          </w:p>
        </w:tc>
      </w:tr>
      <w:tr>
        <w:tc>
          <w:tcPr>
            <w:tcW w:type="dxa" w:w="792"/>
            <w:vAlign w:val="top"/>
            <w:tcMar>
              <w:top w:w="90" w:type="dxa"/>
              <w:start w:w="90" w:type="dxa"/>
              <w:bottom w:w="90" w:type="dxa"/>
              <w:end w:w="90" w:type="dxa"/>
            </w:tcMar>
            <w:tcBorders>
              <w:top w:val="single" w:sz="8" w:space="0" w:color="808080"/>
              <w:left w:val="single" w:sz="8" w:space="0" w:color="808080"/>
              <w:bottom w:val="single" w:sz="8" w:space="0" w:color="808080"/>
              <w:right w:val="single" w:sz="8" w:space="0" w:color="808080"/>
            </w:tcBorders>
          </w:tcPr>
          <w:p>
            <w:pPr>
              <w:spacing w:after="0"/>
            </w:pPr>
            <w:r/>
            <w:r>
              <w:rPr>
                <w:b/>
                <w:color w:val="1F3756"/>
                <w:sz w:val="17"/>
              </w:rPr>
              <w:t>3</w:t>
            </w:r>
          </w:p>
        </w:tc>
        <w:tc>
          <w:tcPr>
            <w:tcW w:type="dxa" w:w="3528"/>
            <w:vAlign w:val="top"/>
            <w:tcMar>
              <w:top w:w="90" w:type="dxa"/>
              <w:start w:w="90" w:type="dxa"/>
              <w:bottom w:w="90" w:type="dxa"/>
              <w:end w:w="90" w:type="dxa"/>
            </w:tcMar>
            <w:tcBorders>
              <w:top w:val="single" w:sz="8" w:space="0" w:color="808080"/>
              <w:left w:val="single" w:sz="8" w:space="0" w:color="808080"/>
              <w:bottom w:val="single" w:sz="8" w:space="0" w:color="808080"/>
              <w:right w:val="single" w:sz="8" w:space="0" w:color="808080"/>
            </w:tcBorders>
          </w:tcPr>
          <w:p>
            <w:pPr>
              <w:spacing w:after="0"/>
            </w:pPr>
            <w:r/>
            <w:r>
              <w:rPr>
                <w:b/>
                <w:color w:val="1F3756"/>
                <w:sz w:val="17"/>
              </w:rPr>
              <w:t>Novelty / Uniqueness</w:t>
            </w:r>
          </w:p>
        </w:tc>
        <w:tc>
          <w:tcPr>
            <w:tcW w:type="dxa" w:w="7056"/>
            <w:vAlign w:val="top"/>
            <w:tcMar>
              <w:top w:w="90" w:type="dxa"/>
              <w:start w:w="90" w:type="dxa"/>
              <w:bottom w:w="90" w:type="dxa"/>
              <w:end w:w="90" w:type="dxa"/>
            </w:tcMar>
            <w:tcBorders>
              <w:top w:val="single" w:sz="8" w:space="0" w:color="808080"/>
              <w:left w:val="single" w:sz="8" w:space="0" w:color="808080"/>
              <w:bottom w:val="single" w:sz="8" w:space="0" w:color="808080"/>
              <w:right w:val="single" w:sz="8" w:space="0" w:color="808080"/>
            </w:tcBorders>
          </w:tcPr>
          <w:p>
            <w:pPr>
              <w:spacing w:after="0"/>
            </w:pPr>
            <w:r/>
            <w:r>
              <w:rPr>
                <w:color w:val="232323"/>
                <w:sz w:val="17"/>
              </w:rPr>
              <w:t>Combines a centralized ServiceNow request form with yearly duplicate-request prevention, automated manager approval, status tracking, notifications and role/ACL-based access control in one workflow.</w:t>
            </w:r>
          </w:p>
        </w:tc>
      </w:tr>
      <w:tr>
        <w:tc>
          <w:tcPr>
            <w:tcW w:type="dxa" w:w="792"/>
            <w:vAlign w:val="top"/>
            <w:tcMar>
              <w:top w:w="90" w:type="dxa"/>
              <w:start w:w="90" w:type="dxa"/>
              <w:bottom w:w="90" w:type="dxa"/>
              <w:end w:w="90" w:type="dxa"/>
            </w:tcMar>
            <w:tcBorders>
              <w:top w:val="single" w:sz="8" w:space="0" w:color="808080"/>
              <w:left w:val="single" w:sz="8" w:space="0" w:color="808080"/>
              <w:bottom w:val="single" w:sz="8" w:space="0" w:color="808080"/>
              <w:right w:val="single" w:sz="8" w:space="0" w:color="808080"/>
            </w:tcBorders>
            <w:shd w:fill="F2F6FA"/>
          </w:tcPr>
          <w:p>
            <w:pPr>
              <w:spacing w:after="0"/>
            </w:pPr>
            <w:r/>
            <w:r>
              <w:rPr>
                <w:b/>
                <w:color w:val="1F3756"/>
                <w:sz w:val="17"/>
              </w:rPr>
              <w:t>4</w:t>
            </w:r>
          </w:p>
        </w:tc>
        <w:tc>
          <w:tcPr>
            <w:tcW w:type="dxa" w:w="3528"/>
            <w:vAlign w:val="top"/>
            <w:tcMar>
              <w:top w:w="90" w:type="dxa"/>
              <w:start w:w="90" w:type="dxa"/>
              <w:bottom w:w="90" w:type="dxa"/>
              <w:end w:w="90" w:type="dxa"/>
            </w:tcMar>
            <w:tcBorders>
              <w:top w:val="single" w:sz="8" w:space="0" w:color="808080"/>
              <w:left w:val="single" w:sz="8" w:space="0" w:color="808080"/>
              <w:bottom w:val="single" w:sz="8" w:space="0" w:color="808080"/>
              <w:right w:val="single" w:sz="8" w:space="0" w:color="808080"/>
            </w:tcBorders>
            <w:shd w:fill="F2F6FA"/>
          </w:tcPr>
          <w:p>
            <w:pPr>
              <w:spacing w:after="0"/>
            </w:pPr>
            <w:r/>
            <w:r>
              <w:rPr>
                <w:b/>
                <w:color w:val="1F3756"/>
                <w:sz w:val="17"/>
              </w:rPr>
              <w:t>Social Impact / Customer Satisfaction</w:t>
            </w:r>
          </w:p>
        </w:tc>
        <w:tc>
          <w:tcPr>
            <w:tcW w:type="dxa" w:w="7056"/>
            <w:vAlign w:val="top"/>
            <w:tcMar>
              <w:top w:w="90" w:type="dxa"/>
              <w:start w:w="90" w:type="dxa"/>
              <w:bottom w:w="90" w:type="dxa"/>
              <w:end w:w="90" w:type="dxa"/>
            </w:tcMar>
            <w:tcBorders>
              <w:top w:val="single" w:sz="8" w:space="0" w:color="808080"/>
              <w:left w:val="single" w:sz="8" w:space="0" w:color="808080"/>
              <w:bottom w:val="single" w:sz="8" w:space="0" w:color="808080"/>
              <w:right w:val="single" w:sz="8" w:space="0" w:color="808080"/>
            </w:tcBorders>
            <w:shd w:fill="F2F6FA"/>
          </w:tcPr>
          <w:p>
            <w:pPr>
              <w:spacing w:after="0"/>
            </w:pPr>
            <w:r/>
            <w:r>
              <w:rPr>
                <w:color w:val="232323"/>
                <w:sz w:val="17"/>
              </w:rPr>
              <w:t>Provides a clearer and more consistent request experience, reduces manual follow-up, improves transparency and accountability, and helps employees and managers understand the request status.</w:t>
            </w:r>
          </w:p>
        </w:tc>
      </w:tr>
      <w:tr>
        <w:tc>
          <w:tcPr>
            <w:tcW w:type="dxa" w:w="792"/>
            <w:vAlign w:val="top"/>
            <w:tcMar>
              <w:top w:w="90" w:type="dxa"/>
              <w:start w:w="90" w:type="dxa"/>
              <w:bottom w:w="90" w:type="dxa"/>
              <w:end w:w="90" w:type="dxa"/>
            </w:tcMar>
            <w:tcBorders>
              <w:top w:val="single" w:sz="8" w:space="0" w:color="808080"/>
              <w:left w:val="single" w:sz="8" w:space="0" w:color="808080"/>
              <w:bottom w:val="single" w:sz="8" w:space="0" w:color="808080"/>
              <w:right w:val="single" w:sz="8" w:space="0" w:color="808080"/>
            </w:tcBorders>
          </w:tcPr>
          <w:p>
            <w:pPr>
              <w:spacing w:after="0"/>
            </w:pPr>
            <w:r/>
            <w:r>
              <w:rPr>
                <w:b/>
                <w:color w:val="1F3756"/>
                <w:sz w:val="17"/>
              </w:rPr>
              <w:t>5</w:t>
            </w:r>
          </w:p>
        </w:tc>
        <w:tc>
          <w:tcPr>
            <w:tcW w:type="dxa" w:w="3528"/>
            <w:vAlign w:val="top"/>
            <w:tcMar>
              <w:top w:w="90" w:type="dxa"/>
              <w:start w:w="90" w:type="dxa"/>
              <w:bottom w:w="90" w:type="dxa"/>
              <w:end w:w="90" w:type="dxa"/>
            </w:tcMar>
            <w:tcBorders>
              <w:top w:val="single" w:sz="8" w:space="0" w:color="808080"/>
              <w:left w:val="single" w:sz="8" w:space="0" w:color="808080"/>
              <w:bottom w:val="single" w:sz="8" w:space="0" w:color="808080"/>
              <w:right w:val="single" w:sz="8" w:space="0" w:color="808080"/>
            </w:tcBorders>
          </w:tcPr>
          <w:p>
            <w:pPr>
              <w:spacing w:after="0"/>
            </w:pPr>
            <w:r/>
            <w:r>
              <w:rPr>
                <w:b/>
                <w:color w:val="1F3756"/>
                <w:sz w:val="17"/>
              </w:rPr>
              <w:t>Business Model (Revenue Model)</w:t>
            </w:r>
          </w:p>
        </w:tc>
        <w:tc>
          <w:tcPr>
            <w:tcW w:type="dxa" w:w="7056"/>
            <w:vAlign w:val="top"/>
            <w:tcMar>
              <w:top w:w="90" w:type="dxa"/>
              <w:start w:w="90" w:type="dxa"/>
              <w:bottom w:w="90" w:type="dxa"/>
              <w:end w:w="90" w:type="dxa"/>
            </w:tcMar>
            <w:tcBorders>
              <w:top w:val="single" w:sz="8" w:space="0" w:color="808080"/>
              <w:left w:val="single" w:sz="8" w:space="0" w:color="808080"/>
              <w:bottom w:val="single" w:sz="8" w:space="0" w:color="808080"/>
              <w:right w:val="single" w:sz="8" w:space="0" w:color="808080"/>
            </w:tcBorders>
          </w:tcPr>
          <w:p>
            <w:pPr>
              <w:spacing w:after="0"/>
            </w:pPr>
            <w:r/>
            <w:r>
              <w:rPr>
                <w:color w:val="232323"/>
                <w:sz w:val="17"/>
              </w:rPr>
              <w:t>This is an internal enterprise workflow solution. No direct revenue model is specified in the project material. Its business value comes from reducing manual effort, improving process control and supporting efficient IT service operations.</w:t>
            </w:r>
          </w:p>
        </w:tc>
      </w:tr>
      <w:tr>
        <w:tc>
          <w:tcPr>
            <w:tcW w:type="dxa" w:w="792"/>
            <w:vAlign w:val="top"/>
            <w:tcMar>
              <w:top w:w="90" w:type="dxa"/>
              <w:start w:w="90" w:type="dxa"/>
              <w:bottom w:w="90" w:type="dxa"/>
              <w:end w:w="90" w:type="dxa"/>
            </w:tcMar>
            <w:tcBorders>
              <w:top w:val="single" w:sz="8" w:space="0" w:color="808080"/>
              <w:left w:val="single" w:sz="8" w:space="0" w:color="808080"/>
              <w:bottom w:val="single" w:sz="8" w:space="0" w:color="808080"/>
              <w:right w:val="single" w:sz="8" w:space="0" w:color="808080"/>
            </w:tcBorders>
            <w:shd w:fill="F2F6FA"/>
          </w:tcPr>
          <w:p>
            <w:pPr>
              <w:spacing w:after="0"/>
            </w:pPr>
            <w:r/>
            <w:r>
              <w:rPr>
                <w:b/>
                <w:color w:val="1F3756"/>
                <w:sz w:val="17"/>
              </w:rPr>
              <w:t>6</w:t>
            </w:r>
          </w:p>
        </w:tc>
        <w:tc>
          <w:tcPr>
            <w:tcW w:type="dxa" w:w="3528"/>
            <w:vAlign w:val="top"/>
            <w:tcMar>
              <w:top w:w="90" w:type="dxa"/>
              <w:start w:w="90" w:type="dxa"/>
              <w:bottom w:w="90" w:type="dxa"/>
              <w:end w:w="90" w:type="dxa"/>
            </w:tcMar>
            <w:tcBorders>
              <w:top w:val="single" w:sz="8" w:space="0" w:color="808080"/>
              <w:left w:val="single" w:sz="8" w:space="0" w:color="808080"/>
              <w:bottom w:val="single" w:sz="8" w:space="0" w:color="808080"/>
              <w:right w:val="single" w:sz="8" w:space="0" w:color="808080"/>
            </w:tcBorders>
            <w:shd w:fill="F2F6FA"/>
          </w:tcPr>
          <w:p>
            <w:pPr>
              <w:spacing w:after="0"/>
            </w:pPr>
            <w:r/>
            <w:r>
              <w:rPr>
                <w:b/>
                <w:color w:val="1F3756"/>
                <w:sz w:val="17"/>
              </w:rPr>
              <w:t>Scalability of the Solution</w:t>
            </w:r>
          </w:p>
        </w:tc>
        <w:tc>
          <w:tcPr>
            <w:tcW w:type="dxa" w:w="7056"/>
            <w:vAlign w:val="top"/>
            <w:tcMar>
              <w:top w:w="90" w:type="dxa"/>
              <w:start w:w="90" w:type="dxa"/>
              <w:bottom w:w="90" w:type="dxa"/>
              <w:end w:w="90" w:type="dxa"/>
            </w:tcMar>
            <w:tcBorders>
              <w:top w:val="single" w:sz="8" w:space="0" w:color="808080"/>
              <w:left w:val="single" w:sz="8" w:space="0" w:color="808080"/>
              <w:bottom w:val="single" w:sz="8" w:space="0" w:color="808080"/>
              <w:right w:val="single" w:sz="8" w:space="0" w:color="808080"/>
            </w:tcBorders>
            <w:shd w:fill="F2F6FA"/>
          </w:tcPr>
          <w:p>
            <w:pPr>
              <w:spacing w:after="0"/>
            </w:pPr>
            <w:r/>
            <w:r>
              <w:rPr>
                <w:color w:val="232323"/>
                <w:sz w:val="17"/>
              </w:rPr>
              <w:t>The ServiceNow platform can support increased request volume. The solution can be extended with dashboards, reporting, asset/provisioning integration, richer notifications and additional IT service-management automation.</w:t>
            </w:r>
          </w:p>
        </w:tc>
      </w:tr>
    </w:tbl>
    <w:p>
      <w:pPr>
        <w:jc w:val="center"/>
      </w:pPr>
      <w:r>
        <w:rPr>
          <w:i/>
          <w:color w:val="828282"/>
          <w:sz w:val="14"/>
        </w:rPr>
        <w:t>Date / Team ID / Maximum Marks fields removed as requested.</w:t>
      </w:r>
    </w:p>
    <w:sectPr w:rsidR="00FC693F" w:rsidRPr="0006063C" w:rsidSect="00034616">
      <w:pgSz w:w="12240" w:h="15840"/>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