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Survey &amp; Retargeting: AI Agent vs. Traditional Automation</w:t>
      </w:r>
    </w:p>
    <w:p>
      <w:r>
        <w:t>This section provides a detailed, side-by-side flow comparison of how survey collection and retargeting are handled using Traditional Automation vs. an AI-Powered Recruitment Agent, including real-world practices.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Process Step</w:t>
            </w:r>
          </w:p>
        </w:tc>
        <w:tc>
          <w:tcPr>
            <w:tcW w:type="dxa" w:w="2160"/>
          </w:tcPr>
          <w:p>
            <w:r>
              <w:t>Traditional Automation</w:t>
            </w:r>
          </w:p>
        </w:tc>
        <w:tc>
          <w:tcPr>
            <w:tcW w:type="dxa" w:w="2160"/>
          </w:tcPr>
          <w:p>
            <w:r>
              <w:t>AI-Powered Agent</w:t>
            </w:r>
          </w:p>
        </w:tc>
        <w:tc>
          <w:tcPr>
            <w:tcW w:type="dxa" w:w="2160"/>
          </w:tcPr>
          <w:p>
            <w:r>
              <w:t>Real-World Example / Impact</w:t>
            </w:r>
          </w:p>
        </w:tc>
      </w:tr>
      <w:tr>
        <w:tc>
          <w:tcPr>
            <w:tcW w:type="dxa" w:w="2160"/>
          </w:tcPr>
          <w:p>
            <w:r>
              <w:t>Triggering the Survey</w:t>
            </w:r>
          </w:p>
        </w:tc>
        <w:tc>
          <w:tcPr>
            <w:tcW w:type="dxa" w:w="2160"/>
          </w:tcPr>
          <w:p>
            <w:r>
              <w:t>Manual workflow rules or email campaign tools like SurveyMonkey</w:t>
            </w:r>
          </w:p>
        </w:tc>
        <w:tc>
          <w:tcPr>
            <w:tcW w:type="dxa" w:w="2160"/>
          </w:tcPr>
          <w:p>
            <w:r>
              <w:t>Automatically triggered inside the agent post-screening, based on context and trial</w:t>
            </w:r>
          </w:p>
        </w:tc>
        <w:tc>
          <w:tcPr>
            <w:tcW w:type="dxa" w:w="2160"/>
          </w:tcPr>
          <w:p>
            <w:r>
              <w:t>SurveyMonkey email open rates are low; agent-triggered in-chat surveys have higher completion</w:t>
            </w:r>
          </w:p>
        </w:tc>
      </w:tr>
      <w:tr>
        <w:tc>
          <w:tcPr>
            <w:tcW w:type="dxa" w:w="2160"/>
          </w:tcPr>
          <w:p>
            <w:r>
              <w:t>Survey Personalization</w:t>
            </w:r>
          </w:p>
        </w:tc>
        <w:tc>
          <w:tcPr>
            <w:tcW w:type="dxa" w:w="2160"/>
          </w:tcPr>
          <w:p>
            <w:r>
              <w:t>Same set of questions for all patients regardless of outcome or experience</w:t>
            </w:r>
          </w:p>
        </w:tc>
        <w:tc>
          <w:tcPr>
            <w:tcW w:type="dxa" w:w="2160"/>
          </w:tcPr>
          <w:p>
            <w:r>
              <w:t>Personalized based on patient flow (eligible, not eligible, abandoned, etc.)</w:t>
            </w:r>
          </w:p>
        </w:tc>
        <w:tc>
          <w:tcPr>
            <w:tcW w:type="dxa" w:w="2160"/>
          </w:tcPr>
          <w:p>
            <w:r>
              <w:t>Patients who dropped at consent get a short 2-question UX feedback survey in AI flow</w:t>
            </w:r>
          </w:p>
        </w:tc>
      </w:tr>
      <w:tr>
        <w:tc>
          <w:tcPr>
            <w:tcW w:type="dxa" w:w="2160"/>
          </w:tcPr>
          <w:p>
            <w:r>
              <w:t>Response Collection</w:t>
            </w:r>
          </w:p>
        </w:tc>
        <w:tc>
          <w:tcPr>
            <w:tcW w:type="dxa" w:w="2160"/>
          </w:tcPr>
          <w:p>
            <w:r>
              <w:t>Responses stored in separate system, often requiring export for analysis</w:t>
            </w:r>
          </w:p>
        </w:tc>
        <w:tc>
          <w:tcPr>
            <w:tcW w:type="dxa" w:w="2160"/>
          </w:tcPr>
          <w:p>
            <w:r>
              <w:t>Captured in real time, structured with tags for feedback type and trial</w:t>
            </w:r>
          </w:p>
        </w:tc>
        <w:tc>
          <w:tcPr>
            <w:tcW w:type="dxa" w:w="2160"/>
          </w:tcPr>
          <w:p>
            <w:r>
              <w:t>AI flags common issues instantly (e.g., long medication lists causing confusion)</w:t>
            </w:r>
          </w:p>
        </w:tc>
      </w:tr>
      <w:tr>
        <w:tc>
          <w:tcPr>
            <w:tcW w:type="dxa" w:w="2160"/>
          </w:tcPr>
          <w:p>
            <w:r>
              <w:t>Action Based on Feedback</w:t>
            </w:r>
          </w:p>
        </w:tc>
        <w:tc>
          <w:tcPr>
            <w:tcW w:type="dxa" w:w="2160"/>
          </w:tcPr>
          <w:p>
            <w:r>
              <w:t>Manual review by coordinators or analytics team, often delayed</w:t>
            </w:r>
          </w:p>
        </w:tc>
        <w:tc>
          <w:tcPr>
            <w:tcW w:type="dxa" w:w="2160"/>
          </w:tcPr>
          <w:p>
            <w:r>
              <w:t>System suggests edits to flow, alerts team when issues trend across patients</w:t>
            </w:r>
          </w:p>
        </w:tc>
        <w:tc>
          <w:tcPr>
            <w:tcW w:type="dxa" w:w="2160"/>
          </w:tcPr>
          <w:p>
            <w:r>
              <w:t>AI recommends shortening Q4 after 30% drop-off rate detected in COPD trial</w:t>
            </w:r>
          </w:p>
        </w:tc>
      </w:tr>
      <w:tr>
        <w:tc>
          <w:tcPr>
            <w:tcW w:type="dxa" w:w="2160"/>
          </w:tcPr>
          <w:p>
            <w:r>
              <w:t>Retargeting Trigger</w:t>
            </w:r>
          </w:p>
        </w:tc>
        <w:tc>
          <w:tcPr>
            <w:tcW w:type="dxa" w:w="2160"/>
          </w:tcPr>
          <w:p>
            <w:r>
              <w:t>Done manually or via separate re-marketing lists maintained in spreadsheets or CRM</w:t>
            </w:r>
          </w:p>
        </w:tc>
        <w:tc>
          <w:tcPr>
            <w:tcW w:type="dxa" w:w="2160"/>
          </w:tcPr>
          <w:p>
            <w:r>
              <w:t>Automatically tracks disqualified patients and matches them to new trials when opened</w:t>
            </w:r>
          </w:p>
        </w:tc>
        <w:tc>
          <w:tcPr>
            <w:tcW w:type="dxa" w:w="2160"/>
          </w:tcPr>
          <w:p>
            <w:r>
              <w:t>AI re-engages eczema patients not eligible earlier once a new site opens in their city</w:t>
            </w:r>
          </w:p>
        </w:tc>
      </w:tr>
      <w:tr>
        <w:tc>
          <w:tcPr>
            <w:tcW w:type="dxa" w:w="2160"/>
          </w:tcPr>
          <w:p>
            <w:r>
              <w:t>Reason Logging</w:t>
            </w:r>
          </w:p>
        </w:tc>
        <w:tc>
          <w:tcPr>
            <w:tcW w:type="dxa" w:w="2160"/>
          </w:tcPr>
          <w:p>
            <w:r>
              <w:t>Limited tracking of why patient was ineligible; often lost in free text or notes</w:t>
            </w:r>
          </w:p>
        </w:tc>
        <w:tc>
          <w:tcPr>
            <w:tcW w:type="dxa" w:w="2160"/>
          </w:tcPr>
          <w:p>
            <w:r>
              <w:t>System tags structured disqualification reasons: age, location, condition mismatch</w:t>
            </w:r>
          </w:p>
        </w:tc>
        <w:tc>
          <w:tcPr>
            <w:tcW w:type="dxa" w:w="2160"/>
          </w:tcPr>
          <w:p>
            <w:r>
              <w:t>Improves sponsor reports on screen-failure reasons and eligibility patterning</w:t>
            </w:r>
          </w:p>
        </w:tc>
      </w:tr>
      <w:tr>
        <w:tc>
          <w:tcPr>
            <w:tcW w:type="dxa" w:w="2160"/>
          </w:tcPr>
          <w:p>
            <w:r>
              <w:t>Outreach for Future Trials</w:t>
            </w:r>
          </w:p>
        </w:tc>
        <w:tc>
          <w:tcPr>
            <w:tcW w:type="dxa" w:w="2160"/>
          </w:tcPr>
          <w:p>
            <w:r>
              <w:t>Manual outreach by staff via email or call center campaigns</w:t>
            </w:r>
          </w:p>
        </w:tc>
        <w:tc>
          <w:tcPr>
            <w:tcW w:type="dxa" w:w="2160"/>
          </w:tcPr>
          <w:p>
            <w:r>
              <w:t>AI automatically notifies patient when matched trial opens, including location and sponsor info</w:t>
            </w:r>
          </w:p>
        </w:tc>
        <w:tc>
          <w:tcPr>
            <w:tcW w:type="dxa" w:w="2160"/>
          </w:tcPr>
          <w:p>
            <w:r>
              <w:t>AI agent sends message: 'A new asthma study is now available in your area. Want to check eligibility again?'</w:t>
            </w:r>
          </w:p>
        </w:tc>
      </w:tr>
      <w:tr>
        <w:tc>
          <w:tcPr>
            <w:tcW w:type="dxa" w:w="2160"/>
          </w:tcPr>
          <w:p>
            <w:r>
              <w:t>Data Use in Study Optimization</w:t>
            </w:r>
          </w:p>
        </w:tc>
        <w:tc>
          <w:tcPr>
            <w:tcW w:type="dxa" w:w="2160"/>
          </w:tcPr>
          <w:p>
            <w:r>
              <w:t>Only after full trial report is generated or study closes</w:t>
            </w:r>
          </w:p>
        </w:tc>
        <w:tc>
          <w:tcPr>
            <w:tcW w:type="dxa" w:w="2160"/>
          </w:tcPr>
          <w:p>
            <w:r>
              <w:t>Real-time trends inform current recruitment and future study design</w:t>
            </w:r>
          </w:p>
        </w:tc>
        <w:tc>
          <w:tcPr>
            <w:tcW w:type="dxa" w:w="2160"/>
          </w:tcPr>
          <w:p>
            <w:r>
              <w:t>PMO team uses drop-off data across 4 sites to improve protocol feasibility for next sponsor proposal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