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595959"/>
          <w:sz w:val="32"/>
          <w:szCs w:val="32"/>
        </w:rPr>
        <w:t xml:space="preserve">TOPIC</w:t>
      </w:r>
    </w:p>
    <w:p>
      <w:pPr>
        <w:spacing w:after="600"/>
        <w:jc w:val="center"/>
      </w:pPr>
      <w:r>
        <w:rPr>
          <w:b/>
          <w:bCs/>
          <w:color w:val="6B3FA0"/>
          <w:sz w:val="44"/>
          <w:szCs w:val="44"/>
        </w:rPr>
        <w:t xml:space="preserve">Northwind Interactive Sales Dashboard – Power BI Business Insight Report</w:t>
      </w:r>
    </w:p>
    <w:p>
      <w:pPr>
        <w:spacing w:after="100" w:before="900"/>
        <w:jc w:val="center"/>
      </w:pPr>
      <w:r>
        <w:rPr>
          <w:b/>
          <w:bCs/>
          <w:color w:val="1F1F1F"/>
          <w:sz w:val="26"/>
          <w:szCs w:val="26"/>
        </w:rPr>
        <w:t xml:space="preserve">Name: T. Prasanth</w:t>
      </w:r>
    </w:p>
    <w:p>
      <w:pPr>
        <w:spacing w:after="100"/>
        <w:jc w:val="center"/>
      </w:pPr>
      <w:r>
        <w:rPr>
          <w:b/>
          <w:bCs/>
          <w:color w:val="1F1F1F"/>
          <w:sz w:val="26"/>
          <w:szCs w:val="26"/>
        </w:rPr>
        <w:t xml:space="preserve">Roll No: 5272510217</w:t>
      </w:r>
    </w:p>
    <w:p>
      <w:pPr>
        <w:spacing w:after="100" w:before="200"/>
        <w:jc w:val="center"/>
      </w:pPr>
      <w:r>
        <w:rPr>
          <w:i/>
          <w:iCs/>
          <w:color w:val="595959"/>
          <w:sz w:val="22"/>
          <w:szCs w:val="22"/>
        </w:rPr>
        <w:t xml:space="preserve">Dataset: DATASET 3 (Northwind Sales)</w:t>
      </w:r>
    </w:p>
    <w:p>
      <w:pPr>
        <w:spacing w:after="100"/>
        <w:jc w:val="center"/>
      </w:pPr>
      <w:r>
        <w:rPr>
          <w:i/>
          <w:iCs/>
          <w:color w:val="595959"/>
          <w:sz w:val="22"/>
          <w:szCs w:val="22"/>
        </w:rPr>
        <w:t xml:space="preserve">Tool: Microsoft Power BI Desktop</w:t>
      </w:r>
    </w:p>
    <w:p>
      <w:r>
        <w:br w:type="page"/>
      </w:r>
    </w:p>
    <w:p>
      <w:pPr>
        <w:spacing w:after="40"/>
        <w:jc w:val="center"/>
      </w:pPr>
      <w:r>
        <w:rPr>
          <w:b/>
          <w:bCs/>
          <w:color w:val="6B3FA0"/>
          <w:sz w:val="40"/>
          <w:szCs w:val="40"/>
        </w:rPr>
        <w:t xml:space="preserve">NORTHWIND INTERACTIVE SALES DASHBOARD</w:t>
      </w:r>
    </w:p>
    <w:p>
      <w:pPr>
        <w:spacing w:after="40"/>
        <w:jc w:val="center"/>
      </w:pPr>
      <w:r>
        <w:rPr>
          <w:b/>
          <w:bCs/>
          <w:color w:val="2E9E9E"/>
          <w:sz w:val="26"/>
          <w:szCs w:val="26"/>
        </w:rPr>
        <w:t xml:space="preserve">Power BI Business Insight Report</w:t>
      </w:r>
    </w:p>
    <w:p>
      <w:pPr>
        <w:spacing w:after="260"/>
        <w:jc w:val="center"/>
      </w:pPr>
      <w:r>
        <w:rPr>
          <w:i/>
          <w:iCs/>
          <w:color w:val="595959"/>
          <w:sz w:val="20"/>
          <w:szCs w:val="20"/>
        </w:rPr>
        <w:t xml:space="preserve">Dataset: DATASET 3 (Northwind Sales) | Tool: Microsoft Power BI Desktop</w:t>
      </w:r>
    </w:p>
    <w:p>
      <w:pPr>
        <w:pStyle w:val="Heading2"/>
        <w:spacing w:after="120" w:before="240"/>
      </w:pPr>
      <w:r>
        <w:rPr>
          <w:b/>
          <w:bCs/>
          <w:color w:val="2E9E9E"/>
          <w:sz w:val="24"/>
          <w:szCs w:val="24"/>
        </w:rPr>
        <w:t xml:space="preserve">Dashboard Overview</w:t>
      </w:r>
    </w:p>
    <w:p>
      <w:pPr>
        <w:spacing w:after="120"/>
      </w:pPr>
      <w:r>
        <w:rPr>
          <w:color w:val="1F1F1F"/>
          <w:sz w:val="22"/>
          <w:szCs w:val="22"/>
        </w:rPr>
        <w:t xml:space="preserve">The Power BI report contains four pages: Sales Overview, Product &amp; Customer Analysis, Interactive Sales Dashboard, and a Tool tip page. Across these pages, six KPI cards summarise the business at a glance:</w:t>
      </w:r>
    </w:p>
    <w:tbl>
      <w:tblPr>
        <w:tblW w:type="dxa" w:w="9000"/>
        <w:tblBorders>
          <w:top w:val="single" w:color="CBBEDD" w:sz="4"/>
          <w:left w:val="single" w:color="CBBEDD" w:sz="4"/>
          <w:bottom w:val="single" w:color="CBBEDD" w:sz="4"/>
          <w:right w:val="single" w:color="CBBEDD" w:sz="4"/>
          <w:insideH w:val="single" w:color="CBBEDD" w:sz="4"/>
          <w:insideV w:val="single" w:color="CBBEDD" w:sz="4"/>
        </w:tblBorders>
      </w:tblPr>
      <w:tblGrid>
        <w:gridCol w:w="5000"/>
        <w:gridCol w:w="4000"/>
      </w:tblGrid>
      <w:tr>
        <w:trPr>
          <w:tblHeader/>
        </w:trPr>
        <w:tc>
          <w:tcPr>
            <w:tcW w:type="dxa" w:w="5000"/>
            <w:shd w:fill="6B3FA0" w:val="clear"/>
            <w:tcMar>
              <w:top w:type="dxa" w:w="100"/>
              <w:left w:type="dxa" w:w="120"/>
              <w:bottom w:type="dxa" w:w="100"/>
              <w:right w:type="dxa" w:w="120"/>
            </w:tcMar>
          </w:tcPr>
          <w:p>
            <w:r>
              <w:rPr>
                <w:b/>
                <w:bCs/>
                <w:color w:val="FFFFFF"/>
                <w:sz w:val="20"/>
                <w:szCs w:val="20"/>
              </w:rPr>
              <w:t xml:space="preserve">KPI</w:t>
            </w:r>
          </w:p>
        </w:tc>
        <w:tc>
          <w:tcPr>
            <w:tcW w:type="dxa" w:w="4000"/>
            <w:shd w:fill="6B3FA0" w:val="clear"/>
            <w:tcMar>
              <w:top w:type="dxa" w:w="100"/>
              <w:left w:type="dxa" w:w="120"/>
              <w:bottom w:type="dxa" w:w="100"/>
              <w:right w:type="dxa" w:w="120"/>
            </w:tcMar>
          </w:tcPr>
          <w:p>
            <w:r>
              <w:rPr>
                <w:b/>
                <w:bCs/>
                <w:color w:val="FFFFFF"/>
                <w:sz w:val="20"/>
                <w:szCs w:val="20"/>
              </w:rPr>
              <w:t xml:space="preserve">Value</w:t>
            </w:r>
          </w:p>
        </w:tc>
      </w:tr>
      <w:tr>
        <w:tc>
          <w:tcPr>
            <w:tcW w:type="dxa" w:w="5000"/>
            <w:shd w:fill="FFFFFF" w:val="clear"/>
            <w:tcMar>
              <w:top w:type="dxa" w:w="90"/>
              <w:left w:type="dxa" w:w="120"/>
              <w:bottom w:type="dxa" w:w="90"/>
              <w:right w:type="dxa" w:w="120"/>
            </w:tcMar>
          </w:tcPr>
          <w:p>
            <w:r>
              <w:rPr>
                <w:color w:val="1F1F1F"/>
                <w:sz w:val="20"/>
                <w:szCs w:val="20"/>
              </w:rPr>
              <w:t xml:space="preserve">Total Sales</w:t>
            </w:r>
          </w:p>
        </w:tc>
        <w:tc>
          <w:tcPr>
            <w:tcW w:type="dxa" w:w="4000"/>
            <w:shd w:fill="FFFFFF" w:val="clear"/>
            <w:tcMar>
              <w:top w:type="dxa" w:w="90"/>
              <w:left w:type="dxa" w:w="120"/>
              <w:bottom w:type="dxa" w:w="90"/>
              <w:right w:type="dxa" w:w="120"/>
            </w:tcMar>
          </w:tcPr>
          <w:p>
            <w:r>
              <w:rPr>
                <w:color w:val="1F1F1F"/>
                <w:sz w:val="20"/>
                <w:szCs w:val="20"/>
              </w:rPr>
              <w:t xml:space="preserve">1.27M</w:t>
            </w:r>
          </w:p>
        </w:tc>
      </w:tr>
      <w:tr>
        <w:tc>
          <w:tcPr>
            <w:tcW w:type="dxa" w:w="5000"/>
            <w:shd w:fill="F5F1FA" w:val="clear"/>
            <w:tcMar>
              <w:top w:type="dxa" w:w="90"/>
              <w:left w:type="dxa" w:w="120"/>
              <w:bottom w:type="dxa" w:w="90"/>
              <w:right w:type="dxa" w:w="120"/>
            </w:tcMar>
          </w:tcPr>
          <w:p>
            <w:r>
              <w:rPr>
                <w:color w:val="1F1F1F"/>
                <w:sz w:val="20"/>
                <w:szCs w:val="20"/>
              </w:rPr>
              <w:t xml:space="preserve">Total Orders</w:t>
            </w:r>
          </w:p>
        </w:tc>
        <w:tc>
          <w:tcPr>
            <w:tcW w:type="dxa" w:w="4000"/>
            <w:shd w:fill="F5F1FA" w:val="clear"/>
            <w:tcMar>
              <w:top w:type="dxa" w:w="90"/>
              <w:left w:type="dxa" w:w="120"/>
              <w:bottom w:type="dxa" w:w="90"/>
              <w:right w:type="dxa" w:w="120"/>
            </w:tcMar>
          </w:tcPr>
          <w:p>
            <w:r>
              <w:rPr>
                <w:color w:val="1F1F1F"/>
                <w:sz w:val="20"/>
                <w:szCs w:val="20"/>
              </w:rPr>
              <w:t xml:space="preserve">809</w:t>
            </w:r>
          </w:p>
        </w:tc>
      </w:tr>
      <w:tr>
        <w:tc>
          <w:tcPr>
            <w:tcW w:type="dxa" w:w="5000"/>
            <w:shd w:fill="FFFFFF" w:val="clear"/>
            <w:tcMar>
              <w:top w:type="dxa" w:w="90"/>
              <w:left w:type="dxa" w:w="120"/>
              <w:bottom w:type="dxa" w:w="90"/>
              <w:right w:type="dxa" w:w="120"/>
            </w:tcMar>
          </w:tcPr>
          <w:p>
            <w:r>
              <w:rPr>
                <w:color w:val="1F1F1F"/>
                <w:sz w:val="20"/>
                <w:szCs w:val="20"/>
              </w:rPr>
              <w:t xml:space="preserve">Total Quantity Sold</w:t>
            </w:r>
          </w:p>
        </w:tc>
        <w:tc>
          <w:tcPr>
            <w:tcW w:type="dxa" w:w="4000"/>
            <w:shd w:fill="FFFFFF" w:val="clear"/>
            <w:tcMar>
              <w:top w:type="dxa" w:w="90"/>
              <w:left w:type="dxa" w:w="120"/>
              <w:bottom w:type="dxa" w:w="90"/>
              <w:right w:type="dxa" w:w="120"/>
            </w:tcMar>
          </w:tcPr>
          <w:p>
            <w:r>
              <w:rPr>
                <w:color w:val="1F1F1F"/>
                <w:sz w:val="20"/>
                <w:szCs w:val="20"/>
              </w:rPr>
              <w:t xml:space="preserve">51K</w:t>
            </w:r>
          </w:p>
        </w:tc>
      </w:tr>
      <w:tr>
        <w:tc>
          <w:tcPr>
            <w:tcW w:type="dxa" w:w="5000"/>
            <w:shd w:fill="F5F1FA" w:val="clear"/>
            <w:tcMar>
              <w:top w:type="dxa" w:w="90"/>
              <w:left w:type="dxa" w:w="120"/>
              <w:bottom w:type="dxa" w:w="90"/>
              <w:right w:type="dxa" w:w="120"/>
            </w:tcMar>
          </w:tcPr>
          <w:p>
            <w:r>
              <w:rPr>
                <w:color w:val="1F1F1F"/>
                <w:sz w:val="20"/>
                <w:szCs w:val="20"/>
              </w:rPr>
              <w:t xml:space="preserve">Number of Customers</w:t>
            </w:r>
          </w:p>
        </w:tc>
        <w:tc>
          <w:tcPr>
            <w:tcW w:type="dxa" w:w="4000"/>
            <w:shd w:fill="F5F1FA" w:val="clear"/>
            <w:tcMar>
              <w:top w:type="dxa" w:w="90"/>
              <w:left w:type="dxa" w:w="120"/>
              <w:bottom w:type="dxa" w:w="90"/>
              <w:right w:type="dxa" w:w="120"/>
            </w:tcMar>
          </w:tcPr>
          <w:p>
            <w:r>
              <w:rPr>
                <w:color w:val="1F1F1F"/>
                <w:sz w:val="20"/>
                <w:szCs w:val="20"/>
              </w:rPr>
              <w:t xml:space="preserve">91</w:t>
            </w:r>
          </w:p>
        </w:tc>
      </w:tr>
      <w:tr>
        <w:tc>
          <w:tcPr>
            <w:tcW w:type="dxa" w:w="5000"/>
            <w:shd w:fill="FFFFFF" w:val="clear"/>
            <w:tcMar>
              <w:top w:type="dxa" w:w="90"/>
              <w:left w:type="dxa" w:w="120"/>
              <w:bottom w:type="dxa" w:w="90"/>
              <w:right w:type="dxa" w:w="120"/>
            </w:tcMar>
          </w:tcPr>
          <w:p>
            <w:r>
              <w:rPr>
                <w:color w:val="1F1F1F"/>
                <w:sz w:val="20"/>
                <w:szCs w:val="20"/>
              </w:rPr>
              <w:t xml:space="preserve">Total Freight</w:t>
            </w:r>
          </w:p>
        </w:tc>
        <w:tc>
          <w:tcPr>
            <w:tcW w:type="dxa" w:w="4000"/>
            <w:shd w:fill="FFFFFF" w:val="clear"/>
            <w:tcMar>
              <w:top w:type="dxa" w:w="90"/>
              <w:left w:type="dxa" w:w="120"/>
              <w:bottom w:type="dxa" w:w="90"/>
              <w:right w:type="dxa" w:w="120"/>
            </w:tcMar>
          </w:tcPr>
          <w:p>
            <w:r>
              <w:rPr>
                <w:color w:val="1F1F1F"/>
                <w:sz w:val="20"/>
                <w:szCs w:val="20"/>
              </w:rPr>
              <w:t xml:space="preserve">63.96K</w:t>
            </w:r>
          </w:p>
        </w:tc>
      </w:tr>
      <w:tr>
        <w:tc>
          <w:tcPr>
            <w:tcW w:type="dxa" w:w="5000"/>
            <w:shd w:fill="F5F1FA" w:val="clear"/>
            <w:tcMar>
              <w:top w:type="dxa" w:w="90"/>
              <w:left w:type="dxa" w:w="120"/>
              <w:bottom w:type="dxa" w:w="90"/>
              <w:right w:type="dxa" w:w="120"/>
            </w:tcMar>
          </w:tcPr>
          <w:p>
            <w:r>
              <w:rPr>
                <w:color w:val="1F1F1F"/>
                <w:sz w:val="20"/>
                <w:szCs w:val="20"/>
              </w:rPr>
              <w:t xml:space="preserve">Average Freight</w:t>
            </w:r>
          </w:p>
        </w:tc>
        <w:tc>
          <w:tcPr>
            <w:tcW w:type="dxa" w:w="4000"/>
            <w:shd w:fill="F5F1FA" w:val="clear"/>
            <w:tcMar>
              <w:top w:type="dxa" w:w="90"/>
              <w:left w:type="dxa" w:w="120"/>
              <w:bottom w:type="dxa" w:w="90"/>
              <w:right w:type="dxa" w:w="120"/>
            </w:tcMar>
          </w:tcPr>
          <w:p>
            <w:r>
              <w:rPr>
                <w:color w:val="1F1F1F"/>
                <w:sz w:val="20"/>
                <w:szCs w:val="20"/>
              </w:rPr>
              <w:t xml:space="preserve">79.05</w:t>
            </w:r>
          </w:p>
        </w:tc>
      </w:tr>
    </w:tbl>
    <w:p>
      <w:pPr>
        <w:spacing w:after="80" w:before="160"/>
        <w:jc w:val="center"/>
      </w:pPr>
      <w:r>
        <w:drawing>
          <wp:inline distT="0" distB="0" distL="0" distR="0">
            <wp:extent cx="5524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09950"/>
                    </a:xfrm>
                    <a:prstGeom prst="rect">
                      <a:avLst/>
                    </a:prstGeom>
                  </pic:spPr>
                </pic:pic>
              </a:graphicData>
            </a:graphic>
          </wp:inline>
        </w:drawing>
      </w:r>
    </w:p>
    <w:p>
      <w:pPr>
        <w:spacing w:after="200"/>
        <w:jc w:val="center"/>
      </w:pPr>
      <w:r>
        <w:rPr>
          <w:i/>
          <w:iCs/>
          <w:color w:val="595959"/>
          <w:sz w:val="18"/>
          <w:szCs w:val="18"/>
        </w:rPr>
        <w:t xml:space="preserve">Fig 1: Sales Overview page — KPI cards, Orders by Month, Total Sales by Category, and Orders by Employee</w:t>
      </w:r>
    </w:p>
    <w:p>
      <w:pPr>
        <w:pStyle w:val="Heading1"/>
        <w:pBdr>
          <w:bottom w:val="single" w:color="6B3FA0" w:sz="8" w:space="4"/>
        </w:pBdr>
        <w:spacing w:after="160" w:before="360"/>
      </w:pPr>
      <w:r>
        <w:rPr>
          <w:b/>
          <w:bCs/>
          <w:color w:val="6B3FA0"/>
          <w:sz w:val="30"/>
          <w:szCs w:val="30"/>
        </w:rPr>
        <w:t xml:space="preserve">5. Product Category Performance Analysis</w:t>
      </w:r>
    </w:p>
    <w:p>
      <w:pPr>
        <w:spacing w:after="120"/>
      </w:pPr>
      <w:r>
        <w:rPr>
          <w:color w:val="1F1F1F"/>
          <w:sz w:val="22"/>
          <w:szCs w:val="22"/>
        </w:rPr>
        <w:t xml:space="preserve">The Sales by Product Category chart (categoryName vs Total Sales) shows the following distribution:</w:t>
      </w:r>
    </w:p>
    <w:tbl>
      <w:tblPr>
        <w:tblW w:type="dxa" w:w="9000"/>
        <w:tblBorders>
          <w:top w:val="single" w:color="CBBEDD" w:sz="4"/>
          <w:left w:val="single" w:color="CBBEDD" w:sz="4"/>
          <w:bottom w:val="single" w:color="CBBEDD" w:sz="4"/>
          <w:right w:val="single" w:color="CBBEDD" w:sz="4"/>
          <w:insideH w:val="single" w:color="CBBEDD" w:sz="4"/>
          <w:insideV w:val="single" w:color="CBBEDD" w:sz="4"/>
        </w:tblBorders>
      </w:tblPr>
      <w:tblGrid>
        <w:gridCol w:w="4500"/>
        <w:gridCol w:w="4500"/>
      </w:tblGrid>
      <w:tr>
        <w:trPr>
          <w:tblHeader/>
        </w:trPr>
        <w:tc>
          <w:tcPr>
            <w:tcW w:type="dxa" w:w="4500"/>
            <w:shd w:fill="6B3FA0" w:val="clear"/>
            <w:tcMar>
              <w:top w:type="dxa" w:w="100"/>
              <w:left w:type="dxa" w:w="120"/>
              <w:bottom w:type="dxa" w:w="100"/>
              <w:right w:type="dxa" w:w="120"/>
            </w:tcMar>
          </w:tcPr>
          <w:p>
            <w:r>
              <w:rPr>
                <w:b/>
                <w:bCs/>
                <w:color w:val="FFFFFF"/>
                <w:sz w:val="20"/>
                <w:szCs w:val="20"/>
              </w:rPr>
              <w:t xml:space="preserve">Category</w:t>
            </w:r>
          </w:p>
        </w:tc>
        <w:tc>
          <w:tcPr>
            <w:tcW w:type="dxa" w:w="4500"/>
            <w:shd w:fill="6B3FA0" w:val="clear"/>
            <w:tcMar>
              <w:top w:type="dxa" w:w="100"/>
              <w:left w:type="dxa" w:w="120"/>
              <w:bottom w:type="dxa" w:w="100"/>
              <w:right w:type="dxa" w:w="120"/>
            </w:tcMar>
          </w:tcPr>
          <w:p>
            <w:r>
              <w:rPr>
                <w:b/>
                <w:bCs/>
                <w:color w:val="FFFFFF"/>
                <w:sz w:val="20"/>
                <w:szCs w:val="20"/>
              </w:rPr>
              <w:t xml:space="preserve">Total Sales</w:t>
            </w:r>
          </w:p>
        </w:tc>
      </w:tr>
      <w:tr>
        <w:tc>
          <w:tcPr>
            <w:tcW w:type="dxa" w:w="4500"/>
            <w:shd w:fill="FFFFFF" w:val="clear"/>
            <w:tcMar>
              <w:top w:type="dxa" w:w="90"/>
              <w:left w:type="dxa" w:w="120"/>
              <w:bottom w:type="dxa" w:w="90"/>
              <w:right w:type="dxa" w:w="120"/>
            </w:tcMar>
          </w:tcPr>
          <w:p>
            <w:r>
              <w:rPr>
                <w:color w:val="1F1F1F"/>
                <w:sz w:val="20"/>
                <w:szCs w:val="20"/>
              </w:rPr>
              <w:t xml:space="preserve">Beverages</w:t>
            </w:r>
          </w:p>
        </w:tc>
        <w:tc>
          <w:tcPr>
            <w:tcW w:type="dxa" w:w="4500"/>
            <w:shd w:fill="FFFFFF" w:val="clear"/>
            <w:tcMar>
              <w:top w:type="dxa" w:w="90"/>
              <w:left w:type="dxa" w:w="120"/>
              <w:bottom w:type="dxa" w:w="90"/>
              <w:right w:type="dxa" w:w="120"/>
            </w:tcMar>
          </w:tcPr>
          <w:p>
            <w:r>
              <w:rPr>
                <w:color w:val="1F1F1F"/>
                <w:sz w:val="20"/>
                <w:szCs w:val="20"/>
              </w:rPr>
              <w:t xml:space="preserve">0.27M</w:t>
            </w:r>
          </w:p>
        </w:tc>
      </w:tr>
      <w:tr>
        <w:tc>
          <w:tcPr>
            <w:tcW w:type="dxa" w:w="4500"/>
            <w:shd w:fill="F5F1FA" w:val="clear"/>
            <w:tcMar>
              <w:top w:type="dxa" w:w="90"/>
              <w:left w:type="dxa" w:w="120"/>
              <w:bottom w:type="dxa" w:w="90"/>
              <w:right w:type="dxa" w:w="120"/>
            </w:tcMar>
          </w:tcPr>
          <w:p>
            <w:r>
              <w:rPr>
                <w:color w:val="1F1F1F"/>
                <w:sz w:val="20"/>
                <w:szCs w:val="20"/>
              </w:rPr>
              <w:t xml:space="preserve">Dairy Products</w:t>
            </w:r>
          </w:p>
        </w:tc>
        <w:tc>
          <w:tcPr>
            <w:tcW w:type="dxa" w:w="4500"/>
            <w:shd w:fill="F5F1FA" w:val="clear"/>
            <w:tcMar>
              <w:top w:type="dxa" w:w="90"/>
              <w:left w:type="dxa" w:w="120"/>
              <w:bottom w:type="dxa" w:w="90"/>
              <w:right w:type="dxa" w:w="120"/>
            </w:tcMar>
          </w:tcPr>
          <w:p>
            <w:r>
              <w:rPr>
                <w:color w:val="1F1F1F"/>
                <w:sz w:val="20"/>
                <w:szCs w:val="20"/>
              </w:rPr>
              <w:t xml:space="preserve">0.23M</w:t>
            </w:r>
          </w:p>
        </w:tc>
      </w:tr>
      <w:tr>
        <w:tc>
          <w:tcPr>
            <w:tcW w:type="dxa" w:w="4500"/>
            <w:shd w:fill="FFFFFF" w:val="clear"/>
            <w:tcMar>
              <w:top w:type="dxa" w:w="90"/>
              <w:left w:type="dxa" w:w="120"/>
              <w:bottom w:type="dxa" w:w="90"/>
              <w:right w:type="dxa" w:w="120"/>
            </w:tcMar>
          </w:tcPr>
          <w:p>
            <w:r>
              <w:rPr>
                <w:color w:val="1F1F1F"/>
                <w:sz w:val="20"/>
                <w:szCs w:val="20"/>
              </w:rPr>
              <w:t xml:space="preserve">Confections</w:t>
            </w:r>
          </w:p>
        </w:tc>
        <w:tc>
          <w:tcPr>
            <w:tcW w:type="dxa" w:w="4500"/>
            <w:shd w:fill="FFFFFF" w:val="clear"/>
            <w:tcMar>
              <w:top w:type="dxa" w:w="90"/>
              <w:left w:type="dxa" w:w="120"/>
              <w:bottom w:type="dxa" w:w="90"/>
              <w:right w:type="dxa" w:w="120"/>
            </w:tcMar>
          </w:tcPr>
          <w:p>
            <w:r>
              <w:rPr>
                <w:color w:val="1F1F1F"/>
                <w:sz w:val="20"/>
                <w:szCs w:val="20"/>
              </w:rPr>
              <w:t xml:space="preserve">0.17M</w:t>
            </w:r>
          </w:p>
        </w:tc>
      </w:tr>
      <w:tr>
        <w:tc>
          <w:tcPr>
            <w:tcW w:type="dxa" w:w="4500"/>
            <w:shd w:fill="F5F1FA" w:val="clear"/>
            <w:tcMar>
              <w:top w:type="dxa" w:w="90"/>
              <w:left w:type="dxa" w:w="120"/>
              <w:bottom w:type="dxa" w:w="90"/>
              <w:right w:type="dxa" w:w="120"/>
            </w:tcMar>
          </w:tcPr>
          <w:p>
            <w:r>
              <w:rPr>
                <w:color w:val="1F1F1F"/>
                <w:sz w:val="20"/>
                <w:szCs w:val="20"/>
              </w:rPr>
              <w:t xml:space="preserve">Meat &amp; Poultry</w:t>
            </w:r>
          </w:p>
        </w:tc>
        <w:tc>
          <w:tcPr>
            <w:tcW w:type="dxa" w:w="4500"/>
            <w:shd w:fill="F5F1FA" w:val="clear"/>
            <w:tcMar>
              <w:top w:type="dxa" w:w="90"/>
              <w:left w:type="dxa" w:w="120"/>
              <w:bottom w:type="dxa" w:w="90"/>
              <w:right w:type="dxa" w:w="120"/>
            </w:tcMar>
          </w:tcPr>
          <w:p>
            <w:r>
              <w:rPr>
                <w:color w:val="1F1F1F"/>
                <w:sz w:val="20"/>
                <w:szCs w:val="20"/>
              </w:rPr>
              <w:t xml:space="preserve">0.16M</w:t>
            </w:r>
          </w:p>
        </w:tc>
      </w:tr>
      <w:tr>
        <w:tc>
          <w:tcPr>
            <w:tcW w:type="dxa" w:w="4500"/>
            <w:shd w:fill="FFFFFF" w:val="clear"/>
            <w:tcMar>
              <w:top w:type="dxa" w:w="90"/>
              <w:left w:type="dxa" w:w="120"/>
              <w:bottom w:type="dxa" w:w="90"/>
              <w:right w:type="dxa" w:w="120"/>
            </w:tcMar>
          </w:tcPr>
          <w:p>
            <w:r>
              <w:rPr>
                <w:color w:val="1F1F1F"/>
                <w:sz w:val="20"/>
                <w:szCs w:val="20"/>
              </w:rPr>
              <w:t xml:space="preserve">Seafood</w:t>
            </w:r>
          </w:p>
        </w:tc>
        <w:tc>
          <w:tcPr>
            <w:tcW w:type="dxa" w:w="4500"/>
            <w:shd w:fill="FFFFFF" w:val="clear"/>
            <w:tcMar>
              <w:top w:type="dxa" w:w="90"/>
              <w:left w:type="dxa" w:w="120"/>
              <w:bottom w:type="dxa" w:w="90"/>
              <w:right w:type="dxa" w:w="120"/>
            </w:tcMar>
          </w:tcPr>
          <w:p>
            <w:r>
              <w:rPr>
                <w:color w:val="1F1F1F"/>
                <w:sz w:val="20"/>
                <w:szCs w:val="20"/>
              </w:rPr>
              <w:t xml:space="preserve">0.13M</w:t>
            </w:r>
          </w:p>
        </w:tc>
      </w:tr>
      <w:tr>
        <w:tc>
          <w:tcPr>
            <w:tcW w:type="dxa" w:w="4500"/>
            <w:shd w:fill="F5F1FA" w:val="clear"/>
            <w:tcMar>
              <w:top w:type="dxa" w:w="90"/>
              <w:left w:type="dxa" w:w="120"/>
              <w:bottom w:type="dxa" w:w="90"/>
              <w:right w:type="dxa" w:w="120"/>
            </w:tcMar>
          </w:tcPr>
          <w:p>
            <w:r>
              <w:rPr>
                <w:color w:val="1F1F1F"/>
                <w:sz w:val="20"/>
                <w:szCs w:val="20"/>
              </w:rPr>
              <w:t xml:space="preserve">Condiments</w:t>
            </w:r>
          </w:p>
        </w:tc>
        <w:tc>
          <w:tcPr>
            <w:tcW w:type="dxa" w:w="4500"/>
            <w:shd w:fill="F5F1FA" w:val="clear"/>
            <w:tcMar>
              <w:top w:type="dxa" w:w="90"/>
              <w:left w:type="dxa" w:w="120"/>
              <w:bottom w:type="dxa" w:w="90"/>
              <w:right w:type="dxa" w:w="120"/>
            </w:tcMar>
          </w:tcPr>
          <w:p>
            <w:r>
              <w:rPr>
                <w:color w:val="1F1F1F"/>
                <w:sz w:val="20"/>
                <w:szCs w:val="20"/>
              </w:rPr>
              <w:t xml:space="preserve">0.11M</w:t>
            </w:r>
          </w:p>
        </w:tc>
      </w:tr>
      <w:tr>
        <w:tc>
          <w:tcPr>
            <w:tcW w:type="dxa" w:w="4500"/>
            <w:shd w:fill="FFFFFF" w:val="clear"/>
            <w:tcMar>
              <w:top w:type="dxa" w:w="90"/>
              <w:left w:type="dxa" w:w="120"/>
              <w:bottom w:type="dxa" w:w="90"/>
              <w:right w:type="dxa" w:w="120"/>
            </w:tcMar>
          </w:tcPr>
          <w:p>
            <w:r>
              <w:rPr>
                <w:color w:val="1F1F1F"/>
                <w:sz w:val="20"/>
                <w:szCs w:val="20"/>
              </w:rPr>
              <w:t xml:space="preserve">Produce</w:t>
            </w:r>
          </w:p>
        </w:tc>
        <w:tc>
          <w:tcPr>
            <w:tcW w:type="dxa" w:w="4500"/>
            <w:shd w:fill="FFFFFF" w:val="clear"/>
            <w:tcMar>
              <w:top w:type="dxa" w:w="90"/>
              <w:left w:type="dxa" w:w="120"/>
              <w:bottom w:type="dxa" w:w="90"/>
              <w:right w:type="dxa" w:w="120"/>
            </w:tcMar>
          </w:tcPr>
          <w:p>
            <w:r>
              <w:rPr>
                <w:color w:val="1F1F1F"/>
                <w:sz w:val="20"/>
                <w:szCs w:val="20"/>
              </w:rPr>
              <w:t xml:space="preserve">0.10M</w:t>
            </w:r>
          </w:p>
        </w:tc>
      </w:tr>
      <w:tr>
        <w:tc>
          <w:tcPr>
            <w:tcW w:type="dxa" w:w="4500"/>
            <w:shd w:fill="F5F1FA" w:val="clear"/>
            <w:tcMar>
              <w:top w:type="dxa" w:w="90"/>
              <w:left w:type="dxa" w:w="120"/>
              <w:bottom w:type="dxa" w:w="90"/>
              <w:right w:type="dxa" w:w="120"/>
            </w:tcMar>
          </w:tcPr>
          <w:p>
            <w:r>
              <w:rPr>
                <w:color w:val="1F1F1F"/>
                <w:sz w:val="20"/>
                <w:szCs w:val="20"/>
              </w:rPr>
              <w:t xml:space="preserve">Grains &amp; Cereals</w:t>
            </w:r>
          </w:p>
        </w:tc>
        <w:tc>
          <w:tcPr>
            <w:tcW w:type="dxa" w:w="4500"/>
            <w:shd w:fill="F5F1FA" w:val="clear"/>
            <w:tcMar>
              <w:top w:type="dxa" w:w="90"/>
              <w:left w:type="dxa" w:w="120"/>
              <w:bottom w:type="dxa" w:w="90"/>
              <w:right w:type="dxa" w:w="120"/>
            </w:tcMar>
          </w:tcPr>
          <w:p>
            <w:r>
              <w:rPr>
                <w:color w:val="1F1F1F"/>
                <w:sz w:val="20"/>
                <w:szCs w:val="20"/>
              </w:rPr>
              <w:t xml:space="preserve">0.10M</w:t>
            </w:r>
          </w:p>
        </w:tc>
      </w:tr>
    </w:tbl>
    <w:p>
      <w:pPr>
        <w:spacing w:before="160"/>
      </w:pPr>
    </w:p>
    <w:p>
      <w:pPr>
        <w:pStyle w:val="ListParagraph"/>
        <w:numPr>
          <w:ilvl w:val="0"/>
          <w:numId w:val="1"/>
        </w:numPr>
        <w:spacing w:after="80"/>
      </w:pPr>
      <w:r>
        <w:rPr>
          <w:b/>
          <w:bCs/>
          <w:color w:val="1F1F1F"/>
          <w:sz w:val="22"/>
          <w:szCs w:val="22"/>
        </w:rPr>
        <w:t xml:space="preserve">Highest-selling category: </w:t>
      </w:r>
      <w:r>
        <w:rPr>
          <w:color w:val="1F1F1F"/>
          <w:sz w:val="22"/>
          <w:szCs w:val="22"/>
        </w:rPr>
        <w:t xml:space="preserve">Beverages, with 0.27M in sales.</w:t>
      </w:r>
    </w:p>
    <w:p>
      <w:pPr>
        <w:pStyle w:val="ListParagraph"/>
        <w:numPr>
          <w:ilvl w:val="0"/>
          <w:numId w:val="1"/>
        </w:numPr>
        <w:spacing w:after="80"/>
      </w:pPr>
      <w:r>
        <w:rPr>
          <w:b/>
          <w:bCs/>
          <w:color w:val="1F1F1F"/>
          <w:sz w:val="22"/>
          <w:szCs w:val="22"/>
        </w:rPr>
        <w:t xml:space="preserve">Lowest-selling category: </w:t>
      </w:r>
      <w:r>
        <w:rPr>
          <w:color w:val="1F1F1F"/>
          <w:sz w:val="22"/>
          <w:szCs w:val="22"/>
        </w:rPr>
        <w:t xml:space="preserve">Produce and Grains &amp; Cereals are tied at the bottom, each contributing 0.10M.</w:t>
      </w:r>
    </w:p>
    <w:p>
      <w:pPr>
        <w:pStyle w:val="ListParagraph"/>
        <w:numPr>
          <w:ilvl w:val="0"/>
          <w:numId w:val="1"/>
        </w:numPr>
        <w:spacing w:after="80"/>
      </w:pPr>
      <w:r>
        <w:rPr>
          <w:b/>
          <w:bCs/>
          <w:color w:val="1F1F1F"/>
          <w:sz w:val="22"/>
          <w:szCs w:val="22"/>
        </w:rPr>
        <w:t xml:space="preserve">Relative differences: </w:t>
      </w:r>
      <w:r>
        <w:rPr>
          <w:color w:val="1F1F1F"/>
          <w:sz w:val="22"/>
          <w:szCs w:val="22"/>
        </w:rPr>
        <w:t xml:space="preserve">Beverages outsells the lowest categories by roughly 2.7x, and even outsells the second-placed Dairy Products by about 0.04M. The drop from Confections (0.17M) to Meat &amp; Poultry (0.16M) is small, but there is a clearer step down after the top two categories.</w:t>
      </w:r>
    </w:p>
    <w:p>
      <w:pPr>
        <w:pStyle w:val="ListParagraph"/>
        <w:numPr>
          <w:ilvl w:val="0"/>
          <w:numId w:val="1"/>
        </w:numPr>
        <w:spacing w:after="80"/>
      </w:pPr>
      <w:r>
        <w:rPr>
          <w:b/>
          <w:bCs/>
          <w:color w:val="1F1F1F"/>
          <w:sz w:val="22"/>
          <w:szCs w:val="22"/>
        </w:rPr>
        <w:t xml:space="preserve">Important observation: </w:t>
      </w:r>
      <w:r>
        <w:rPr>
          <w:color w:val="1F1F1F"/>
          <w:sz w:val="22"/>
          <w:szCs w:val="22"/>
        </w:rPr>
        <w:t xml:space="preserve">Just two categories — Beverages and Dairy Products — account for close to 40% of total category sales shown on the chart, while the bottom four categories (Seafood, Condiments, Produce, Grains &amp; Cereals) together contribute less than the top two combined.</w:t>
      </w:r>
    </w:p>
    <w:tbl>
      <w:tblPr>
        <w:tblW w:type="pct" w:w="100%"/>
        <w:tblBorders>
          <w:top w:val="single" w:color="6B3FA0" w:sz="6"/>
          <w:left w:val="single" w:color="6B3FA0" w:sz="6"/>
          <w:bottom w:val="single" w:color="6B3FA0" w:sz="6"/>
          <w:right w:val="single" w:color="6B3FA0" w:sz="6"/>
          <w:insideH w:val="none" w:color="FFFFFF" w:sz="0"/>
          <w:insideV w:val="none" w:color="FFFFFF" w:sz="0"/>
        </w:tblBorders>
      </w:tblPr>
      <w:tblGrid>
        <w:gridCol w:w="100"/>
      </w:tblGrid>
      <w:tr>
        <w:tc>
          <w:tcPr>
            <w:shd w:fill="F2ECFA" w:val="clear"/>
            <w:tcMar>
              <w:top w:type="dxa" w:w="140"/>
              <w:left w:type="dxa" w:w="180"/>
              <w:bottom w:type="dxa" w:w="140"/>
              <w:right w:type="dxa" w:w="180"/>
            </w:tcMar>
          </w:tcPr>
          <w:p>
            <w:pPr>
              <w:spacing w:after="60"/>
            </w:pPr>
            <w:r>
              <w:rPr>
                <w:b/>
                <w:bCs/>
                <w:color w:val="6B3FA0"/>
                <w:sz w:val="22"/>
                <w:szCs w:val="22"/>
              </w:rPr>
              <w:t xml:space="preserve">Key Insight</w:t>
            </w:r>
          </w:p>
          <w:p>
            <w:r>
              <w:rPr>
                <w:color w:val="1F1F1F"/>
                <w:sz w:val="22"/>
                <w:szCs w:val="22"/>
              </w:rPr>
              <w:t xml:space="preserve">Revenue is concentrated in a small number of categories. Beverages and Dairy Products are the business's core revenue drivers, while Produce and Grains &amp; Cereals are consistently weak performers and are candidates for promotional or assortment review.</w:t>
            </w:r>
          </w:p>
        </w:tc>
      </w:tr>
    </w:tbl>
    <w:p>
      <w:pPr>
        <w:pStyle w:val="Heading1"/>
        <w:pBdr>
          <w:bottom w:val="single" w:color="6B3FA0" w:sz="8" w:space="4"/>
        </w:pBdr>
        <w:spacing w:after="160" w:before="360"/>
      </w:pPr>
      <w:r>
        <w:rPr>
          <w:b/>
          <w:bCs/>
          <w:color w:val="6B3FA0"/>
          <w:sz w:val="30"/>
          <w:szCs w:val="30"/>
        </w:rPr>
        <w:t xml:space="preserve">6. Monthly Order Trend Analysis</w:t>
      </w:r>
    </w:p>
    <w:p>
      <w:pPr>
        <w:spacing w:after="120"/>
      </w:pPr>
      <w:r>
        <w:rPr>
          <w:color w:val="1F1F1F"/>
          <w:sz w:val="22"/>
          <w:szCs w:val="22"/>
        </w:rPr>
        <w:t xml:space="preserve">The Orders by Month line chart plots Total Orders across January to December:</w:t>
      </w:r>
    </w:p>
    <w:p>
      <w:pPr>
        <w:pStyle w:val="ListParagraph"/>
        <w:numPr>
          <w:ilvl w:val="0"/>
          <w:numId w:val="1"/>
        </w:numPr>
        <w:spacing w:after="80"/>
      </w:pPr>
      <w:r>
        <w:rPr>
          <w:b/>
          <w:bCs/>
          <w:color w:val="1F1F1F"/>
          <w:sz w:val="22"/>
          <w:szCs w:val="22"/>
        </w:rPr>
        <w:t xml:space="preserve">Highest-order month: </w:t>
      </w:r>
      <w:r>
        <w:rPr>
          <w:color w:val="1F1F1F"/>
          <w:sz w:val="22"/>
          <w:szCs w:val="22"/>
        </w:rPr>
        <w:t xml:space="preserve">March, where the order line peaks at just above 100 orders after a small dip in February.</w:t>
      </w:r>
    </w:p>
    <w:p>
      <w:pPr>
        <w:pStyle w:val="ListParagraph"/>
        <w:numPr>
          <w:ilvl w:val="0"/>
          <w:numId w:val="1"/>
        </w:numPr>
        <w:spacing w:after="80"/>
      </w:pPr>
      <w:r>
        <w:rPr>
          <w:b/>
          <w:bCs/>
          <w:color w:val="1F1F1F"/>
          <w:sz w:val="22"/>
          <w:szCs w:val="22"/>
        </w:rPr>
        <w:t xml:space="preserve">Lowest-order month: </w:t>
      </w:r>
      <w:r>
        <w:rPr>
          <w:color w:val="1F1F1F"/>
          <w:sz w:val="22"/>
          <w:szCs w:val="22"/>
        </w:rPr>
        <w:t xml:space="preserve">June, where orders fall to their lowest point on the chart, close to 35–40 orders.</w:t>
      </w:r>
    </w:p>
    <w:p>
      <w:pPr>
        <w:pStyle w:val="ListParagraph"/>
        <w:numPr>
          <w:ilvl w:val="0"/>
          <w:numId w:val="1"/>
        </w:numPr>
        <w:spacing w:after="80"/>
      </w:pPr>
      <w:r>
        <w:rPr>
          <w:b/>
          <w:bCs/>
          <w:color w:val="1F1F1F"/>
          <w:sz w:val="22"/>
          <w:szCs w:val="22"/>
        </w:rPr>
        <w:t xml:space="preserve">Overall pattern: </w:t>
      </w:r>
      <w:r>
        <w:rPr>
          <w:color w:val="1F1F1F"/>
          <w:sz w:val="22"/>
          <w:szCs w:val="22"/>
        </w:rPr>
        <w:t xml:space="preserve">Orders start strong in Q1 (January–March), fall sharply through April and May, bottom out in June, then recover gradually and steadily from July through December, ending the year close to where it started (around 80–90 orders in December).</w:t>
      </w:r>
    </w:p>
    <w:p>
      <w:pPr>
        <w:pStyle w:val="ListParagraph"/>
        <w:numPr>
          <w:ilvl w:val="0"/>
          <w:numId w:val="1"/>
        </w:numPr>
        <w:spacing w:after="80"/>
      </w:pPr>
      <w:r>
        <w:rPr>
          <w:b/>
          <w:bCs/>
          <w:color w:val="1F1F1F"/>
          <w:sz w:val="22"/>
          <w:szCs w:val="22"/>
        </w:rPr>
        <w:t xml:space="preserve">Major fluctuations: </w:t>
      </w:r>
      <w:r>
        <w:rPr>
          <w:color w:val="1F1F1F"/>
          <w:sz w:val="22"/>
          <w:szCs w:val="22"/>
        </w:rPr>
        <w:t xml:space="preserve">The steepest change is the drop between March and June, where order volume falls by more than half. The recovery in the second half of the year is gradual rather than sharp, and December shows a modest late uptick.</w:t>
      </w:r>
    </w:p>
    <w:tbl>
      <w:tblPr>
        <w:tblW w:type="pct" w:w="100%"/>
        <w:tblBorders>
          <w:top w:val="single" w:color="6B3FA0" w:sz="6"/>
          <w:left w:val="single" w:color="6B3FA0" w:sz="6"/>
          <w:bottom w:val="single" w:color="6B3FA0" w:sz="6"/>
          <w:right w:val="single" w:color="6B3FA0" w:sz="6"/>
          <w:insideH w:val="none" w:color="FFFFFF" w:sz="0"/>
          <w:insideV w:val="none" w:color="FFFFFF" w:sz="0"/>
        </w:tblBorders>
      </w:tblPr>
      <w:tblGrid>
        <w:gridCol w:w="100"/>
      </w:tblGrid>
      <w:tr>
        <w:tc>
          <w:tcPr>
            <w:shd w:fill="F2ECFA" w:val="clear"/>
            <w:tcMar>
              <w:top w:type="dxa" w:w="140"/>
              <w:left w:type="dxa" w:w="180"/>
              <w:bottom w:type="dxa" w:w="140"/>
              <w:right w:type="dxa" w:w="180"/>
            </w:tcMar>
          </w:tcPr>
          <w:p>
            <w:pPr>
              <w:spacing w:after="60"/>
            </w:pPr>
            <w:r>
              <w:rPr>
                <w:b/>
                <w:bCs/>
                <w:color w:val="6B3FA0"/>
                <w:sz w:val="22"/>
                <w:szCs w:val="22"/>
              </w:rPr>
              <w:t xml:space="preserve">Key Insight</w:t>
            </w:r>
          </w:p>
          <w:p>
            <w:r>
              <w:rPr>
                <w:color w:val="1F1F1F"/>
                <w:sz w:val="22"/>
                <w:szCs w:val="22"/>
              </w:rPr>
              <w:t xml:space="preserve">Order volume is highly seasonal, with a strong first quarter followed by a mid-year slump (April–June) and a slow second-half recovery. This pattern is a strong candidate for targeted mid-year promotions or demand-generation campaigns.</w:t>
            </w:r>
          </w:p>
        </w:tc>
      </w:tr>
    </w:tbl>
    <w:p>
      <w:pPr>
        <w:pStyle w:val="Heading1"/>
        <w:pBdr>
          <w:bottom w:val="single" w:color="6B3FA0" w:sz="8" w:space="4"/>
        </w:pBdr>
        <w:spacing w:after="160" w:before="360"/>
      </w:pPr>
      <w:r>
        <w:rPr>
          <w:b/>
          <w:bCs/>
          <w:color w:val="6B3FA0"/>
          <w:sz w:val="30"/>
          <w:szCs w:val="30"/>
        </w:rPr>
        <w:t xml:space="preserve">7. Regional / Filter-Based Analysis</w:t>
      </w:r>
    </w:p>
    <w:p>
      <w:pPr>
        <w:spacing w:after="120"/>
      </w:pPr>
      <w:r>
        <w:rPr>
          <w:color w:val="1F1F1F"/>
          <w:sz w:val="22"/>
          <w:szCs w:val="22"/>
        </w:rPr>
        <w:t xml:space="preserve">The Interactive Sales Dashboard page does not use a separate regional chart. Instead, it uses three slicers — Region, Category, and Year — that filter every visual and KPI on the page simultaneously (the Year slicer shows the dataset covers 2013, plus a Blank/unassigned bucket).</w:t>
      </w:r>
    </w:p>
    <w:p>
      <w:pPr>
        <w:spacing w:after="80" w:before="16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90875"/>
                    </a:xfrm>
                    <a:prstGeom prst="rect">
                      <a:avLst/>
                    </a:prstGeom>
                  </pic:spPr>
                </pic:pic>
              </a:graphicData>
            </a:graphic>
          </wp:inline>
        </w:drawing>
      </w:r>
    </w:p>
    <w:p>
      <w:pPr>
        <w:spacing w:after="200"/>
        <w:jc w:val="center"/>
      </w:pPr>
      <w:r>
        <w:rPr>
          <w:i/>
          <w:iCs/>
          <w:color w:val="595959"/>
          <w:sz w:val="18"/>
          <w:szCs w:val="18"/>
        </w:rPr>
        <w:t xml:space="preserve">Fig 2: Interactive Sales Dashboard page — KPI cards with Region, Category, and Year slicers</w:t>
      </w:r>
    </w:p>
    <w:p>
      <w:pPr>
        <w:spacing w:after="120"/>
      </w:pPr>
      <w:r>
        <w:rPr>
          <w:color w:val="1F1F1F"/>
          <w:sz w:val="22"/>
          <w:szCs w:val="22"/>
        </w:rPr>
        <w:t xml:space="preserve">To complete this section, select each region in turn on the live dashboard and record how the KPIs, category ranking, monthly trend, and employee ranking change. Suggested format:</w:t>
      </w:r>
    </w:p>
    <w:tbl>
      <w:tblPr>
        <w:tblW w:type="dxa" w:w="9000"/>
        <w:tblBorders>
          <w:top w:val="single" w:color="CBBEDD" w:sz="4"/>
          <w:left w:val="single" w:color="CBBEDD" w:sz="4"/>
          <w:bottom w:val="single" w:color="CBBEDD" w:sz="4"/>
          <w:right w:val="single" w:color="CBBEDD" w:sz="4"/>
          <w:insideH w:val="single" w:color="CBBEDD" w:sz="4"/>
          <w:insideV w:val="single" w:color="CBBEDD" w:sz="4"/>
        </w:tblBorders>
      </w:tblPr>
      <w:tblGrid>
        <w:gridCol w:w="2200"/>
        <w:gridCol w:w="3600"/>
        <w:gridCol w:w="3200"/>
      </w:tblGrid>
      <w:tr>
        <w:trPr>
          <w:tblHeader/>
        </w:trPr>
        <w:tc>
          <w:tcPr>
            <w:tcW w:type="dxa" w:w="2200"/>
            <w:shd w:fill="6B3FA0" w:val="clear"/>
            <w:tcMar>
              <w:top w:type="dxa" w:w="100"/>
              <w:left w:type="dxa" w:w="120"/>
              <w:bottom w:type="dxa" w:w="100"/>
              <w:right w:type="dxa" w:w="120"/>
            </w:tcMar>
          </w:tcPr>
          <w:p>
            <w:r>
              <w:rPr>
                <w:b/>
                <w:bCs/>
                <w:color w:val="FFFFFF"/>
                <w:sz w:val="20"/>
                <w:szCs w:val="20"/>
              </w:rPr>
              <w:t xml:space="preserve">Region</w:t>
            </w:r>
          </w:p>
        </w:tc>
        <w:tc>
          <w:tcPr>
            <w:tcW w:type="dxa" w:w="3600"/>
            <w:shd w:fill="6B3FA0" w:val="clear"/>
            <w:tcMar>
              <w:top w:type="dxa" w:w="100"/>
              <w:left w:type="dxa" w:w="120"/>
              <w:bottom w:type="dxa" w:w="100"/>
              <w:right w:type="dxa" w:w="120"/>
            </w:tcMar>
          </w:tcPr>
          <w:p>
            <w:r>
              <w:rPr>
                <w:b/>
                <w:bCs/>
                <w:color w:val="FFFFFF"/>
                <w:sz w:val="20"/>
                <w:szCs w:val="20"/>
              </w:rPr>
              <w:t xml:space="preserve">Major Observation</w:t>
            </w:r>
          </w:p>
        </w:tc>
        <w:tc>
          <w:tcPr>
            <w:tcW w:type="dxa" w:w="3200"/>
            <w:shd w:fill="6B3FA0" w:val="clear"/>
            <w:tcMar>
              <w:top w:type="dxa" w:w="100"/>
              <w:left w:type="dxa" w:w="120"/>
              <w:bottom w:type="dxa" w:w="100"/>
              <w:right w:type="dxa" w:w="120"/>
            </w:tcMar>
          </w:tcPr>
          <w:p>
            <w:r>
              <w:rPr>
                <w:b/>
                <w:bCs/>
                <w:color w:val="FFFFFF"/>
                <w:sz w:val="20"/>
                <w:szCs w:val="20"/>
              </w:rPr>
              <w:t xml:space="preserve">Business Insight</w:t>
            </w:r>
          </w:p>
        </w:tc>
      </w:tr>
      <w:tr>
        <w:tc>
          <w:tcPr>
            <w:tcW w:type="dxa" w:w="2200"/>
            <w:shd w:fill="FFFFFF" w:val="clear"/>
            <w:tcMar>
              <w:top w:type="dxa" w:w="90"/>
              <w:left w:type="dxa" w:w="120"/>
              <w:bottom w:type="dxa" w:w="90"/>
              <w:right w:type="dxa" w:w="120"/>
            </w:tcMar>
          </w:tcPr>
          <w:p>
            <w:r>
              <w:rPr>
                <w:color w:val="1F1F1F"/>
                <w:sz w:val="20"/>
                <w:szCs w:val="20"/>
              </w:rPr>
              <w:t xml:space="preserve">Region 1</w:t>
            </w:r>
          </w:p>
        </w:tc>
        <w:tc>
          <w:tcPr>
            <w:tcW w:type="dxa" w:w="3600"/>
            <w:shd w:fill="FFFFFF" w:val="clear"/>
            <w:tcMar>
              <w:top w:type="dxa" w:w="90"/>
              <w:left w:type="dxa" w:w="120"/>
              <w:bottom w:type="dxa" w:w="90"/>
              <w:right w:type="dxa" w:w="120"/>
            </w:tcMar>
          </w:tcPr>
          <w:p>
            <w:r>
              <w:rPr>
                <w:color w:val="1F1F1F"/>
                <w:sz w:val="20"/>
                <w:szCs w:val="20"/>
              </w:rPr>
              <w:t xml:space="preserve"/>
            </w:r>
          </w:p>
        </w:tc>
        <w:tc>
          <w:tcPr>
            <w:tcW w:type="dxa" w:w="3200"/>
            <w:shd w:fill="FFFFFF" w:val="clear"/>
            <w:tcMar>
              <w:top w:type="dxa" w:w="90"/>
              <w:left w:type="dxa" w:w="120"/>
              <w:bottom w:type="dxa" w:w="90"/>
              <w:right w:type="dxa" w:w="120"/>
            </w:tcMar>
          </w:tcPr>
          <w:p>
            <w:r>
              <w:rPr>
                <w:color w:val="1F1F1F"/>
                <w:sz w:val="20"/>
                <w:szCs w:val="20"/>
              </w:rPr>
              <w:t xml:space="preserve"/>
            </w:r>
          </w:p>
        </w:tc>
      </w:tr>
      <w:tr>
        <w:tc>
          <w:tcPr>
            <w:tcW w:type="dxa" w:w="2200"/>
            <w:shd w:fill="F5F1FA" w:val="clear"/>
            <w:tcMar>
              <w:top w:type="dxa" w:w="90"/>
              <w:left w:type="dxa" w:w="120"/>
              <w:bottom w:type="dxa" w:w="90"/>
              <w:right w:type="dxa" w:w="120"/>
            </w:tcMar>
          </w:tcPr>
          <w:p>
            <w:r>
              <w:rPr>
                <w:color w:val="1F1F1F"/>
                <w:sz w:val="20"/>
                <w:szCs w:val="20"/>
              </w:rPr>
              <w:t xml:space="preserve">Region 2</w:t>
            </w:r>
          </w:p>
        </w:tc>
        <w:tc>
          <w:tcPr>
            <w:tcW w:type="dxa" w:w="3600"/>
            <w:shd w:fill="F5F1FA" w:val="clear"/>
            <w:tcMar>
              <w:top w:type="dxa" w:w="90"/>
              <w:left w:type="dxa" w:w="120"/>
              <w:bottom w:type="dxa" w:w="90"/>
              <w:right w:type="dxa" w:w="120"/>
            </w:tcMar>
          </w:tcPr>
          <w:p>
            <w:r>
              <w:rPr>
                <w:color w:val="1F1F1F"/>
                <w:sz w:val="20"/>
                <w:szCs w:val="20"/>
              </w:rPr>
              <w:t xml:space="preserve"/>
            </w:r>
          </w:p>
        </w:tc>
        <w:tc>
          <w:tcPr>
            <w:tcW w:type="dxa" w:w="3200"/>
            <w:shd w:fill="F5F1FA" w:val="clear"/>
            <w:tcMar>
              <w:top w:type="dxa" w:w="90"/>
              <w:left w:type="dxa" w:w="120"/>
              <w:bottom w:type="dxa" w:w="90"/>
              <w:right w:type="dxa" w:w="120"/>
            </w:tcMar>
          </w:tcPr>
          <w:p>
            <w:r>
              <w:rPr>
                <w:color w:val="1F1F1F"/>
                <w:sz w:val="20"/>
                <w:szCs w:val="20"/>
              </w:rPr>
              <w:t xml:space="preserve"/>
            </w:r>
          </w:p>
        </w:tc>
      </w:tr>
      <w:tr>
        <w:tc>
          <w:tcPr>
            <w:tcW w:type="dxa" w:w="2200"/>
            <w:shd w:fill="FFFFFF" w:val="clear"/>
            <w:tcMar>
              <w:top w:type="dxa" w:w="90"/>
              <w:left w:type="dxa" w:w="120"/>
              <w:bottom w:type="dxa" w:w="90"/>
              <w:right w:type="dxa" w:w="120"/>
            </w:tcMar>
          </w:tcPr>
          <w:p>
            <w:r>
              <w:rPr>
                <w:color w:val="1F1F1F"/>
                <w:sz w:val="20"/>
                <w:szCs w:val="20"/>
              </w:rPr>
              <w:t xml:space="preserve">Region 3</w:t>
            </w:r>
          </w:p>
        </w:tc>
        <w:tc>
          <w:tcPr>
            <w:tcW w:type="dxa" w:w="3600"/>
            <w:shd w:fill="FFFFFF" w:val="clear"/>
            <w:tcMar>
              <w:top w:type="dxa" w:w="90"/>
              <w:left w:type="dxa" w:w="120"/>
              <w:bottom w:type="dxa" w:w="90"/>
              <w:right w:type="dxa" w:w="120"/>
            </w:tcMar>
          </w:tcPr>
          <w:p>
            <w:r>
              <w:rPr>
                <w:color w:val="1F1F1F"/>
                <w:sz w:val="20"/>
                <w:szCs w:val="20"/>
              </w:rPr>
              <w:t xml:space="preserve"/>
            </w:r>
          </w:p>
        </w:tc>
        <w:tc>
          <w:tcPr>
            <w:tcW w:type="dxa" w:w="3200"/>
            <w:shd w:fill="FFFFFF" w:val="clear"/>
            <w:tcMar>
              <w:top w:type="dxa" w:w="90"/>
              <w:left w:type="dxa" w:w="120"/>
              <w:bottom w:type="dxa" w:w="90"/>
              <w:right w:type="dxa" w:w="120"/>
            </w:tcMar>
          </w:tcPr>
          <w:p>
            <w:r>
              <w:rPr>
                <w:color w:val="1F1F1F"/>
                <w:sz w:val="20"/>
                <w:szCs w:val="20"/>
              </w:rPr>
              <w:t xml:space="preserve"/>
            </w:r>
          </w:p>
        </w:tc>
      </w:tr>
    </w:tbl>
    <w:p>
      <w:pPr>
        <w:spacing w:before="160"/>
      </w:pPr>
    </w:p>
    <w:p>
      <w:pPr>
        <w:pStyle w:val="ListParagraph"/>
        <w:numPr>
          <w:ilvl w:val="0"/>
          <w:numId w:val="1"/>
        </w:numPr>
        <w:spacing w:after="80"/>
      </w:pPr>
      <w:r>
        <w:rPr>
          <w:color w:val="1F1F1F"/>
          <w:sz w:val="22"/>
          <w:szCs w:val="22"/>
        </w:rPr>
        <w:t xml:space="preserve">KPI changes: watch Total Sales, Total Orders, and Number of Customers shrink to that region's share of the 1.27M / 809 / 91 totals.</w:t>
      </w:r>
    </w:p>
    <w:p>
      <w:pPr>
        <w:pStyle w:val="ListParagraph"/>
        <w:numPr>
          <w:ilvl w:val="0"/>
          <w:numId w:val="1"/>
        </w:numPr>
        <w:spacing w:after="80"/>
      </w:pPr>
      <w:r>
        <w:rPr>
          <w:color w:val="1F1F1F"/>
          <w:sz w:val="22"/>
          <w:szCs w:val="22"/>
        </w:rPr>
        <w:t xml:space="preserve">Category changes: check whether Beverages and Dairy Products remain the top categories in every region, or whether a region has a different leading category.</w:t>
      </w:r>
    </w:p>
    <w:p>
      <w:pPr>
        <w:pStyle w:val="ListParagraph"/>
        <w:numPr>
          <w:ilvl w:val="0"/>
          <w:numId w:val="1"/>
        </w:numPr>
        <w:spacing w:after="80"/>
      </w:pPr>
      <w:r>
        <w:rPr>
          <w:color w:val="1F1F1F"/>
          <w:sz w:val="22"/>
          <w:szCs w:val="22"/>
        </w:rPr>
        <w:t xml:space="preserve">Monthly order changes: see whether the March peak and June dip hold in every region, or are driven mainly by one region.</w:t>
      </w:r>
    </w:p>
    <w:p>
      <w:pPr>
        <w:pStyle w:val="ListParagraph"/>
        <w:numPr>
          <w:ilvl w:val="0"/>
          <w:numId w:val="1"/>
        </w:numPr>
        <w:spacing w:after="80"/>
      </w:pPr>
      <w:r>
        <w:rPr>
          <w:color w:val="1F1F1F"/>
          <w:sz w:val="22"/>
          <w:szCs w:val="22"/>
        </w:rPr>
        <w:t xml:space="preserve">Employee performance changes: check whether Margaret Peacock stays the top performer regionally, since employees may be assigned to specific territories.</w:t>
      </w:r>
    </w:p>
    <w:tbl>
      <w:tblPr>
        <w:tblW w:type="pct" w:w="100%"/>
        <w:tblBorders>
          <w:top w:val="single" w:color="6B3FA0" w:sz="6"/>
          <w:left w:val="single" w:color="6B3FA0" w:sz="6"/>
          <w:bottom w:val="single" w:color="6B3FA0" w:sz="6"/>
          <w:right w:val="single" w:color="6B3FA0" w:sz="6"/>
          <w:insideH w:val="none" w:color="FFFFFF" w:sz="0"/>
          <w:insideV w:val="none" w:color="FFFFFF" w:sz="0"/>
        </w:tblBorders>
      </w:tblPr>
      <w:tblGrid>
        <w:gridCol w:w="100"/>
      </w:tblGrid>
      <w:tr>
        <w:tc>
          <w:tcPr>
            <w:shd w:fill="F2ECFA" w:val="clear"/>
            <w:tcMar>
              <w:top w:type="dxa" w:w="140"/>
              <w:left w:type="dxa" w:w="180"/>
              <w:bottom w:type="dxa" w:w="140"/>
              <w:right w:type="dxa" w:w="180"/>
            </w:tcMar>
          </w:tcPr>
          <w:p>
            <w:pPr>
              <w:spacing w:after="60"/>
            </w:pPr>
            <w:r>
              <w:rPr>
                <w:b/>
                <w:bCs/>
                <w:color w:val="6B3FA0"/>
                <w:sz w:val="22"/>
                <w:szCs w:val="22"/>
              </w:rPr>
              <w:t xml:space="preserve">Key Insight</w:t>
            </w:r>
          </w:p>
          <w:p>
            <w:r>
              <w:rPr>
                <w:color w:val="1F1F1F"/>
                <w:sz w:val="22"/>
                <w:szCs w:val="22"/>
              </w:rPr>
              <w:t xml:space="preserve">Because the dashboard is filter-driven rather than chart-driven, regional analysis should be done interactively: apply each Region filter, note which KPIs and rankings shift the most, and record whether any single region is responsible for the overall seasonal dip seen in Section 6.</w:t>
            </w:r>
          </w:p>
        </w:tc>
      </w:tr>
    </w:tbl>
    <w:p>
      <w:pPr>
        <w:pStyle w:val="Heading1"/>
        <w:pBdr>
          <w:bottom w:val="single" w:color="6B3FA0" w:sz="8" w:space="4"/>
        </w:pBdr>
        <w:spacing w:after="160" w:before="360"/>
      </w:pPr>
      <w:r>
        <w:rPr>
          <w:b/>
          <w:bCs/>
          <w:color w:val="6B3FA0"/>
          <w:sz w:val="30"/>
          <w:szCs w:val="30"/>
        </w:rPr>
        <w:t xml:space="preserve">8. Employee Performance Analysis</w:t>
      </w:r>
    </w:p>
    <w:p>
      <w:pPr>
        <w:spacing w:after="120"/>
      </w:pPr>
      <w:r>
        <w:rPr>
          <w:color w:val="1F1F1F"/>
          <w:sz w:val="22"/>
          <w:szCs w:val="22"/>
        </w:rPr>
        <w:t xml:space="preserve">The Orders by Employee chart (employeeName vs Total Orders) shows:</w:t>
      </w:r>
    </w:p>
    <w:tbl>
      <w:tblPr>
        <w:tblW w:type="dxa" w:w="9000"/>
        <w:tblBorders>
          <w:top w:val="single" w:color="CBBEDD" w:sz="4"/>
          <w:left w:val="single" w:color="CBBEDD" w:sz="4"/>
          <w:bottom w:val="single" w:color="CBBEDD" w:sz="4"/>
          <w:right w:val="single" w:color="CBBEDD" w:sz="4"/>
          <w:insideH w:val="single" w:color="CBBEDD" w:sz="4"/>
          <w:insideV w:val="single" w:color="CBBEDD" w:sz="4"/>
        </w:tblBorders>
      </w:tblPr>
      <w:tblGrid>
        <w:gridCol w:w="4500"/>
        <w:gridCol w:w="4500"/>
      </w:tblGrid>
      <w:tr>
        <w:trPr>
          <w:tblHeader/>
        </w:trPr>
        <w:tc>
          <w:tcPr>
            <w:tcW w:type="dxa" w:w="4500"/>
            <w:shd w:fill="6B3FA0" w:val="clear"/>
            <w:tcMar>
              <w:top w:type="dxa" w:w="100"/>
              <w:left w:type="dxa" w:w="120"/>
              <w:bottom w:type="dxa" w:w="100"/>
              <w:right w:type="dxa" w:w="120"/>
            </w:tcMar>
          </w:tcPr>
          <w:p>
            <w:r>
              <w:rPr>
                <w:b/>
                <w:bCs/>
                <w:color w:val="FFFFFF"/>
                <w:sz w:val="20"/>
                <w:szCs w:val="20"/>
              </w:rPr>
              <w:t xml:space="preserve">Employee</w:t>
            </w:r>
          </w:p>
        </w:tc>
        <w:tc>
          <w:tcPr>
            <w:tcW w:type="dxa" w:w="4500"/>
            <w:shd w:fill="6B3FA0" w:val="clear"/>
            <w:tcMar>
              <w:top w:type="dxa" w:w="100"/>
              <w:left w:type="dxa" w:w="120"/>
              <w:bottom w:type="dxa" w:w="100"/>
              <w:right w:type="dxa" w:w="120"/>
            </w:tcMar>
          </w:tcPr>
          <w:p>
            <w:r>
              <w:rPr>
                <w:b/>
                <w:bCs/>
                <w:color w:val="FFFFFF"/>
                <w:sz w:val="20"/>
                <w:szCs w:val="20"/>
              </w:rPr>
              <w:t xml:space="preserve">Total Orders</w:t>
            </w:r>
          </w:p>
        </w:tc>
      </w:tr>
      <w:tr>
        <w:tc>
          <w:tcPr>
            <w:tcW w:type="dxa" w:w="4500"/>
            <w:shd w:fill="FFFFFF" w:val="clear"/>
            <w:tcMar>
              <w:top w:type="dxa" w:w="90"/>
              <w:left w:type="dxa" w:w="120"/>
              <w:bottom w:type="dxa" w:w="90"/>
              <w:right w:type="dxa" w:w="120"/>
            </w:tcMar>
          </w:tcPr>
          <w:p>
            <w:r>
              <w:rPr>
                <w:color w:val="1F1F1F"/>
                <w:sz w:val="20"/>
                <w:szCs w:val="20"/>
              </w:rPr>
              <w:t xml:space="preserve">Margaret Peacock</w:t>
            </w:r>
          </w:p>
        </w:tc>
        <w:tc>
          <w:tcPr>
            <w:tcW w:type="dxa" w:w="4500"/>
            <w:shd w:fill="FFFFFF" w:val="clear"/>
            <w:tcMar>
              <w:top w:type="dxa" w:w="90"/>
              <w:left w:type="dxa" w:w="120"/>
              <w:bottom w:type="dxa" w:w="90"/>
              <w:right w:type="dxa" w:w="120"/>
            </w:tcMar>
          </w:tcPr>
          <w:p>
            <w:r>
              <w:rPr>
                <w:color w:val="1F1F1F"/>
                <w:sz w:val="20"/>
                <w:szCs w:val="20"/>
              </w:rPr>
              <w:t xml:space="preserve">151</w:t>
            </w:r>
          </w:p>
        </w:tc>
      </w:tr>
      <w:tr>
        <w:tc>
          <w:tcPr>
            <w:tcW w:type="dxa" w:w="4500"/>
            <w:shd w:fill="F5F1FA" w:val="clear"/>
            <w:tcMar>
              <w:top w:type="dxa" w:w="90"/>
              <w:left w:type="dxa" w:w="120"/>
              <w:bottom w:type="dxa" w:w="90"/>
              <w:right w:type="dxa" w:w="120"/>
            </w:tcMar>
          </w:tcPr>
          <w:p>
            <w:r>
              <w:rPr>
                <w:color w:val="1F1F1F"/>
                <w:sz w:val="20"/>
                <w:szCs w:val="20"/>
              </w:rPr>
              <w:t xml:space="preserve">Janet Leverling</w:t>
            </w:r>
          </w:p>
        </w:tc>
        <w:tc>
          <w:tcPr>
            <w:tcW w:type="dxa" w:w="4500"/>
            <w:shd w:fill="F5F1FA" w:val="clear"/>
            <w:tcMar>
              <w:top w:type="dxa" w:w="90"/>
              <w:left w:type="dxa" w:w="120"/>
              <w:bottom w:type="dxa" w:w="90"/>
              <w:right w:type="dxa" w:w="120"/>
            </w:tcMar>
          </w:tcPr>
          <w:p>
            <w:r>
              <w:rPr>
                <w:color w:val="1F1F1F"/>
                <w:sz w:val="20"/>
                <w:szCs w:val="20"/>
              </w:rPr>
              <w:t xml:space="preserve">127</w:t>
            </w:r>
          </w:p>
        </w:tc>
      </w:tr>
      <w:tr>
        <w:tc>
          <w:tcPr>
            <w:tcW w:type="dxa" w:w="4500"/>
            <w:shd w:fill="FFFFFF" w:val="clear"/>
            <w:tcMar>
              <w:top w:type="dxa" w:w="90"/>
              <w:left w:type="dxa" w:w="120"/>
              <w:bottom w:type="dxa" w:w="90"/>
              <w:right w:type="dxa" w:w="120"/>
            </w:tcMar>
          </w:tcPr>
          <w:p>
            <w:r>
              <w:rPr>
                <w:color w:val="1F1F1F"/>
                <w:sz w:val="20"/>
                <w:szCs w:val="20"/>
              </w:rPr>
              <w:t xml:space="preserve">Nancy Davolio</w:t>
            </w:r>
          </w:p>
        </w:tc>
        <w:tc>
          <w:tcPr>
            <w:tcW w:type="dxa" w:w="4500"/>
            <w:shd w:fill="FFFFFF" w:val="clear"/>
            <w:tcMar>
              <w:top w:type="dxa" w:w="90"/>
              <w:left w:type="dxa" w:w="120"/>
              <w:bottom w:type="dxa" w:w="90"/>
              <w:right w:type="dxa" w:w="120"/>
            </w:tcMar>
          </w:tcPr>
          <w:p>
            <w:r>
              <w:rPr>
                <w:color w:val="1F1F1F"/>
                <w:sz w:val="20"/>
                <w:szCs w:val="20"/>
              </w:rPr>
              <w:t xml:space="preserve">120</w:t>
            </w:r>
          </w:p>
        </w:tc>
      </w:tr>
      <w:tr>
        <w:tc>
          <w:tcPr>
            <w:tcW w:type="dxa" w:w="4500"/>
            <w:shd w:fill="F5F1FA" w:val="clear"/>
            <w:tcMar>
              <w:top w:type="dxa" w:w="90"/>
              <w:left w:type="dxa" w:w="120"/>
              <w:bottom w:type="dxa" w:w="90"/>
              <w:right w:type="dxa" w:w="120"/>
            </w:tcMar>
          </w:tcPr>
          <w:p>
            <w:r>
              <w:rPr>
                <w:color w:val="1F1F1F"/>
                <w:sz w:val="20"/>
                <w:szCs w:val="20"/>
              </w:rPr>
              <w:t xml:space="preserve">Laura Callahan</w:t>
            </w:r>
          </w:p>
        </w:tc>
        <w:tc>
          <w:tcPr>
            <w:tcW w:type="dxa" w:w="4500"/>
            <w:shd w:fill="F5F1FA" w:val="clear"/>
            <w:tcMar>
              <w:top w:type="dxa" w:w="90"/>
              <w:left w:type="dxa" w:w="120"/>
              <w:bottom w:type="dxa" w:w="90"/>
              <w:right w:type="dxa" w:w="120"/>
            </w:tcMar>
          </w:tcPr>
          <w:p>
            <w:r>
              <w:rPr>
                <w:color w:val="1F1F1F"/>
                <w:sz w:val="20"/>
                <w:szCs w:val="20"/>
              </w:rPr>
              <w:t xml:space="preserve">100</w:t>
            </w:r>
          </w:p>
        </w:tc>
      </w:tr>
      <w:tr>
        <w:tc>
          <w:tcPr>
            <w:tcW w:type="dxa" w:w="4500"/>
            <w:shd w:fill="FFFFFF" w:val="clear"/>
            <w:tcMar>
              <w:top w:type="dxa" w:w="90"/>
              <w:left w:type="dxa" w:w="120"/>
              <w:bottom w:type="dxa" w:w="90"/>
              <w:right w:type="dxa" w:w="120"/>
            </w:tcMar>
          </w:tcPr>
          <w:p>
            <w:r>
              <w:rPr>
                <w:color w:val="1F1F1F"/>
                <w:sz w:val="20"/>
                <w:szCs w:val="20"/>
              </w:rPr>
              <w:t xml:space="preserve">(Blank)</w:t>
            </w:r>
          </w:p>
        </w:tc>
        <w:tc>
          <w:tcPr>
            <w:tcW w:type="dxa" w:w="4500"/>
            <w:shd w:fill="FFFFFF" w:val="clear"/>
            <w:tcMar>
              <w:top w:type="dxa" w:w="90"/>
              <w:left w:type="dxa" w:w="120"/>
              <w:bottom w:type="dxa" w:w="90"/>
              <w:right w:type="dxa" w:w="120"/>
            </w:tcMar>
          </w:tcPr>
          <w:p>
            <w:r>
              <w:rPr>
                <w:color w:val="1F1F1F"/>
                <w:sz w:val="20"/>
                <w:szCs w:val="20"/>
              </w:rPr>
              <w:t xml:space="preserve">93</w:t>
            </w:r>
          </w:p>
        </w:tc>
      </w:tr>
      <w:tr>
        <w:tc>
          <w:tcPr>
            <w:tcW w:type="dxa" w:w="4500"/>
            <w:shd w:fill="F5F1FA" w:val="clear"/>
            <w:tcMar>
              <w:top w:type="dxa" w:w="90"/>
              <w:left w:type="dxa" w:w="120"/>
              <w:bottom w:type="dxa" w:w="90"/>
              <w:right w:type="dxa" w:w="120"/>
            </w:tcMar>
          </w:tcPr>
          <w:p>
            <w:r>
              <w:rPr>
                <w:color w:val="1F1F1F"/>
                <w:sz w:val="20"/>
                <w:szCs w:val="20"/>
              </w:rPr>
              <w:t xml:space="preserve">Robert King</w:t>
            </w:r>
          </w:p>
        </w:tc>
        <w:tc>
          <w:tcPr>
            <w:tcW w:type="dxa" w:w="4500"/>
            <w:shd w:fill="F5F1FA" w:val="clear"/>
            <w:tcMar>
              <w:top w:type="dxa" w:w="90"/>
              <w:left w:type="dxa" w:w="120"/>
              <w:bottom w:type="dxa" w:w="90"/>
              <w:right w:type="dxa" w:w="120"/>
            </w:tcMar>
          </w:tcPr>
          <w:p>
            <w:r>
              <w:rPr>
                <w:color w:val="1F1F1F"/>
                <w:sz w:val="20"/>
                <w:szCs w:val="20"/>
              </w:rPr>
              <w:t xml:space="preserve">69</w:t>
            </w:r>
          </w:p>
        </w:tc>
      </w:tr>
      <w:tr>
        <w:tc>
          <w:tcPr>
            <w:tcW w:type="dxa" w:w="4500"/>
            <w:shd w:fill="FFFFFF" w:val="clear"/>
            <w:tcMar>
              <w:top w:type="dxa" w:w="90"/>
              <w:left w:type="dxa" w:w="120"/>
              <w:bottom w:type="dxa" w:w="90"/>
              <w:right w:type="dxa" w:w="120"/>
            </w:tcMar>
          </w:tcPr>
          <w:p>
            <w:r>
              <w:rPr>
                <w:color w:val="1F1F1F"/>
                <w:sz w:val="20"/>
                <w:szCs w:val="20"/>
              </w:rPr>
              <w:t xml:space="preserve">Michael Suyama</w:t>
            </w:r>
          </w:p>
        </w:tc>
        <w:tc>
          <w:tcPr>
            <w:tcW w:type="dxa" w:w="4500"/>
            <w:shd w:fill="FFFFFF" w:val="clear"/>
            <w:tcMar>
              <w:top w:type="dxa" w:w="90"/>
              <w:left w:type="dxa" w:w="120"/>
              <w:bottom w:type="dxa" w:w="90"/>
              <w:right w:type="dxa" w:w="120"/>
            </w:tcMar>
          </w:tcPr>
          <w:p>
            <w:r>
              <w:rPr>
                <w:color w:val="1F1F1F"/>
                <w:sz w:val="20"/>
                <w:szCs w:val="20"/>
              </w:rPr>
              <w:t xml:space="preserve">65</w:t>
            </w:r>
          </w:p>
        </w:tc>
      </w:tr>
      <w:tr>
        <w:tc>
          <w:tcPr>
            <w:tcW w:type="dxa" w:w="4500"/>
            <w:shd w:fill="F5F1FA" w:val="clear"/>
            <w:tcMar>
              <w:top w:type="dxa" w:w="90"/>
              <w:left w:type="dxa" w:w="120"/>
              <w:bottom w:type="dxa" w:w="90"/>
              <w:right w:type="dxa" w:w="120"/>
            </w:tcMar>
          </w:tcPr>
          <w:p>
            <w:r>
              <w:rPr>
                <w:color w:val="1F1F1F"/>
                <w:sz w:val="20"/>
                <w:szCs w:val="20"/>
              </w:rPr>
              <w:t xml:space="preserve">Anne Dodsworth</w:t>
            </w:r>
          </w:p>
        </w:tc>
        <w:tc>
          <w:tcPr>
            <w:tcW w:type="dxa" w:w="4500"/>
            <w:shd w:fill="F5F1FA" w:val="clear"/>
            <w:tcMar>
              <w:top w:type="dxa" w:w="90"/>
              <w:left w:type="dxa" w:w="120"/>
              <w:bottom w:type="dxa" w:w="90"/>
              <w:right w:type="dxa" w:w="120"/>
            </w:tcMar>
          </w:tcPr>
          <w:p>
            <w:r>
              <w:rPr>
                <w:color w:val="1F1F1F"/>
                <w:sz w:val="20"/>
                <w:szCs w:val="20"/>
              </w:rPr>
              <w:t xml:space="preserve">42</w:t>
            </w:r>
          </w:p>
        </w:tc>
      </w:tr>
      <w:tr>
        <w:tc>
          <w:tcPr>
            <w:tcW w:type="dxa" w:w="4500"/>
            <w:shd w:fill="FFFFFF" w:val="clear"/>
            <w:tcMar>
              <w:top w:type="dxa" w:w="90"/>
              <w:left w:type="dxa" w:w="120"/>
              <w:bottom w:type="dxa" w:w="90"/>
              <w:right w:type="dxa" w:w="120"/>
            </w:tcMar>
          </w:tcPr>
          <w:p>
            <w:r>
              <w:rPr>
                <w:color w:val="1F1F1F"/>
                <w:sz w:val="20"/>
                <w:szCs w:val="20"/>
              </w:rPr>
              <w:t xml:space="preserve">Steven Buchanan</w:t>
            </w:r>
          </w:p>
        </w:tc>
        <w:tc>
          <w:tcPr>
            <w:tcW w:type="dxa" w:w="4500"/>
            <w:shd w:fill="FFFFFF" w:val="clear"/>
            <w:tcMar>
              <w:top w:type="dxa" w:w="90"/>
              <w:left w:type="dxa" w:w="120"/>
              <w:bottom w:type="dxa" w:w="90"/>
              <w:right w:type="dxa" w:w="120"/>
            </w:tcMar>
          </w:tcPr>
          <w:p>
            <w:r>
              <w:rPr>
                <w:color w:val="1F1F1F"/>
                <w:sz w:val="20"/>
                <w:szCs w:val="20"/>
              </w:rPr>
              <w:t xml:space="preserve">42</w:t>
            </w:r>
          </w:p>
        </w:tc>
      </w:tr>
    </w:tbl>
    <w:p>
      <w:pPr>
        <w:spacing w:before="160"/>
      </w:pPr>
    </w:p>
    <w:p>
      <w:pPr>
        <w:pStyle w:val="ListParagraph"/>
        <w:numPr>
          <w:ilvl w:val="0"/>
          <w:numId w:val="1"/>
        </w:numPr>
        <w:spacing w:after="80"/>
      </w:pPr>
      <w:r>
        <w:rPr>
          <w:b/>
          <w:bCs/>
          <w:color w:val="1F1F1F"/>
          <w:sz w:val="22"/>
          <w:szCs w:val="22"/>
        </w:rPr>
        <w:t xml:space="preserve">Highest-performing employee: </w:t>
      </w:r>
      <w:r>
        <w:rPr>
          <w:color w:val="1F1F1F"/>
          <w:sz w:val="22"/>
          <w:szCs w:val="22"/>
        </w:rPr>
        <w:t xml:space="preserve">Margaret Peacock, with 151 orders.</w:t>
      </w:r>
    </w:p>
    <w:p>
      <w:pPr>
        <w:pStyle w:val="ListParagraph"/>
        <w:numPr>
          <w:ilvl w:val="0"/>
          <w:numId w:val="1"/>
        </w:numPr>
        <w:spacing w:after="80"/>
      </w:pPr>
      <w:r>
        <w:rPr>
          <w:b/>
          <w:bCs/>
          <w:color w:val="1F1F1F"/>
          <w:sz w:val="22"/>
          <w:szCs w:val="22"/>
        </w:rPr>
        <w:t xml:space="preserve">Lowest-performing employee: </w:t>
      </w:r>
      <w:r>
        <w:rPr>
          <w:color w:val="1F1F1F"/>
          <w:sz w:val="22"/>
          <w:szCs w:val="22"/>
        </w:rPr>
        <w:t xml:space="preserve">Anne Dodsworth and Steven Buchanan, tied at 42 orders each.</w:t>
      </w:r>
    </w:p>
    <w:p>
      <w:pPr>
        <w:pStyle w:val="ListParagraph"/>
        <w:numPr>
          <w:ilvl w:val="0"/>
          <w:numId w:val="1"/>
        </w:numPr>
        <w:spacing w:after="80"/>
      </w:pPr>
      <w:r>
        <w:rPr>
          <w:b/>
          <w:bCs/>
          <w:color w:val="1F1F1F"/>
          <w:sz w:val="22"/>
          <w:szCs w:val="22"/>
        </w:rPr>
        <w:t xml:space="preserve">Difference between employees: </w:t>
      </w:r>
      <w:r>
        <w:rPr>
          <w:color w:val="1F1F1F"/>
          <w:sz w:val="22"/>
          <w:szCs w:val="22"/>
        </w:rPr>
        <w:t xml:space="preserve">The gap between the highest and lowest performers is 109 orders — Margaret Peacock has handled roughly 3.6x as many orders as Steven Buchanan or Anne Dodsworth.</w:t>
      </w:r>
    </w:p>
    <w:p>
      <w:pPr>
        <w:pStyle w:val="ListParagraph"/>
        <w:numPr>
          <w:ilvl w:val="0"/>
          <w:numId w:val="1"/>
        </w:numPr>
        <w:spacing w:after="80"/>
      </w:pPr>
      <w:r>
        <w:rPr>
          <w:b/>
          <w:bCs/>
          <w:color w:val="1F1F1F"/>
          <w:sz w:val="22"/>
          <w:szCs w:val="22"/>
        </w:rPr>
        <w:t xml:space="preserve">Changes after applying filters: </w:t>
      </w:r>
      <w:r>
        <w:rPr>
          <w:color w:val="1F1F1F"/>
          <w:sz w:val="22"/>
          <w:szCs w:val="22"/>
        </w:rPr>
        <w:t xml:space="preserve">With the Region, Category, and Year slicers all set to "All," this ranking reflects full-year, all-region performance. Applying a single Region or Category filter would be expected to compress the chart and could reorder employees whose orders are concentrated in a particular territory or product line.</w:t>
      </w:r>
    </w:p>
    <w:tbl>
      <w:tblPr>
        <w:tblW w:type="pct" w:w="100%"/>
        <w:tblBorders>
          <w:top w:val="single" w:color="6B3FA0" w:sz="6"/>
          <w:left w:val="single" w:color="6B3FA0" w:sz="6"/>
          <w:bottom w:val="single" w:color="6B3FA0" w:sz="6"/>
          <w:right w:val="single" w:color="6B3FA0" w:sz="6"/>
          <w:insideH w:val="none" w:color="FFFFFF" w:sz="0"/>
          <w:insideV w:val="none" w:color="FFFFFF" w:sz="0"/>
        </w:tblBorders>
      </w:tblPr>
      <w:tblGrid>
        <w:gridCol w:w="100"/>
      </w:tblGrid>
      <w:tr>
        <w:tc>
          <w:tcPr>
            <w:shd w:fill="F2ECFA" w:val="clear"/>
            <w:tcMar>
              <w:top w:type="dxa" w:w="140"/>
              <w:left w:type="dxa" w:w="180"/>
              <w:bottom w:type="dxa" w:w="140"/>
              <w:right w:type="dxa" w:w="180"/>
            </w:tcMar>
          </w:tcPr>
          <w:p>
            <w:pPr>
              <w:spacing w:after="60"/>
            </w:pPr>
            <w:r>
              <w:rPr>
                <w:b/>
                <w:bCs/>
                <w:color w:val="6B3FA0"/>
                <w:sz w:val="22"/>
                <w:szCs w:val="22"/>
              </w:rPr>
              <w:t xml:space="preserve">Key Insight</w:t>
            </w:r>
          </w:p>
          <w:p>
            <w:r>
              <w:rPr>
                <w:color w:val="1F1F1F"/>
                <w:sz w:val="22"/>
                <w:szCs w:val="22"/>
              </w:rPr>
              <w:t xml:space="preserve">Order volume is uneven across the sales team: the top three employees (Margaret Peacock, Janet Leverling, Nancy Davolio) together handle nearly half of all recorded orders, while the bottom two handle barely a quarter of the top performer's volume. The 93 orders logged under "(Blank)" also point to a data-entry gap that should be corrected before employee performance is used for evaluation or incentives.</w:t>
            </w:r>
          </w:p>
        </w:tc>
      </w:tr>
    </w:tbl>
    <w:p>
      <w:pPr>
        <w:pStyle w:val="Heading1"/>
        <w:pBdr>
          <w:bottom w:val="single" w:color="6B3FA0" w:sz="8" w:space="4"/>
        </w:pBdr>
        <w:spacing w:after="160" w:before="360"/>
      </w:pPr>
      <w:r>
        <w:rPr>
          <w:b/>
          <w:bCs/>
          <w:color w:val="6B3FA0"/>
          <w:sz w:val="30"/>
          <w:szCs w:val="30"/>
        </w:rPr>
        <w:t xml:space="preserve">9. Business Insights</w:t>
      </w:r>
    </w:p>
    <w:p>
      <w:pPr>
        <w:pStyle w:val="Heading2"/>
        <w:spacing w:after="120" w:before="240"/>
      </w:pPr>
      <w:r>
        <w:rPr>
          <w:b/>
          <w:bCs/>
          <w:color w:val="2E9E9E"/>
          <w:sz w:val="24"/>
          <w:szCs w:val="24"/>
        </w:rPr>
        <w:t xml:space="preserve">Insight 1 — Revenue is concentrated in two product categories</w:t>
      </w:r>
    </w:p>
    <w:p>
      <w:pPr>
        <w:spacing w:after="120"/>
      </w:pPr>
      <w:r>
        <w:rPr>
          <w:color w:val="1F1F1F"/>
          <w:sz w:val="22"/>
          <w:szCs w:val="22"/>
        </w:rPr>
        <w:t xml:space="preserve">Observation: Beverages (0.27M) and Dairy Products (0.23M) together generate close to 40% of total category sales, while the bottom four categories combined contribute less.</w:t>
      </w:r>
    </w:p>
    <w:p>
      <w:pPr>
        <w:spacing w:after="120"/>
      </w:pPr>
      <w:r>
        <w:rPr>
          <w:color w:val="1F1F1F"/>
          <w:sz w:val="22"/>
          <w:szCs w:val="22"/>
        </w:rPr>
        <w:t xml:space="preserve">Insight: The business is heavily reliant on two categories for revenue, which is a concentration risk if supply or demand for either category is disrupted, but also a clear opportunity to double down on what is already working.</w:t>
      </w:r>
    </w:p>
    <w:p>
      <w:pPr>
        <w:pStyle w:val="Heading2"/>
        <w:spacing w:after="120" w:before="240"/>
      </w:pPr>
      <w:r>
        <w:rPr>
          <w:b/>
          <w:bCs/>
          <w:color w:val="2E9E9E"/>
          <w:sz w:val="24"/>
          <w:szCs w:val="24"/>
        </w:rPr>
        <w:t xml:space="preserve">Insight 2 — Order volume is strongly seasonal with a mid-year slump</w:t>
      </w:r>
    </w:p>
    <w:p>
      <w:pPr>
        <w:spacing w:after="120"/>
      </w:pPr>
      <w:r>
        <w:rPr>
          <w:color w:val="1F1F1F"/>
          <w:sz w:val="22"/>
          <w:szCs w:val="22"/>
        </w:rPr>
        <w:t xml:space="preserve">Observation: Orders peak in March (just over 100), fall sharply to a June low (~35–40), and only gradually recover through December.</w:t>
      </w:r>
    </w:p>
    <w:p>
      <w:pPr>
        <w:spacing w:after="120"/>
      </w:pPr>
      <w:r>
        <w:rPr>
          <w:color w:val="1F1F1F"/>
          <w:sz w:val="22"/>
          <w:szCs w:val="22"/>
        </w:rPr>
        <w:t xml:space="preserve">Insight: Demand is not steady through the year; the business likely needs a deliberate plan (promotions, pricing, staffing) for the April–June period rather than treating the dip as random noise.</w:t>
      </w:r>
    </w:p>
    <w:p>
      <w:pPr>
        <w:pStyle w:val="Heading2"/>
        <w:spacing w:after="120" w:before="240"/>
      </w:pPr>
      <w:r>
        <w:rPr>
          <w:b/>
          <w:bCs/>
          <w:color w:val="2E9E9E"/>
          <w:sz w:val="24"/>
          <w:szCs w:val="24"/>
        </w:rPr>
        <w:t xml:space="preserve">Insight 3 — Sales performance is unevenly distributed across employees</w:t>
      </w:r>
    </w:p>
    <w:p>
      <w:pPr>
        <w:spacing w:after="120"/>
      </w:pPr>
      <w:r>
        <w:rPr>
          <w:color w:val="1F1F1F"/>
          <w:sz w:val="22"/>
          <w:szCs w:val="22"/>
        </w:rPr>
        <w:t xml:space="preserve">Observation: The top three employees handle far more orders (151, 127, 120) than the bottom performers (42, 42), and 93 orders have no employee assigned.</w:t>
      </w:r>
    </w:p>
    <w:p>
      <w:pPr>
        <w:spacing w:after="120"/>
      </w:pPr>
      <w:r>
        <w:rPr>
          <w:color w:val="1F1F1F"/>
          <w:sz w:val="22"/>
          <w:szCs w:val="22"/>
        </w:rPr>
        <w:t xml:space="preserve">Insight: There is room to raise overall performance by studying what the top performers do differently, and the unassigned "(Blank)" orders indicate a data quality issue that is currently limiting how reliable this analysis can be.</w:t>
      </w:r>
    </w:p>
    <w:p>
      <w:pPr>
        <w:pStyle w:val="Heading1"/>
        <w:pBdr>
          <w:bottom w:val="single" w:color="6B3FA0" w:sz="8" w:space="4"/>
        </w:pBdr>
        <w:spacing w:after="160" w:before="360"/>
      </w:pPr>
      <w:r>
        <w:rPr>
          <w:b/>
          <w:bCs/>
          <w:color w:val="6B3FA0"/>
          <w:sz w:val="30"/>
          <w:szCs w:val="30"/>
        </w:rPr>
        <w:t xml:space="preserve">10. Business Recommendations</w:t>
      </w:r>
    </w:p>
    <w:p>
      <w:pPr>
        <w:pStyle w:val="ListParagraph"/>
        <w:numPr>
          <w:ilvl w:val="0"/>
          <w:numId w:val="1"/>
        </w:numPr>
        <w:spacing w:after="80"/>
      </w:pPr>
      <w:r>
        <w:rPr>
          <w:b/>
          <w:bCs/>
          <w:color w:val="1F1F1F"/>
          <w:sz w:val="22"/>
          <w:szCs w:val="22"/>
        </w:rPr>
        <w:t xml:space="preserve">Product category planning: </w:t>
      </w:r>
      <w:r>
        <w:rPr>
          <w:color w:val="1F1F1F"/>
          <w:sz w:val="22"/>
          <w:szCs w:val="22"/>
        </w:rPr>
        <w:t xml:space="preserve">Run targeted promotions, bundles, or cross-sells for Produce and Grains &amp; Cereals to close the gap with Beverages and Dairy Products.</w:t>
      </w:r>
    </w:p>
    <w:p>
      <w:pPr>
        <w:pStyle w:val="ListParagraph"/>
        <w:numPr>
          <w:ilvl w:val="0"/>
          <w:numId w:val="1"/>
        </w:numPr>
        <w:spacing w:after="80"/>
      </w:pPr>
      <w:r>
        <w:rPr>
          <w:b/>
          <w:bCs/>
          <w:color w:val="1F1F1F"/>
          <w:sz w:val="22"/>
          <w:szCs w:val="22"/>
        </w:rPr>
        <w:t xml:space="preserve">Inventory planning: </w:t>
      </w:r>
      <w:r>
        <w:rPr>
          <w:color w:val="1F1F1F"/>
          <w:sz w:val="22"/>
          <w:szCs w:val="22"/>
        </w:rPr>
        <w:t xml:space="preserve">Align stock levels with the March peak and June trough — build up inventory ahead of Q1 and scale back ordering heading into the April–June slowdown.</w:t>
      </w:r>
    </w:p>
    <w:p>
      <w:pPr>
        <w:pStyle w:val="ListParagraph"/>
        <w:numPr>
          <w:ilvl w:val="0"/>
          <w:numId w:val="1"/>
        </w:numPr>
        <w:spacing w:after="80"/>
      </w:pPr>
      <w:r>
        <w:rPr>
          <w:b/>
          <w:bCs/>
          <w:color w:val="1F1F1F"/>
          <w:sz w:val="22"/>
          <w:szCs w:val="22"/>
        </w:rPr>
        <w:t xml:space="preserve">Regional strategy: </w:t>
      </w:r>
      <w:r>
        <w:rPr>
          <w:color w:val="1F1F1F"/>
          <w:sz w:val="22"/>
          <w:szCs w:val="22"/>
        </w:rPr>
        <w:t xml:space="preserve">Use the Region slicer regularly to identify which territories are driving (or dragging down) overall sales, and tailor strategy region by region rather than treating the market as uniform.</w:t>
      </w:r>
    </w:p>
    <w:p>
      <w:pPr>
        <w:pStyle w:val="ListParagraph"/>
        <w:numPr>
          <w:ilvl w:val="0"/>
          <w:numId w:val="1"/>
        </w:numPr>
        <w:spacing w:after="80"/>
      </w:pPr>
      <w:r>
        <w:rPr>
          <w:b/>
          <w:bCs/>
          <w:color w:val="1F1F1F"/>
          <w:sz w:val="22"/>
          <w:szCs w:val="22"/>
        </w:rPr>
        <w:t xml:space="preserve">Employee performance: </w:t>
      </w:r>
      <w:r>
        <w:rPr>
          <w:color w:val="1F1F1F"/>
          <w:sz w:val="22"/>
          <w:szCs w:val="22"/>
        </w:rPr>
        <w:t xml:space="preserve">Pair top performers such as Margaret Peacock and Janet Leverling with lower-performing employees (Anne Dodsworth, Steven Buchanan) in a mentoring arrangement, and investigate the 93 "(Blank)" orders to restore data quality.</w:t>
      </w:r>
    </w:p>
    <w:p>
      <w:pPr>
        <w:pStyle w:val="ListParagraph"/>
        <w:numPr>
          <w:ilvl w:val="0"/>
          <w:numId w:val="1"/>
        </w:numPr>
        <w:spacing w:after="80"/>
      </w:pPr>
      <w:r>
        <w:rPr>
          <w:b/>
          <w:bCs/>
          <w:color w:val="1F1F1F"/>
          <w:sz w:val="22"/>
          <w:szCs w:val="22"/>
        </w:rPr>
        <w:t xml:space="preserve">Monthly order planning: </w:t>
      </w:r>
      <w:r>
        <w:rPr>
          <w:color w:val="1F1F1F"/>
          <w:sz w:val="22"/>
          <w:szCs w:val="22"/>
        </w:rPr>
        <w:t xml:space="preserve">Introduce a mid-year campaign (April–June) — discounts, loyalty incentives, or marketing pushes — specifically to counter the seasonal dip identified in the monthly trend.</w:t>
      </w:r>
    </w:p>
    <w:p>
      <w:pPr>
        <w:pStyle w:val="ListParagraph"/>
        <w:numPr>
          <w:ilvl w:val="0"/>
          <w:numId w:val="1"/>
        </w:numPr>
        <w:spacing w:after="80"/>
      </w:pPr>
      <w:r>
        <w:rPr>
          <w:b/>
          <w:bCs/>
          <w:color w:val="1F1F1F"/>
          <w:sz w:val="22"/>
          <w:szCs w:val="22"/>
        </w:rPr>
        <w:t xml:space="preserve">Freight management: </w:t>
      </w:r>
      <w:r>
        <w:rPr>
          <w:color w:val="1F1F1F"/>
          <w:sz w:val="22"/>
          <w:szCs w:val="22"/>
        </w:rPr>
        <w:t xml:space="preserve">Monitor Total Freight (63.96K) and Average Freight (79.05) alongside order volume to spot whether shipping costs are eroding margins on lower-value categories such as Produce.</w:t>
      </w:r>
    </w:p>
    <w:p>
      <w:pPr>
        <w:pStyle w:val="ListParagraph"/>
        <w:numPr>
          <w:ilvl w:val="0"/>
          <w:numId w:val="1"/>
        </w:numPr>
        <w:spacing w:after="80"/>
      </w:pPr>
      <w:r>
        <w:rPr>
          <w:b/>
          <w:bCs/>
          <w:color w:val="1F1F1F"/>
          <w:sz w:val="22"/>
          <w:szCs w:val="22"/>
        </w:rPr>
        <w:t xml:space="preserve">Customer targeting: </w:t>
      </w:r>
      <w:r>
        <w:rPr>
          <w:color w:val="1F1F1F"/>
          <w:sz w:val="22"/>
          <w:szCs w:val="22"/>
        </w:rPr>
        <w:t xml:space="preserve">With only 91 customers driving 1.27M in sales, prioritise retention and upsell campaigns for existing high-value customers while exploring acquisition to reduce reliance on a small customer base.</w:t>
      </w:r>
    </w:p>
    <w:p>
      <w:pPr>
        <w:pStyle w:val="Heading1"/>
        <w:pBdr>
          <w:bottom w:val="single" w:color="6B3FA0" w:sz="8" w:space="4"/>
        </w:pBdr>
        <w:spacing w:after="160" w:before="360"/>
      </w:pPr>
      <w:r>
        <w:rPr>
          <w:b/>
          <w:bCs/>
          <w:color w:val="6B3FA0"/>
          <w:sz w:val="30"/>
          <w:szCs w:val="30"/>
        </w:rPr>
        <w:t xml:space="preserve">11. Conclusion</w:t>
      </w:r>
    </w:p>
    <w:p>
      <w:pPr>
        <w:spacing w:after="120"/>
      </w:pPr>
      <w:r>
        <w:rPr>
          <w:color w:val="1F1F1F"/>
          <w:sz w:val="22"/>
          <w:szCs w:val="22"/>
        </w:rPr>
        <w:t xml:space="preserve">Overall, the dashboard shows a business built on Northwind's classic sales data (2013) with 809 orders, 91 customers, and 1.27M in total sales across 8 product categories, 9 employees, and multiple regions, tied together through interactive Region, Category, and Year slicers.</w:t>
      </w:r>
    </w:p>
    <w:p>
      <w:pPr>
        <w:pStyle w:val="ListParagraph"/>
        <w:numPr>
          <w:ilvl w:val="0"/>
          <w:numId w:val="1"/>
        </w:numPr>
        <w:spacing w:after="80"/>
      </w:pPr>
      <w:r>
        <w:rPr>
          <w:b/>
          <w:bCs/>
          <w:color w:val="1F1F1F"/>
          <w:sz w:val="22"/>
          <w:szCs w:val="22"/>
        </w:rPr>
        <w:t xml:space="preserve">Overall dashboard findings: </w:t>
      </w:r>
      <w:r>
        <w:rPr>
          <w:color w:val="1F1F1F"/>
          <w:sz w:val="22"/>
          <w:szCs w:val="22"/>
        </w:rPr>
        <w:t xml:space="preserve">Sales are concentrated in two categories, order volume swings sharply by season, and employee performance is unevenly spread across the sales team.</w:t>
      </w:r>
    </w:p>
    <w:p>
      <w:pPr>
        <w:pStyle w:val="ListParagraph"/>
        <w:numPr>
          <w:ilvl w:val="0"/>
          <w:numId w:val="1"/>
        </w:numPr>
        <w:spacing w:after="80"/>
      </w:pPr>
      <w:r>
        <w:rPr>
          <w:b/>
          <w:bCs/>
          <w:color w:val="1F1F1F"/>
          <w:sz w:val="22"/>
          <w:szCs w:val="22"/>
        </w:rPr>
        <w:t xml:space="preserve">Most important business insight: </w:t>
      </w:r>
      <w:r>
        <w:rPr>
          <w:color w:val="1F1F1F"/>
          <w:sz w:val="22"/>
          <w:szCs w:val="22"/>
        </w:rPr>
        <w:t xml:space="preserve">The March-to-June order collapse is the single biggest pattern in the data, since it affects revenue, staffing, and inventory planning all at once.</w:t>
      </w:r>
    </w:p>
    <w:p>
      <w:pPr>
        <w:pStyle w:val="ListParagraph"/>
        <w:numPr>
          <w:ilvl w:val="0"/>
          <w:numId w:val="1"/>
        </w:numPr>
        <w:spacing w:after="80"/>
      </w:pPr>
      <w:r>
        <w:rPr>
          <w:b/>
          <w:bCs/>
          <w:color w:val="1F1F1F"/>
          <w:sz w:val="22"/>
          <w:szCs w:val="22"/>
        </w:rPr>
        <w:t xml:space="preserve">Key recommendation: </w:t>
      </w:r>
      <w:r>
        <w:rPr>
          <w:color w:val="1F1F1F"/>
          <w:sz w:val="22"/>
          <w:szCs w:val="22"/>
        </w:rPr>
        <w:t xml:space="preserve">Launch a mid-year (April–June) sales and promotion push to flatten the seasonal dip while continuing to invest in the already-strong Beverages and Dairy Products categories.</w:t>
      </w:r>
    </w:p>
    <w:p>
      <w:pPr>
        <w:pStyle w:val="ListParagraph"/>
        <w:numPr>
          <w:ilvl w:val="0"/>
          <w:numId w:val="1"/>
        </w:numPr>
        <w:spacing w:after="80"/>
      </w:pPr>
      <w:r>
        <w:rPr>
          <w:b/>
          <w:bCs/>
          <w:color w:val="1F1F1F"/>
          <w:sz w:val="22"/>
          <w:szCs w:val="22"/>
        </w:rPr>
        <w:t xml:space="preserve">How Power BI helped: </w:t>
      </w:r>
      <w:r>
        <w:rPr>
          <w:color w:val="1F1F1F"/>
          <w:sz w:val="22"/>
          <w:szCs w:val="22"/>
        </w:rPr>
        <w:t xml:space="preserve">Power BI made it possible to combine KPI cards, trend charts, category and employee comparisons, and interactive slicers into a single view — turning scattered order-level data into a small number of clear, actionable patterns that would be far harder to spot in raw spreadsheet 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650ae6fb8a1c8f0e15dc360c5116583eaad378.png"/><Relationship Id="rId8" Type="http://schemas.openxmlformats.org/officeDocument/2006/relationships/image" Target="media/002a7da71f4e9551dd886dbdced15f234874d7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2026-09-23T05:01:22.571Z</dcterms:created>
  <dcterms:modified xsi:type="dcterms:W3CDTF">2026-09-23T05:01:22.580Z</dcterms:modified>
</cp:coreProperties>
</file>

<file path=docProps/custom.xml><?xml version="1.0" encoding="utf-8"?>
<Properties xmlns="http://schemas.openxmlformats.org/officeDocument/2006/custom-properties" xmlns:vt="http://schemas.openxmlformats.org/officeDocument/2006/docPropsVTypes"/>
</file>