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B2189" w14:textId="77777777" w:rsidR="00B53138" w:rsidRPr="00B53138" w:rsidRDefault="00B53138" w:rsidP="00B53138">
      <w:pPr>
        <w:pBdr>
          <w:bottom w:val="single" w:sz="6" w:space="1" w:color="auto"/>
        </w:pBdr>
        <w:spacing w:after="0" w:line="240" w:lineRule="auto"/>
        <w:jc w:val="center"/>
        <w:rPr>
          <w:rFonts w:ascii="Arial" w:eastAsia="Times New Roman" w:hAnsi="Arial" w:cs="Arial"/>
          <w:vanish/>
          <w:sz w:val="16"/>
          <w:szCs w:val="16"/>
        </w:rPr>
      </w:pPr>
      <w:r w:rsidRPr="00B53138">
        <w:rPr>
          <w:rFonts w:ascii="Arial" w:eastAsia="Times New Roman" w:hAnsi="Arial" w:cs="Arial"/>
          <w:vanish/>
          <w:sz w:val="16"/>
          <w:szCs w:val="16"/>
        </w:rPr>
        <w:t>Top of Form</w:t>
      </w:r>
    </w:p>
    <w:p w14:paraId="7B0266C6" w14:textId="77777777" w:rsidR="00B53138" w:rsidRPr="00B53138" w:rsidRDefault="00B53138" w:rsidP="00B53138">
      <w:pPr>
        <w:spacing w:line="240" w:lineRule="auto"/>
        <w:textAlignment w:val="baseline"/>
        <w:rPr>
          <w:rFonts w:ascii="Arial" w:eastAsia="Times New Roman" w:hAnsi="Arial" w:cs="Arial"/>
          <w:color w:val="464543"/>
          <w:sz w:val="24"/>
          <w:szCs w:val="24"/>
        </w:rPr>
      </w:pPr>
      <w:hyperlink r:id="rId5" w:tooltip="Powered by ExamFX - Online Training &amp; Assessment" w:history="1">
        <w:r w:rsidRPr="00B53138">
          <w:rPr>
            <w:rFonts w:ascii="Times New Roman" w:eastAsia="Times New Roman" w:hAnsi="Times New Roman" w:cs="Times New Roman"/>
            <w:b/>
            <w:bCs/>
            <w:color w:val="000000"/>
            <w:sz w:val="24"/>
            <w:szCs w:val="24"/>
            <w:u w:val="single"/>
          </w:rPr>
          <w:t>Powered by ExamFX - Online Training &amp; Assessment</w:t>
        </w:r>
      </w:hyperlink>
    </w:p>
    <w:p w14:paraId="262DAA40" w14:textId="77777777" w:rsidR="00B53138" w:rsidRPr="00B53138" w:rsidRDefault="00B53138" w:rsidP="00B53138">
      <w:pPr>
        <w:spacing w:before="100" w:beforeAutospacing="1" w:after="0" w:line="420" w:lineRule="atLeast"/>
        <w:textAlignment w:val="baseline"/>
        <w:outlineLvl w:val="0"/>
        <w:rPr>
          <w:rFonts w:ascii="LibreFranklin-Light" w:eastAsia="Times New Roman" w:hAnsi="LibreFranklin-Light" w:cs="Arial"/>
          <w:color w:val="464543"/>
          <w:kern w:val="36"/>
          <w:sz w:val="42"/>
          <w:szCs w:val="42"/>
        </w:rPr>
      </w:pPr>
      <w:r w:rsidRPr="00B53138">
        <w:rPr>
          <w:rFonts w:ascii="LibreFranklin-Light" w:eastAsia="Times New Roman" w:hAnsi="LibreFranklin-Light" w:cs="Arial"/>
          <w:color w:val="464543"/>
          <w:kern w:val="36"/>
          <w:sz w:val="42"/>
          <w:szCs w:val="42"/>
        </w:rPr>
        <w:t>Review Missed Questions</w:t>
      </w:r>
    </w:p>
    <w:p w14:paraId="40E91784" w14:textId="77777777" w:rsidR="00B53138" w:rsidRPr="00B53138" w:rsidRDefault="00B53138" w:rsidP="00B53138">
      <w:pPr>
        <w:spacing w:before="75" w:after="150" w:line="300" w:lineRule="atLeast"/>
        <w:textAlignment w:val="baseline"/>
        <w:outlineLvl w:val="1"/>
        <w:rPr>
          <w:rFonts w:ascii="LibreFranklin-Light" w:eastAsia="Times New Roman" w:hAnsi="LibreFranklin-Light" w:cs="Arial"/>
          <w:b/>
          <w:bCs/>
          <w:color w:val="53565A"/>
          <w:sz w:val="29"/>
          <w:szCs w:val="29"/>
        </w:rPr>
      </w:pPr>
      <w:r w:rsidRPr="00B53138">
        <w:rPr>
          <w:rFonts w:ascii="LibreFranklin-Light" w:eastAsia="Times New Roman" w:hAnsi="LibreFranklin-Light" w:cs="Arial"/>
          <w:b/>
          <w:bCs/>
          <w:color w:val="53565A"/>
          <w:sz w:val="29"/>
          <w:szCs w:val="29"/>
        </w:rPr>
        <w:t>Take some time to review the questions you missed in the session you just completed.</w:t>
      </w:r>
    </w:p>
    <w:tbl>
      <w:tblPr>
        <w:tblW w:w="0" w:type="auto"/>
        <w:tblCellMar>
          <w:left w:w="0" w:type="dxa"/>
          <w:right w:w="0" w:type="dxa"/>
        </w:tblCellMar>
        <w:tblLook w:val="04A0" w:firstRow="1" w:lastRow="0" w:firstColumn="1" w:lastColumn="0" w:noHBand="0" w:noVBand="1"/>
      </w:tblPr>
      <w:tblGrid>
        <w:gridCol w:w="651"/>
        <w:gridCol w:w="8709"/>
      </w:tblGrid>
      <w:tr w:rsidR="00B53138" w:rsidRPr="00B53138" w14:paraId="03966D2C"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4937FA9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This list shows all of the questions that you missed in the session you just completed. The answers you selected are in </w:t>
            </w:r>
            <w:r w:rsidRPr="00B53138">
              <w:rPr>
                <w:rFonts w:ascii="Arial" w:eastAsia="Times New Roman" w:hAnsi="Arial" w:cs="Arial"/>
                <w:b/>
                <w:bCs/>
                <w:sz w:val="18"/>
                <w:szCs w:val="18"/>
                <w:bdr w:val="none" w:sz="0" w:space="0" w:color="auto" w:frame="1"/>
              </w:rPr>
              <w:t>bold</w:t>
            </w:r>
            <w:r w:rsidRPr="00B53138">
              <w:rPr>
                <w:rFonts w:ascii="Arial" w:eastAsia="Times New Roman" w:hAnsi="Arial" w:cs="Arial"/>
                <w:sz w:val="18"/>
                <w:szCs w:val="18"/>
              </w:rPr>
              <w:t>. The correct answers are highlighted in </w:t>
            </w:r>
            <w:r w:rsidRPr="00B53138">
              <w:rPr>
                <w:rFonts w:ascii="Arial" w:eastAsia="Times New Roman" w:hAnsi="Arial" w:cs="Arial"/>
                <w:sz w:val="18"/>
                <w:szCs w:val="18"/>
                <w:bdr w:val="none" w:sz="0" w:space="0" w:color="auto" w:frame="1"/>
                <w:shd w:val="clear" w:color="auto" w:fill="90EE90"/>
              </w:rPr>
              <w:t>green</w:t>
            </w:r>
            <w:r w:rsidRPr="00B53138">
              <w:rPr>
                <w:rFonts w:ascii="Arial" w:eastAsia="Times New Roman" w:hAnsi="Arial" w:cs="Arial"/>
                <w:sz w:val="18"/>
                <w:szCs w:val="18"/>
              </w:rPr>
              <w:t>.</w:t>
            </w:r>
          </w:p>
        </w:tc>
      </w:tr>
      <w:tr w:rsidR="00B53138" w:rsidRPr="00B53138" w14:paraId="016FADB0"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3CE6E86F"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585337DB">
                <v:rect id="_x0000_i1025" style="width:0;height:.75pt" o:hralign="center" o:hrstd="t" o:hr="t" fillcolor="#a0a0a0" stroked="f"/>
              </w:pict>
            </w:r>
          </w:p>
        </w:tc>
      </w:tr>
      <w:tr w:rsidR="00B53138" w:rsidRPr="00B53138" w14:paraId="77CCEF17"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466F7BA"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#15. </w:t>
            </w:r>
          </w:p>
        </w:tc>
        <w:tc>
          <w:tcPr>
            <w:tcW w:w="0" w:type="auto"/>
            <w:tcBorders>
              <w:top w:val="nil"/>
              <w:left w:val="nil"/>
              <w:bottom w:val="nil"/>
              <w:right w:val="nil"/>
            </w:tcBorders>
            <w:tcMar>
              <w:top w:w="15" w:type="dxa"/>
              <w:left w:w="75" w:type="dxa"/>
              <w:bottom w:w="15" w:type="dxa"/>
              <w:right w:w="75" w:type="dxa"/>
            </w:tcMar>
            <w:vAlign w:val="bottom"/>
            <w:hideMark/>
          </w:tcPr>
          <w:p w14:paraId="6D3A7CA6"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Which of the following statements about a suicide clause in a life insurance policy is TRUE?</w:t>
            </w:r>
          </w:p>
        </w:tc>
      </w:tr>
      <w:tr w:rsidR="00B53138" w:rsidRPr="00B53138" w14:paraId="0BD2EE30"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BFD347A"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4E832184"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6084DF4"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77A34B0D"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Suicide is excluded for a specific period of years and covered thereafter.</w:t>
            </w:r>
          </w:p>
        </w:tc>
      </w:tr>
      <w:tr w:rsidR="00B53138" w:rsidRPr="00B53138" w14:paraId="4DCCC0D3"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17A99F18"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614922E6"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Suicide is covered for a specific period of years and excluded thereafter.</w:t>
            </w:r>
          </w:p>
        </w:tc>
      </w:tr>
      <w:tr w:rsidR="00B53138" w:rsidRPr="00B53138" w14:paraId="7094169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30E2E60"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1215FCE8"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Suicide is covered as long as the policy is in force.</w:t>
            </w:r>
          </w:p>
        </w:tc>
      </w:tr>
      <w:tr w:rsidR="00B53138" w:rsidRPr="00B53138" w14:paraId="18BC613B"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C327AAF"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37998CD4"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Suicide is excluded as long as the policy is in force.</w:t>
            </w:r>
          </w:p>
        </w:tc>
      </w:tr>
      <w:tr w:rsidR="00B53138" w:rsidRPr="00B53138" w14:paraId="06D83B38"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DEAE177"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114F23C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0649488"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1DA3004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In most states, if death results from suicide within a certain period, the insurer is not obligated to pay the death benefit.</w:t>
            </w:r>
          </w:p>
        </w:tc>
      </w:tr>
      <w:tr w:rsidR="00B53138" w:rsidRPr="00B53138" w14:paraId="44DED2AB"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241B42CF"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0B92ABDF">
                <v:rect id="_x0000_i1026" style="width:0;height:.75pt" o:hralign="center" o:hrstd="t" o:hr="t" fillcolor="#a0a0a0" stroked="f"/>
              </w:pict>
            </w:r>
          </w:p>
        </w:tc>
      </w:tr>
      <w:tr w:rsidR="00B53138" w:rsidRPr="00B53138" w14:paraId="0AFEA79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344D14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#24. </w:t>
            </w:r>
          </w:p>
        </w:tc>
        <w:tc>
          <w:tcPr>
            <w:tcW w:w="0" w:type="auto"/>
            <w:tcBorders>
              <w:top w:val="nil"/>
              <w:left w:val="nil"/>
              <w:bottom w:val="nil"/>
              <w:right w:val="nil"/>
            </w:tcBorders>
            <w:tcMar>
              <w:top w:w="15" w:type="dxa"/>
              <w:left w:w="75" w:type="dxa"/>
              <w:bottom w:w="15" w:type="dxa"/>
              <w:right w:w="75" w:type="dxa"/>
            </w:tcMar>
            <w:vAlign w:val="bottom"/>
            <w:hideMark/>
          </w:tcPr>
          <w:p w14:paraId="721E2F04"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 death protection component of Universal Life Insurance is always</w:t>
            </w:r>
          </w:p>
        </w:tc>
      </w:tr>
      <w:tr w:rsidR="00B53138" w:rsidRPr="00B53138" w14:paraId="4BE8E416"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666F0392"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5F943E44"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082F6F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7B49F6F6"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Adjustable Life</w:t>
            </w:r>
          </w:p>
        </w:tc>
      </w:tr>
      <w:tr w:rsidR="00B53138" w:rsidRPr="00B53138" w14:paraId="58F426A4"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5259D21"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1F09E07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Increasing Term</w:t>
            </w:r>
          </w:p>
        </w:tc>
      </w:tr>
      <w:tr w:rsidR="00B53138" w:rsidRPr="00B53138" w14:paraId="53DEC1F8"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97B4862"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7994932B"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Annually Renewable Term</w:t>
            </w:r>
          </w:p>
        </w:tc>
      </w:tr>
      <w:tr w:rsidR="00B53138" w:rsidRPr="00B53138" w14:paraId="1B7695A9"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3C42FE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386F28A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Whole Life</w:t>
            </w:r>
          </w:p>
        </w:tc>
      </w:tr>
      <w:tr w:rsidR="00B53138" w:rsidRPr="00B53138" w14:paraId="67BB9C9E"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2F5840D3"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31EFBAA2"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3743B8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3D1D8E7A"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 universal policy has two components: an insurance component and a cash account. The insurance component (or the death protection) of a universal life policy is always annual renewable term insurance.</w:t>
            </w:r>
          </w:p>
        </w:tc>
      </w:tr>
      <w:tr w:rsidR="00B53138" w:rsidRPr="00B53138" w14:paraId="70AD1074"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54D7AA4C"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14D83F4A">
                <v:rect id="_x0000_i1027" style="width:0;height:.75pt" o:hralign="center" o:hrstd="t" o:hr="t" fillcolor="#a0a0a0" stroked="f"/>
              </w:pict>
            </w:r>
          </w:p>
        </w:tc>
      </w:tr>
      <w:tr w:rsidR="00B53138" w:rsidRPr="00B53138" w14:paraId="0D970EC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A5D3318"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#33. </w:t>
            </w:r>
          </w:p>
        </w:tc>
        <w:tc>
          <w:tcPr>
            <w:tcW w:w="0" w:type="auto"/>
            <w:tcBorders>
              <w:top w:val="nil"/>
              <w:left w:val="nil"/>
              <w:bottom w:val="nil"/>
              <w:right w:val="nil"/>
            </w:tcBorders>
            <w:tcMar>
              <w:top w:w="15" w:type="dxa"/>
              <w:left w:w="75" w:type="dxa"/>
              <w:bottom w:w="15" w:type="dxa"/>
              <w:right w:w="75" w:type="dxa"/>
            </w:tcMar>
            <w:vAlign w:val="bottom"/>
            <w:hideMark/>
          </w:tcPr>
          <w:p w14:paraId="247DEA6D"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To attain currently insured status under Social Security, a worker must have earned at least how many credits during the last 13 quarters?</w:t>
            </w:r>
          </w:p>
        </w:tc>
      </w:tr>
      <w:tr w:rsidR="00B53138" w:rsidRPr="00B53138" w14:paraId="42408A6F"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771D833C"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705CCBCA"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10BA50F"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76C7F707"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4 credits</w:t>
            </w:r>
          </w:p>
        </w:tc>
      </w:tr>
      <w:tr w:rsidR="00B53138" w:rsidRPr="00B53138" w14:paraId="3AD98F0B"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302F527"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13839AE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6 credits</w:t>
            </w:r>
          </w:p>
        </w:tc>
      </w:tr>
      <w:tr w:rsidR="00B53138" w:rsidRPr="00B53138" w14:paraId="46D05C84"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75162A7"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1842695A"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10 credits</w:t>
            </w:r>
          </w:p>
        </w:tc>
      </w:tr>
      <w:tr w:rsidR="00B53138" w:rsidRPr="00B53138" w14:paraId="0143F956"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279FDF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5D1171B4"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40 credits</w:t>
            </w:r>
          </w:p>
        </w:tc>
      </w:tr>
      <w:tr w:rsidR="00B53138" w:rsidRPr="00B53138" w14:paraId="31D4BB93"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27C0FDC8"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2201EB77"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92CB42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53092CA1"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To be considered currently (or partially) insured, an individual must have earned 6 credits during the last 13-quarter period.</w:t>
            </w:r>
          </w:p>
        </w:tc>
      </w:tr>
      <w:tr w:rsidR="00B53138" w:rsidRPr="00B53138" w14:paraId="7304FEAE"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3EB2F8F1"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4700B2FA">
                <v:rect id="_x0000_i1028" style="width:0;height:.75pt" o:hralign="center" o:hrstd="t" o:hr="t" fillcolor="#a0a0a0" stroked="f"/>
              </w:pict>
            </w:r>
          </w:p>
        </w:tc>
      </w:tr>
      <w:tr w:rsidR="00B53138" w:rsidRPr="00B53138" w14:paraId="0941AB36"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1AB3DD8"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#36. </w:t>
            </w:r>
          </w:p>
        </w:tc>
        <w:tc>
          <w:tcPr>
            <w:tcW w:w="0" w:type="auto"/>
            <w:tcBorders>
              <w:top w:val="nil"/>
              <w:left w:val="nil"/>
              <w:bottom w:val="nil"/>
              <w:right w:val="nil"/>
            </w:tcBorders>
            <w:tcMar>
              <w:top w:w="15" w:type="dxa"/>
              <w:left w:w="75" w:type="dxa"/>
              <w:bottom w:w="15" w:type="dxa"/>
              <w:right w:w="75" w:type="dxa"/>
            </w:tcMar>
            <w:vAlign w:val="bottom"/>
            <w:hideMark/>
          </w:tcPr>
          <w:p w14:paraId="417038D9"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How are contributions to a tax-sheltered annuity treated with regards to taxation?</w:t>
            </w:r>
          </w:p>
        </w:tc>
      </w:tr>
      <w:tr w:rsidR="00B53138" w:rsidRPr="00B53138" w14:paraId="5C88ACA6"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3751E9F2"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4122658E"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2543DF1"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74D8EDA9"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They are taxed as income for the employee, but are tax free upon withdrawal.</w:t>
            </w:r>
          </w:p>
        </w:tc>
      </w:tr>
      <w:tr w:rsidR="00B53138" w:rsidRPr="00B53138" w14:paraId="37376BF6"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F9EDE69"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6CC75C93"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They are not included as income for the employee, but are taxable upon distribution.</w:t>
            </w:r>
          </w:p>
        </w:tc>
      </w:tr>
      <w:tr w:rsidR="00B53138" w:rsidRPr="00B53138" w14:paraId="67330AD5"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435A03F"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78516F98"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They are never taxed.</w:t>
            </w:r>
          </w:p>
        </w:tc>
      </w:tr>
      <w:tr w:rsidR="00B53138" w:rsidRPr="00B53138" w14:paraId="5E1A5F6C"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C338DE2"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50D6DE48"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They are taxed as income for the employee.</w:t>
            </w:r>
          </w:p>
        </w:tc>
      </w:tr>
      <w:tr w:rsidR="00B53138" w:rsidRPr="00B53138" w14:paraId="040535D3"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34CBA853"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369A7952"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6EE7F9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16A0EC6B"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Funds contributed are excluded from the employee's current taxable income, but are taxable upon withdrawal.</w:t>
            </w:r>
          </w:p>
        </w:tc>
      </w:tr>
      <w:tr w:rsidR="00B53138" w:rsidRPr="00B53138" w14:paraId="60F12054"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5F2D1E52"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00DF0A66">
                <v:rect id="_x0000_i1029" style="width:0;height:.75pt" o:hralign="center" o:hrstd="t" o:hr="t" fillcolor="#a0a0a0" stroked="f"/>
              </w:pict>
            </w:r>
          </w:p>
        </w:tc>
      </w:tr>
      <w:tr w:rsidR="00B53138" w:rsidRPr="00B53138" w14:paraId="6D6E212E"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1D722FFA"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#38. </w:t>
            </w:r>
          </w:p>
        </w:tc>
        <w:tc>
          <w:tcPr>
            <w:tcW w:w="0" w:type="auto"/>
            <w:tcBorders>
              <w:top w:val="nil"/>
              <w:left w:val="nil"/>
              <w:bottom w:val="nil"/>
              <w:right w:val="nil"/>
            </w:tcBorders>
            <w:tcMar>
              <w:top w:w="15" w:type="dxa"/>
              <w:left w:w="75" w:type="dxa"/>
              <w:bottom w:w="15" w:type="dxa"/>
              <w:right w:w="75" w:type="dxa"/>
            </w:tcMar>
            <w:vAlign w:val="bottom"/>
            <w:hideMark/>
          </w:tcPr>
          <w:p w14:paraId="40A74E28"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Equity indexed annuities</w:t>
            </w:r>
          </w:p>
        </w:tc>
      </w:tr>
      <w:tr w:rsidR="00B53138" w:rsidRPr="00B53138" w14:paraId="3D0B4BDB"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34FBDAF2"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7A4747E6"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569F782"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7D492617"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Invest conservatively.</w:t>
            </w:r>
          </w:p>
        </w:tc>
      </w:tr>
      <w:tr w:rsidR="00B53138" w:rsidRPr="00B53138" w14:paraId="7F5E3406"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1B9E3306"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1F18396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Seek higher returns.</w:t>
            </w:r>
          </w:p>
        </w:tc>
      </w:tr>
      <w:tr w:rsidR="00B53138" w:rsidRPr="00B53138" w14:paraId="6C830F7E"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BFEB8B3"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560081D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Are more risky than variable annuities.</w:t>
            </w:r>
          </w:p>
        </w:tc>
      </w:tr>
      <w:tr w:rsidR="00B53138" w:rsidRPr="00B53138" w14:paraId="5DD7532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AF6398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530ABBE6"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Are security instruments.</w:t>
            </w:r>
          </w:p>
        </w:tc>
      </w:tr>
      <w:tr w:rsidR="00B53138" w:rsidRPr="00B53138" w14:paraId="237F15D8"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289CD409"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6E70151E"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D75B843"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082AD668"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Equity Indexed Annuities are not securities, but they invest on a relatively aggressive basis to aim for higher returns. Like a fixed annuity the Equity Indexed Annuity has a guaranteed minimum interest rate. The current interest rate that is actually credited is often tied to a familiar index like the Standard and Poor's 500.</w:t>
            </w:r>
          </w:p>
        </w:tc>
      </w:tr>
      <w:tr w:rsidR="00B53138" w:rsidRPr="00B53138" w14:paraId="26467F8B"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5CE708B9"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079E9BE9">
                <v:rect id="_x0000_i1030" style="width:0;height:.75pt" o:hralign="center" o:hrstd="t" o:hr="t" fillcolor="#a0a0a0" stroked="f"/>
              </w:pict>
            </w:r>
          </w:p>
        </w:tc>
      </w:tr>
      <w:tr w:rsidR="00B53138" w:rsidRPr="00B53138" w14:paraId="6675CF13"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997C545"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#57. </w:t>
            </w:r>
          </w:p>
        </w:tc>
        <w:tc>
          <w:tcPr>
            <w:tcW w:w="0" w:type="auto"/>
            <w:tcBorders>
              <w:top w:val="nil"/>
              <w:left w:val="nil"/>
              <w:bottom w:val="nil"/>
              <w:right w:val="nil"/>
            </w:tcBorders>
            <w:tcMar>
              <w:top w:w="15" w:type="dxa"/>
              <w:left w:w="75" w:type="dxa"/>
              <w:bottom w:w="15" w:type="dxa"/>
              <w:right w:w="75" w:type="dxa"/>
            </w:tcMar>
            <w:vAlign w:val="bottom"/>
            <w:hideMark/>
          </w:tcPr>
          <w:p w14:paraId="4E77D6B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If a consumer requests additional information concerning an investigative consumer report, how long does the insurer or reporting agency have to comply?</w:t>
            </w:r>
          </w:p>
        </w:tc>
      </w:tr>
      <w:tr w:rsidR="00B53138" w:rsidRPr="00B53138" w14:paraId="235EC765"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5095F181"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318865C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61425E4"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4DFE5825"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7 days</w:t>
            </w:r>
          </w:p>
        </w:tc>
      </w:tr>
      <w:tr w:rsidR="00B53138" w:rsidRPr="00B53138" w14:paraId="0DBEB4EC"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8B43637"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1490B00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10 days</w:t>
            </w:r>
          </w:p>
        </w:tc>
      </w:tr>
      <w:tr w:rsidR="00B53138" w:rsidRPr="00B53138" w14:paraId="787F75BA"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82F7F2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012EB918"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3 days</w:t>
            </w:r>
          </w:p>
        </w:tc>
      </w:tr>
      <w:tr w:rsidR="00B53138" w:rsidRPr="00B53138" w14:paraId="2AF16E82"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CD460A0"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0A8BA97A"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5 days</w:t>
            </w:r>
          </w:p>
        </w:tc>
      </w:tr>
      <w:tr w:rsidR="00B53138" w:rsidRPr="00B53138" w14:paraId="4A59DB09"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B294C1E"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39AA35E5"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434D4B0"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29D05DC6"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Consumers must be advised that they have a right to request additional information concerning investigative consumer reports, and the insurer or reporting agency has 5 days to provide the consumer with the additional information.</w:t>
            </w:r>
          </w:p>
        </w:tc>
      </w:tr>
      <w:tr w:rsidR="00B53138" w:rsidRPr="00B53138" w14:paraId="735D82D9"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51E2582C"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6ACFFD9A">
                <v:rect id="_x0000_i1031" style="width:0;height:.75pt" o:hralign="center" o:hrstd="t" o:hr="t" fillcolor="#a0a0a0" stroked="f"/>
              </w:pict>
            </w:r>
          </w:p>
        </w:tc>
      </w:tr>
      <w:tr w:rsidR="00B53138" w:rsidRPr="00B53138" w14:paraId="7C26C871"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571AA21"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#58. </w:t>
            </w:r>
          </w:p>
        </w:tc>
        <w:tc>
          <w:tcPr>
            <w:tcW w:w="0" w:type="auto"/>
            <w:tcBorders>
              <w:top w:val="nil"/>
              <w:left w:val="nil"/>
              <w:bottom w:val="nil"/>
              <w:right w:val="nil"/>
            </w:tcBorders>
            <w:tcMar>
              <w:top w:w="15" w:type="dxa"/>
              <w:left w:w="75" w:type="dxa"/>
              <w:bottom w:w="15" w:type="dxa"/>
              <w:right w:w="75" w:type="dxa"/>
            </w:tcMar>
            <w:vAlign w:val="bottom"/>
            <w:hideMark/>
          </w:tcPr>
          <w:p w14:paraId="54989206"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All of the following are examples of third-party ownership of a life insurance policy EXCEPT</w:t>
            </w:r>
          </w:p>
        </w:tc>
      </w:tr>
      <w:tr w:rsidR="00B53138" w:rsidRPr="00B53138" w14:paraId="3A632C2C"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76E49633"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5F35E4B1"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9A26164"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357EDECB"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An insured couple purchases a life insurance policy insuring the life of their grandson.</w:t>
            </w:r>
          </w:p>
        </w:tc>
      </w:tr>
      <w:tr w:rsidR="00B53138" w:rsidRPr="00B53138" w14:paraId="577D32E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1933710"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77B435B4"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A company purchases a life insurance policy on their manager, who is an important part of the operation.</w:t>
            </w:r>
          </w:p>
        </w:tc>
      </w:tr>
      <w:tr w:rsidR="00B53138" w:rsidRPr="00B53138" w14:paraId="78F9DBD5"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9159835"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4C7D2B7B"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When an insured purchased a new home, the insured made an absolute assignment of a life insurance policy to the mortgage company.</w:t>
            </w:r>
          </w:p>
        </w:tc>
      </w:tr>
      <w:tr w:rsidR="00B53138" w:rsidRPr="00B53138" w14:paraId="08E65155"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4736587"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7A0ABC4A"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An insured borrows money from the bank and makes a collateral assignment of a part of the death benefit to secure the loan.</w:t>
            </w:r>
          </w:p>
        </w:tc>
      </w:tr>
      <w:tr w:rsidR="00B53138" w:rsidRPr="00B53138" w14:paraId="2E1F4ECE"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6CAD378"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40F39649"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21EEEC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77BA4B9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 collateral assignment is the transfer of some or all of the death benefits of the policy to a creditor as security for a loan, but does not give the creditor the rights of ownership. In the event of the insured's death, the creditor would only be able to recover that portion of the policy's proceeds equal to the creditor's remaining interest in the loan.</w:t>
            </w:r>
          </w:p>
        </w:tc>
      </w:tr>
      <w:tr w:rsidR="00B53138" w:rsidRPr="00B53138" w14:paraId="3A82FA0B"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5BD94D9A"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4840FEFC">
                <v:rect id="_x0000_i1032" style="width:0;height:.75pt" o:hralign="center" o:hrstd="t" o:hr="t" fillcolor="#a0a0a0" stroked="f"/>
              </w:pict>
            </w:r>
          </w:p>
        </w:tc>
      </w:tr>
      <w:tr w:rsidR="00B53138" w:rsidRPr="00B53138" w14:paraId="325049A3"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DBF3D74"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#60. </w:t>
            </w:r>
          </w:p>
        </w:tc>
        <w:tc>
          <w:tcPr>
            <w:tcW w:w="0" w:type="auto"/>
            <w:tcBorders>
              <w:top w:val="nil"/>
              <w:left w:val="nil"/>
              <w:bottom w:val="nil"/>
              <w:right w:val="nil"/>
            </w:tcBorders>
            <w:tcMar>
              <w:top w:w="15" w:type="dxa"/>
              <w:left w:w="75" w:type="dxa"/>
              <w:bottom w:w="15" w:type="dxa"/>
              <w:right w:w="75" w:type="dxa"/>
            </w:tcMar>
            <w:vAlign w:val="bottom"/>
            <w:hideMark/>
          </w:tcPr>
          <w:p w14:paraId="3CA57397"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 full premium was submitted with the application for life insurance, and the policy was issued two weeks later as requested. When does the policy coverage become effective?</w:t>
            </w:r>
          </w:p>
        </w:tc>
      </w:tr>
      <w:tr w:rsidR="00B53138" w:rsidRPr="00B53138" w14:paraId="3E4E640B"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4D25CDA0"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353B32E1"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060C991"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7C21BC21"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As of the application date</w:t>
            </w:r>
          </w:p>
        </w:tc>
      </w:tr>
      <w:tr w:rsidR="00B53138" w:rsidRPr="00B53138" w14:paraId="454B6BF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B1BA300"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2E4918D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As of the policy delivery date</w:t>
            </w:r>
          </w:p>
        </w:tc>
      </w:tr>
      <w:tr w:rsidR="00B53138" w:rsidRPr="00B53138" w14:paraId="435B93C8"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978C2FB"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28DD0D7F"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As of the first of the month after the policy issue</w:t>
            </w:r>
          </w:p>
        </w:tc>
      </w:tr>
      <w:tr w:rsidR="00B53138" w:rsidRPr="00B53138" w14:paraId="6F7A7F04"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B4146E9"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024A17AA"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As of the policy issue date</w:t>
            </w:r>
          </w:p>
        </w:tc>
      </w:tr>
      <w:tr w:rsidR="00B53138" w:rsidRPr="00B53138" w14:paraId="288D0670"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4967A761"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0E022D5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53CB421"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44D72DBB"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If the full premium was submitted with the application and the policy was issued as requested, the policy coverage effective date would generally coincide with the date of application.</w:t>
            </w:r>
          </w:p>
        </w:tc>
      </w:tr>
      <w:tr w:rsidR="00B53138" w:rsidRPr="00B53138" w14:paraId="4B220510"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04910964"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0082D95A">
                <v:rect id="_x0000_i1033" style="width:0;height:.75pt" o:hralign="center" o:hrstd="t" o:hr="t" fillcolor="#a0a0a0" stroked="f"/>
              </w:pict>
            </w:r>
          </w:p>
        </w:tc>
      </w:tr>
      <w:tr w:rsidR="00B53138" w:rsidRPr="00B53138" w14:paraId="0E91EFC7"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3291871"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#63. </w:t>
            </w:r>
          </w:p>
        </w:tc>
        <w:tc>
          <w:tcPr>
            <w:tcW w:w="0" w:type="auto"/>
            <w:tcBorders>
              <w:top w:val="nil"/>
              <w:left w:val="nil"/>
              <w:bottom w:val="nil"/>
              <w:right w:val="nil"/>
            </w:tcBorders>
            <w:tcMar>
              <w:top w:w="15" w:type="dxa"/>
              <w:left w:w="75" w:type="dxa"/>
              <w:bottom w:w="15" w:type="dxa"/>
              <w:right w:w="75" w:type="dxa"/>
            </w:tcMar>
            <w:vAlign w:val="bottom"/>
            <w:hideMark/>
          </w:tcPr>
          <w:p w14:paraId="0A9B9AE5"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All of the following are TRUE statements regarding the accumulation at interest option EXCEPT</w:t>
            </w:r>
          </w:p>
        </w:tc>
      </w:tr>
      <w:tr w:rsidR="00B53138" w:rsidRPr="00B53138" w14:paraId="48D26A32"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FA85BB2"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1A1CD9EC"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B40D249"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10D0175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The policyholder has the right to withdraw the accumulations at any time.</w:t>
            </w:r>
          </w:p>
        </w:tc>
      </w:tr>
      <w:tr w:rsidR="00B53138" w:rsidRPr="00B53138" w14:paraId="7507989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FE100B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55E6098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The interest is not taxable since it remains inside the insurance policy.</w:t>
            </w:r>
          </w:p>
        </w:tc>
      </w:tr>
      <w:tr w:rsidR="00B53138" w:rsidRPr="00B53138" w14:paraId="15C3019F"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F74D26F"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7FB9CB8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 annual dividend is retained by the company.</w:t>
            </w:r>
          </w:p>
        </w:tc>
      </w:tr>
      <w:tr w:rsidR="00B53138" w:rsidRPr="00B53138" w14:paraId="29C3637D"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521EE20"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31B938C3"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 interest is credited at a rate specified by the policy.</w:t>
            </w:r>
          </w:p>
        </w:tc>
      </w:tr>
      <w:tr w:rsidR="00B53138" w:rsidRPr="00B53138" w14:paraId="09700FFE"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47CC734C"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13886913"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B222D89"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5939A554"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 interest credited under this option is TAXABLE, whether or not the policyowner receives it.</w:t>
            </w:r>
          </w:p>
        </w:tc>
      </w:tr>
      <w:tr w:rsidR="00B53138" w:rsidRPr="00B53138" w14:paraId="2402C710"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7333C468"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lastRenderedPageBreak/>
              <w:pict w14:anchorId="36D8EFF8">
                <v:rect id="_x0000_i1034" style="width:0;height:.75pt" o:hralign="center" o:hrstd="t" o:hr="t" fillcolor="#a0a0a0" stroked="f"/>
              </w:pict>
            </w:r>
          </w:p>
        </w:tc>
      </w:tr>
      <w:tr w:rsidR="00B53138" w:rsidRPr="00B53138" w14:paraId="021BD59E"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199B7F44"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#84. </w:t>
            </w:r>
          </w:p>
        </w:tc>
        <w:tc>
          <w:tcPr>
            <w:tcW w:w="0" w:type="auto"/>
            <w:tcBorders>
              <w:top w:val="nil"/>
              <w:left w:val="nil"/>
              <w:bottom w:val="nil"/>
              <w:right w:val="nil"/>
            </w:tcBorders>
            <w:tcMar>
              <w:top w:w="15" w:type="dxa"/>
              <w:left w:w="75" w:type="dxa"/>
              <w:bottom w:w="15" w:type="dxa"/>
              <w:right w:w="75" w:type="dxa"/>
            </w:tcMar>
            <w:vAlign w:val="bottom"/>
            <w:hideMark/>
          </w:tcPr>
          <w:p w14:paraId="7D6E0DF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Insurance is the transfer of</w:t>
            </w:r>
          </w:p>
        </w:tc>
      </w:tr>
      <w:tr w:rsidR="00B53138" w:rsidRPr="00B53138" w14:paraId="7DFCB1D2"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0DECA1F"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312560A9"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23EBCB8"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1BDABA2F"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Peril.</w:t>
            </w:r>
          </w:p>
        </w:tc>
      </w:tr>
      <w:tr w:rsidR="00B53138" w:rsidRPr="00B53138" w14:paraId="382451F4"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1FA0718"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6FEED31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Risk.</w:t>
            </w:r>
          </w:p>
        </w:tc>
      </w:tr>
      <w:tr w:rsidR="00B53138" w:rsidRPr="00B53138" w14:paraId="1C09D3A9"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468C425"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2239BCB9"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Loss.</w:t>
            </w:r>
          </w:p>
        </w:tc>
      </w:tr>
      <w:tr w:rsidR="00B53138" w:rsidRPr="00B53138" w14:paraId="0A345805"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009B4B0"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4F65A9EA"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Hazard.</w:t>
            </w:r>
          </w:p>
        </w:tc>
      </w:tr>
      <w:tr w:rsidR="00B53138" w:rsidRPr="00B53138" w14:paraId="3BBC8956"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15215B69"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6C75B9B3"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AED78F1"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13458115"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Insurance is the transfer of financial responsibility associated with a potential of a loss (risk) to an insurance company.</w:t>
            </w:r>
          </w:p>
        </w:tc>
      </w:tr>
      <w:tr w:rsidR="00B53138" w:rsidRPr="00B53138" w14:paraId="780B51F9"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7B61F545"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3B7ABF42">
                <v:rect id="_x0000_i1035" style="width:0;height:.75pt" o:hralign="center" o:hrstd="t" o:hr="t" fillcolor="#a0a0a0" stroked="f"/>
              </w:pict>
            </w:r>
          </w:p>
        </w:tc>
      </w:tr>
      <w:tr w:rsidR="00B53138" w:rsidRPr="00B53138" w14:paraId="6179D5AD"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554ABAD"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#85. </w:t>
            </w:r>
          </w:p>
        </w:tc>
        <w:tc>
          <w:tcPr>
            <w:tcW w:w="0" w:type="auto"/>
            <w:tcBorders>
              <w:top w:val="nil"/>
              <w:left w:val="nil"/>
              <w:bottom w:val="nil"/>
              <w:right w:val="nil"/>
            </w:tcBorders>
            <w:tcMar>
              <w:top w:w="15" w:type="dxa"/>
              <w:left w:w="75" w:type="dxa"/>
              <w:bottom w:w="15" w:type="dxa"/>
              <w:right w:w="75" w:type="dxa"/>
            </w:tcMar>
            <w:vAlign w:val="bottom"/>
            <w:hideMark/>
          </w:tcPr>
          <w:p w14:paraId="7C4AED2D"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When a producer was reviewing a potential customer’s coverage written by another company, the producer made several remarks that were maliciously critical of that other insurer. The producer could be found guilty of</w:t>
            </w:r>
          </w:p>
        </w:tc>
      </w:tr>
      <w:tr w:rsidR="00B53138" w:rsidRPr="00B53138" w14:paraId="20FA4C0F"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1A073148"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5F8F349D"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D449811"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0B8A9BFF"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Nothing, unless the remarks were in writing</w:t>
            </w:r>
          </w:p>
        </w:tc>
      </w:tr>
      <w:tr w:rsidR="00B53138" w:rsidRPr="00B53138" w14:paraId="419C3500"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13E266F8"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6F94FC33"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Defamation.</w:t>
            </w:r>
          </w:p>
        </w:tc>
      </w:tr>
      <w:tr w:rsidR="00B53138" w:rsidRPr="00B53138" w14:paraId="4E6B22CF"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0AA203C"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39A37277"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Misrepresentation.</w:t>
            </w:r>
          </w:p>
        </w:tc>
      </w:tr>
      <w:tr w:rsidR="00B53138" w:rsidRPr="00B53138" w14:paraId="38718363"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F234865"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079D4BC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Discrimination.</w:t>
            </w:r>
          </w:p>
        </w:tc>
      </w:tr>
      <w:tr w:rsidR="00B53138" w:rsidRPr="00B53138" w14:paraId="6B5BC665"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75CA423B"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17AAF722"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AD6FF5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650F5133"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 producer or broker who makes oral or written statements intended to injure another producer or insurer is guilty of the unfair trade practice of defamation.</w:t>
            </w:r>
          </w:p>
        </w:tc>
      </w:tr>
      <w:tr w:rsidR="00B53138" w:rsidRPr="00B53138" w14:paraId="2D1CB084"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14D79285"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6F0814D3">
                <v:rect id="_x0000_i1036" style="width:0;height:.75pt" o:hralign="center" o:hrstd="t" o:hr="t" fillcolor="#a0a0a0" stroked="f"/>
              </w:pict>
            </w:r>
          </w:p>
        </w:tc>
      </w:tr>
      <w:tr w:rsidR="00B53138" w:rsidRPr="00B53138" w14:paraId="0A0BEB58"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0AC7445"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#89. </w:t>
            </w:r>
          </w:p>
        </w:tc>
        <w:tc>
          <w:tcPr>
            <w:tcW w:w="0" w:type="auto"/>
            <w:tcBorders>
              <w:top w:val="nil"/>
              <w:left w:val="nil"/>
              <w:bottom w:val="nil"/>
              <w:right w:val="nil"/>
            </w:tcBorders>
            <w:tcMar>
              <w:top w:w="15" w:type="dxa"/>
              <w:left w:w="75" w:type="dxa"/>
              <w:bottom w:w="15" w:type="dxa"/>
              <w:right w:w="75" w:type="dxa"/>
            </w:tcMar>
            <w:vAlign w:val="bottom"/>
            <w:hideMark/>
          </w:tcPr>
          <w:p w14:paraId="32F55D60"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What does “liquidity” refer to in a life insurance policy?</w:t>
            </w:r>
          </w:p>
        </w:tc>
      </w:tr>
      <w:tr w:rsidR="00B53138" w:rsidRPr="00B53138" w14:paraId="4F348B0B"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6503CAE"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4B75A45B"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2DC708CD"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47A97837"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The death benefit replaces the assets that would have accumulated if the insured had not died.</w:t>
            </w:r>
          </w:p>
        </w:tc>
      </w:tr>
      <w:tr w:rsidR="00B53138" w:rsidRPr="00B53138" w14:paraId="0A4FCBAF"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B2F10BF"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57A2597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 policyowner receives dividend checks each year.</w:t>
            </w:r>
          </w:p>
        </w:tc>
      </w:tr>
      <w:tr w:rsidR="00B53138" w:rsidRPr="00B53138" w14:paraId="49DEFC1F"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32459FB0"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340BF5B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The insured receives payments each month in retirement.</w:t>
            </w:r>
          </w:p>
        </w:tc>
      </w:tr>
      <w:tr w:rsidR="00B53138" w:rsidRPr="00B53138" w14:paraId="2622A97B"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A7B0E67"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2DE4306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Cash values can be borrowed at any time.</w:t>
            </w:r>
          </w:p>
        </w:tc>
      </w:tr>
      <w:tr w:rsidR="00B53138" w:rsidRPr="00B53138" w14:paraId="3424D929"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1ACC8C08"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4C26D528"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4ABD3F6"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4EEF4495"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Liquidity in life insurance refers to availability of cash to the insured through cash values.</w:t>
            </w:r>
          </w:p>
        </w:tc>
      </w:tr>
      <w:tr w:rsidR="00B53138" w:rsidRPr="00B53138" w14:paraId="1C2F554B"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08CC2EE2"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2413D84B">
                <v:rect id="_x0000_i1037" style="width:0;height:.75pt" o:hralign="center" o:hrstd="t" o:hr="t" fillcolor="#a0a0a0" stroked="f"/>
              </w:pict>
            </w:r>
          </w:p>
        </w:tc>
      </w:tr>
      <w:tr w:rsidR="00B53138" w:rsidRPr="00B53138" w14:paraId="1D8E9699"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EE7D2C5"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#94. </w:t>
            </w:r>
          </w:p>
        </w:tc>
        <w:tc>
          <w:tcPr>
            <w:tcW w:w="0" w:type="auto"/>
            <w:tcBorders>
              <w:top w:val="nil"/>
              <w:left w:val="nil"/>
              <w:bottom w:val="nil"/>
              <w:right w:val="nil"/>
            </w:tcBorders>
            <w:tcMar>
              <w:top w:w="15" w:type="dxa"/>
              <w:left w:w="75" w:type="dxa"/>
              <w:bottom w:w="15" w:type="dxa"/>
              <w:right w:w="75" w:type="dxa"/>
            </w:tcMar>
            <w:vAlign w:val="bottom"/>
            <w:hideMark/>
          </w:tcPr>
          <w:p w14:paraId="7E8DB611"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To sell variable life insurance policies, an agent must receive all of the following EXCEPT</w:t>
            </w:r>
          </w:p>
        </w:tc>
      </w:tr>
      <w:tr w:rsidR="00B53138" w:rsidRPr="00B53138" w14:paraId="29669CC5"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2343F22"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4F1B3D2C"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0990BDB"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6A68BCAE"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FINRA registration.</w:t>
            </w:r>
          </w:p>
        </w:tc>
      </w:tr>
      <w:tr w:rsidR="00B53138" w:rsidRPr="00B53138" w14:paraId="7D63BC01"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3069248"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0E26B112"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A securities license.</w:t>
            </w:r>
          </w:p>
        </w:tc>
      </w:tr>
      <w:tr w:rsidR="00B53138" w:rsidRPr="00B53138" w14:paraId="751232D3"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7630629A"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3943B20B"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 life insurance license.</w:t>
            </w:r>
          </w:p>
        </w:tc>
      </w:tr>
      <w:tr w:rsidR="00B53138" w:rsidRPr="00B53138" w14:paraId="5F6494DA"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634B8E5"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3FA606ED"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SEC registration.</w:t>
            </w:r>
          </w:p>
        </w:tc>
      </w:tr>
      <w:tr w:rsidR="00B53138" w:rsidRPr="00B53138" w14:paraId="51E1D54D"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30AF5879"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38DEDC0F"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5FC0BF6A"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007C3A8D"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Agents selling variable life products must be registered with FINRA, have a securities license, and must be licensed within the state to sell life insurance. SEC registration is for securities, not agents.</w:t>
            </w:r>
          </w:p>
        </w:tc>
      </w:tr>
      <w:tr w:rsidR="00B53138" w:rsidRPr="00B53138" w14:paraId="00A82569" w14:textId="77777777" w:rsidTr="00B53138">
        <w:tc>
          <w:tcPr>
            <w:tcW w:w="0" w:type="auto"/>
            <w:gridSpan w:val="2"/>
            <w:tcBorders>
              <w:top w:val="nil"/>
              <w:left w:val="nil"/>
              <w:bottom w:val="nil"/>
              <w:right w:val="nil"/>
            </w:tcBorders>
            <w:tcMar>
              <w:top w:w="15" w:type="dxa"/>
              <w:left w:w="75" w:type="dxa"/>
              <w:bottom w:w="15" w:type="dxa"/>
              <w:right w:w="75" w:type="dxa"/>
            </w:tcMar>
            <w:vAlign w:val="bottom"/>
            <w:hideMark/>
          </w:tcPr>
          <w:p w14:paraId="58AD0510" w14:textId="77777777" w:rsidR="00B53138" w:rsidRPr="00B53138" w:rsidRDefault="00B53138" w:rsidP="00B53138">
            <w:pPr>
              <w:spacing w:before="120" w:after="240" w:line="240" w:lineRule="auto"/>
              <w:rPr>
                <w:rFonts w:ascii="Arial" w:eastAsia="Times New Roman" w:hAnsi="Arial" w:cs="Arial"/>
                <w:sz w:val="18"/>
                <w:szCs w:val="18"/>
              </w:rPr>
            </w:pPr>
            <w:r w:rsidRPr="00B53138">
              <w:rPr>
                <w:rFonts w:ascii="Arial" w:eastAsia="Times New Roman" w:hAnsi="Arial" w:cs="Arial"/>
                <w:sz w:val="18"/>
                <w:szCs w:val="18"/>
              </w:rPr>
              <w:pict w14:anchorId="285D6F9E">
                <v:rect id="_x0000_i1038" style="width:0;height:.75pt" o:hralign="center" o:hrstd="t" o:hr="t" fillcolor="#a0a0a0" stroked="f"/>
              </w:pict>
            </w:r>
          </w:p>
        </w:tc>
      </w:tr>
      <w:tr w:rsidR="00B53138" w:rsidRPr="00B53138" w14:paraId="45AFDA7E"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DAFE484"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#100. </w:t>
            </w:r>
          </w:p>
        </w:tc>
        <w:tc>
          <w:tcPr>
            <w:tcW w:w="0" w:type="auto"/>
            <w:tcBorders>
              <w:top w:val="nil"/>
              <w:left w:val="nil"/>
              <w:bottom w:val="nil"/>
              <w:right w:val="nil"/>
            </w:tcBorders>
            <w:tcMar>
              <w:top w:w="15" w:type="dxa"/>
              <w:left w:w="75" w:type="dxa"/>
              <w:bottom w:w="15" w:type="dxa"/>
              <w:right w:w="75" w:type="dxa"/>
            </w:tcMar>
            <w:vAlign w:val="bottom"/>
            <w:hideMark/>
          </w:tcPr>
          <w:p w14:paraId="6FDE7EB5"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 paid-up nonforfeiture benefit will become effective as specified in the policy, unless the person entitled elects another available option within how many days after the due date of the premium in default?</w:t>
            </w:r>
          </w:p>
        </w:tc>
      </w:tr>
      <w:tr w:rsidR="00B53138" w:rsidRPr="00B53138" w14:paraId="5C7171B5"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065DED9E"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57BD76DF"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07240626"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a)</w:t>
            </w:r>
          </w:p>
        </w:tc>
        <w:tc>
          <w:tcPr>
            <w:tcW w:w="0" w:type="auto"/>
            <w:tcBorders>
              <w:top w:val="nil"/>
              <w:left w:val="nil"/>
              <w:bottom w:val="nil"/>
              <w:right w:val="nil"/>
            </w:tcBorders>
            <w:tcMar>
              <w:top w:w="15" w:type="dxa"/>
              <w:left w:w="75" w:type="dxa"/>
              <w:bottom w:w="15" w:type="dxa"/>
              <w:right w:w="75" w:type="dxa"/>
            </w:tcMar>
            <w:vAlign w:val="bottom"/>
            <w:hideMark/>
          </w:tcPr>
          <w:p w14:paraId="0C0C87AC"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15</w:t>
            </w:r>
          </w:p>
        </w:tc>
      </w:tr>
      <w:tr w:rsidR="00B53138" w:rsidRPr="00B53138" w14:paraId="4F781E49"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1A863B5B"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b)</w:t>
            </w:r>
          </w:p>
        </w:tc>
        <w:tc>
          <w:tcPr>
            <w:tcW w:w="0" w:type="auto"/>
            <w:tcBorders>
              <w:top w:val="nil"/>
              <w:left w:val="nil"/>
              <w:bottom w:val="nil"/>
              <w:right w:val="nil"/>
            </w:tcBorders>
            <w:tcMar>
              <w:top w:w="15" w:type="dxa"/>
              <w:left w:w="75" w:type="dxa"/>
              <w:bottom w:w="15" w:type="dxa"/>
              <w:right w:w="75" w:type="dxa"/>
            </w:tcMar>
            <w:vAlign w:val="bottom"/>
            <w:hideMark/>
          </w:tcPr>
          <w:p w14:paraId="2A9FCC94"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b/>
                <w:bCs/>
                <w:sz w:val="18"/>
                <w:szCs w:val="18"/>
                <w:bdr w:val="none" w:sz="0" w:space="0" w:color="auto" w:frame="1"/>
              </w:rPr>
              <w:t>30</w:t>
            </w:r>
          </w:p>
        </w:tc>
      </w:tr>
      <w:tr w:rsidR="00B53138" w:rsidRPr="00B53138" w14:paraId="71EDC73A"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E2EAC29"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c)</w:t>
            </w:r>
          </w:p>
        </w:tc>
        <w:tc>
          <w:tcPr>
            <w:tcW w:w="0" w:type="auto"/>
            <w:tcBorders>
              <w:top w:val="nil"/>
              <w:left w:val="nil"/>
              <w:bottom w:val="nil"/>
              <w:right w:val="nil"/>
            </w:tcBorders>
            <w:tcMar>
              <w:top w:w="15" w:type="dxa"/>
              <w:left w:w="75" w:type="dxa"/>
              <w:bottom w:w="15" w:type="dxa"/>
              <w:right w:w="75" w:type="dxa"/>
            </w:tcMar>
            <w:vAlign w:val="bottom"/>
            <w:hideMark/>
          </w:tcPr>
          <w:p w14:paraId="6F8F9255"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bdr w:val="none" w:sz="0" w:space="0" w:color="auto" w:frame="1"/>
                <w:shd w:val="clear" w:color="auto" w:fill="90EE90"/>
              </w:rPr>
              <w:t>60</w:t>
            </w:r>
          </w:p>
        </w:tc>
      </w:tr>
      <w:tr w:rsidR="00B53138" w:rsidRPr="00B53138" w14:paraId="5A8B712D"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4A01021E" w14:textId="77777777" w:rsidR="00B53138" w:rsidRPr="00B53138" w:rsidRDefault="00B53138" w:rsidP="00B53138">
            <w:pPr>
              <w:spacing w:after="0" w:line="240" w:lineRule="auto"/>
              <w:jc w:val="right"/>
              <w:rPr>
                <w:rFonts w:ascii="Arial" w:eastAsia="Times New Roman" w:hAnsi="Arial" w:cs="Arial"/>
                <w:sz w:val="18"/>
                <w:szCs w:val="18"/>
              </w:rPr>
            </w:pPr>
            <w:r w:rsidRPr="00B53138">
              <w:rPr>
                <w:rFonts w:ascii="Arial" w:eastAsia="Times New Roman" w:hAnsi="Arial" w:cs="Arial"/>
                <w:sz w:val="18"/>
                <w:szCs w:val="18"/>
              </w:rPr>
              <w:t>d)</w:t>
            </w:r>
          </w:p>
        </w:tc>
        <w:tc>
          <w:tcPr>
            <w:tcW w:w="0" w:type="auto"/>
            <w:tcBorders>
              <w:top w:val="nil"/>
              <w:left w:val="nil"/>
              <w:bottom w:val="nil"/>
              <w:right w:val="nil"/>
            </w:tcBorders>
            <w:tcMar>
              <w:top w:w="15" w:type="dxa"/>
              <w:left w:w="75" w:type="dxa"/>
              <w:bottom w:w="15" w:type="dxa"/>
              <w:right w:w="75" w:type="dxa"/>
            </w:tcMar>
            <w:vAlign w:val="bottom"/>
            <w:hideMark/>
          </w:tcPr>
          <w:p w14:paraId="23BB1117"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90</w:t>
            </w:r>
          </w:p>
        </w:tc>
      </w:tr>
      <w:tr w:rsidR="00B53138" w:rsidRPr="00B53138" w14:paraId="34B05CD5" w14:textId="77777777" w:rsidTr="00B53138">
        <w:trPr>
          <w:trHeight w:val="45"/>
        </w:trPr>
        <w:tc>
          <w:tcPr>
            <w:tcW w:w="0" w:type="auto"/>
            <w:gridSpan w:val="2"/>
            <w:tcBorders>
              <w:top w:val="nil"/>
              <w:left w:val="nil"/>
              <w:bottom w:val="nil"/>
              <w:right w:val="nil"/>
            </w:tcBorders>
            <w:tcMar>
              <w:top w:w="15" w:type="dxa"/>
              <w:left w:w="75" w:type="dxa"/>
              <w:bottom w:w="15" w:type="dxa"/>
              <w:right w:w="75" w:type="dxa"/>
            </w:tcMar>
            <w:vAlign w:val="bottom"/>
            <w:hideMark/>
          </w:tcPr>
          <w:p w14:paraId="3281B2AD" w14:textId="77777777" w:rsidR="00B53138" w:rsidRPr="00B53138" w:rsidRDefault="00B53138" w:rsidP="00B53138">
            <w:pPr>
              <w:spacing w:after="0" w:line="240" w:lineRule="auto"/>
              <w:rPr>
                <w:rFonts w:ascii="Arial" w:eastAsia="Times New Roman" w:hAnsi="Arial" w:cs="Arial"/>
                <w:sz w:val="18"/>
                <w:szCs w:val="18"/>
              </w:rPr>
            </w:pPr>
          </w:p>
        </w:tc>
      </w:tr>
      <w:tr w:rsidR="00B53138" w:rsidRPr="00B53138" w14:paraId="6CB9E94D" w14:textId="77777777" w:rsidTr="00B53138">
        <w:tc>
          <w:tcPr>
            <w:tcW w:w="0" w:type="auto"/>
            <w:tcBorders>
              <w:top w:val="nil"/>
              <w:left w:val="nil"/>
              <w:bottom w:val="nil"/>
              <w:right w:val="nil"/>
            </w:tcBorders>
            <w:tcMar>
              <w:top w:w="15" w:type="dxa"/>
              <w:left w:w="75" w:type="dxa"/>
              <w:bottom w:w="15" w:type="dxa"/>
              <w:right w:w="75" w:type="dxa"/>
            </w:tcMar>
            <w:vAlign w:val="bottom"/>
            <w:hideMark/>
          </w:tcPr>
          <w:p w14:paraId="6CE623E1"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 </w:t>
            </w:r>
          </w:p>
        </w:tc>
        <w:tc>
          <w:tcPr>
            <w:tcW w:w="0" w:type="auto"/>
            <w:tcBorders>
              <w:top w:val="nil"/>
              <w:left w:val="nil"/>
              <w:bottom w:val="nil"/>
              <w:right w:val="nil"/>
            </w:tcBorders>
            <w:tcMar>
              <w:top w:w="15" w:type="dxa"/>
              <w:left w:w="75" w:type="dxa"/>
              <w:bottom w:w="15" w:type="dxa"/>
              <w:right w:w="75" w:type="dxa"/>
            </w:tcMar>
            <w:vAlign w:val="bottom"/>
            <w:hideMark/>
          </w:tcPr>
          <w:p w14:paraId="53FB5A09" w14:textId="77777777" w:rsidR="00B53138" w:rsidRPr="00B53138" w:rsidRDefault="00B53138" w:rsidP="00B53138">
            <w:pPr>
              <w:spacing w:after="0" w:line="240" w:lineRule="auto"/>
              <w:rPr>
                <w:rFonts w:ascii="Arial" w:eastAsia="Times New Roman" w:hAnsi="Arial" w:cs="Arial"/>
                <w:sz w:val="18"/>
                <w:szCs w:val="18"/>
              </w:rPr>
            </w:pPr>
            <w:r w:rsidRPr="00B53138">
              <w:rPr>
                <w:rFonts w:ascii="Arial" w:eastAsia="Times New Roman" w:hAnsi="Arial" w:cs="Arial"/>
                <w:sz w:val="18"/>
                <w:szCs w:val="18"/>
              </w:rPr>
              <w:t>A paid-up nonforfeiture benefit will become effective as specified in the policy, unless the person entitled elects another available option within 60 days after the due date of the premium in default.</w:t>
            </w:r>
          </w:p>
        </w:tc>
      </w:tr>
    </w:tbl>
    <w:p w14:paraId="33382D9A" w14:textId="77777777" w:rsidR="00B53138" w:rsidRPr="00B53138" w:rsidRDefault="00B53138" w:rsidP="00B53138">
      <w:pPr>
        <w:spacing w:after="0" w:line="240" w:lineRule="auto"/>
        <w:textAlignment w:val="baseline"/>
        <w:rPr>
          <w:rFonts w:ascii="Arial" w:eastAsia="Times New Roman" w:hAnsi="Arial" w:cs="Arial"/>
          <w:color w:val="464543"/>
          <w:sz w:val="24"/>
          <w:szCs w:val="24"/>
        </w:rPr>
      </w:pPr>
      <w:hyperlink r:id="rId6" w:history="1">
        <w:r w:rsidRPr="00B53138">
          <w:rPr>
            <w:rFonts w:ascii="FontAwesome" w:eastAsia="Times New Roman" w:hAnsi="FontAwesome" w:cs="Times New Roman"/>
            <w:b/>
            <w:bCs/>
            <w:color w:val="464543"/>
            <w:sz w:val="21"/>
            <w:szCs w:val="21"/>
            <w:u w:val="single"/>
            <w:shd w:val="clear" w:color="auto" w:fill="EEEEEE"/>
          </w:rPr>
          <w:t>Next</w:t>
        </w:r>
      </w:hyperlink>
    </w:p>
    <w:p w14:paraId="0D3A45E3" w14:textId="77777777" w:rsidR="00B53138" w:rsidRPr="00B53138" w:rsidRDefault="00B53138" w:rsidP="00B53138">
      <w:pPr>
        <w:numPr>
          <w:ilvl w:val="0"/>
          <w:numId w:val="1"/>
        </w:numPr>
        <w:spacing w:after="0" w:line="240" w:lineRule="auto"/>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t>©</w:t>
      </w:r>
    </w:p>
    <w:p w14:paraId="0F97E03F" w14:textId="77777777" w:rsidR="00B53138" w:rsidRPr="00B53138" w:rsidRDefault="00B53138" w:rsidP="00B53138">
      <w:pPr>
        <w:spacing w:after="0" w:line="240" w:lineRule="auto"/>
        <w:ind w:left="720"/>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lastRenderedPageBreak/>
        <w:t> </w:t>
      </w:r>
    </w:p>
    <w:p w14:paraId="50828F00" w14:textId="77777777" w:rsidR="00B53138" w:rsidRPr="00B53138" w:rsidRDefault="00B53138" w:rsidP="00B53138">
      <w:pPr>
        <w:numPr>
          <w:ilvl w:val="0"/>
          <w:numId w:val="1"/>
        </w:numPr>
        <w:spacing w:after="0" w:line="240" w:lineRule="auto"/>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t>2020</w:t>
      </w:r>
    </w:p>
    <w:p w14:paraId="3BB4E318" w14:textId="77777777" w:rsidR="00B53138" w:rsidRPr="00B53138" w:rsidRDefault="00B53138" w:rsidP="00B53138">
      <w:pPr>
        <w:spacing w:after="0" w:line="240" w:lineRule="auto"/>
        <w:ind w:left="720"/>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t> </w:t>
      </w:r>
    </w:p>
    <w:p w14:paraId="2578DF5F" w14:textId="77777777" w:rsidR="00B53138" w:rsidRPr="00B53138" w:rsidRDefault="00B53138" w:rsidP="00B53138">
      <w:pPr>
        <w:numPr>
          <w:ilvl w:val="0"/>
          <w:numId w:val="1"/>
        </w:numPr>
        <w:spacing w:after="0" w:line="240" w:lineRule="auto"/>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t>ExamFX All rights reserved.</w:t>
      </w:r>
    </w:p>
    <w:p w14:paraId="291DF636" w14:textId="77777777" w:rsidR="00B53138" w:rsidRPr="00B53138" w:rsidRDefault="00B53138" w:rsidP="00B53138">
      <w:pPr>
        <w:numPr>
          <w:ilvl w:val="0"/>
          <w:numId w:val="2"/>
        </w:numPr>
        <w:spacing w:after="0" w:line="240" w:lineRule="auto"/>
        <w:jc w:val="center"/>
        <w:textAlignment w:val="baseline"/>
        <w:rPr>
          <w:rFonts w:ascii="Arial" w:eastAsia="Times New Roman" w:hAnsi="Arial" w:cs="Arial"/>
          <w:color w:val="464543"/>
          <w:sz w:val="21"/>
          <w:szCs w:val="21"/>
        </w:rPr>
      </w:pPr>
      <w:hyperlink r:id="rId7" w:tgtFrame="_blank" w:tooltip="Contact Us" w:history="1">
        <w:r w:rsidRPr="00B53138">
          <w:rPr>
            <w:rFonts w:ascii="Times New Roman" w:eastAsia="Times New Roman" w:hAnsi="Times New Roman" w:cs="Times New Roman"/>
            <w:color w:val="0000FF"/>
            <w:sz w:val="21"/>
            <w:szCs w:val="21"/>
            <w:u w:val="single"/>
          </w:rPr>
          <w:t>Contact Us</w:t>
        </w:r>
      </w:hyperlink>
      <w:r w:rsidRPr="00B53138">
        <w:rPr>
          <w:rFonts w:ascii="Arial" w:eastAsia="Times New Roman" w:hAnsi="Arial" w:cs="Arial"/>
          <w:color w:val="464543"/>
          <w:sz w:val="21"/>
          <w:szCs w:val="21"/>
        </w:rPr>
        <w:t> </w:t>
      </w:r>
    </w:p>
    <w:p w14:paraId="7D7B4004" w14:textId="77777777" w:rsidR="00B53138" w:rsidRPr="00B53138" w:rsidRDefault="00B53138" w:rsidP="00B53138">
      <w:pPr>
        <w:spacing w:after="0" w:line="240" w:lineRule="auto"/>
        <w:ind w:left="720"/>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t> </w:t>
      </w:r>
    </w:p>
    <w:p w14:paraId="7C53E7D0" w14:textId="77777777" w:rsidR="00B53138" w:rsidRPr="00B53138" w:rsidRDefault="00B53138" w:rsidP="00B53138">
      <w:pPr>
        <w:numPr>
          <w:ilvl w:val="0"/>
          <w:numId w:val="2"/>
        </w:numPr>
        <w:spacing w:after="0" w:line="240" w:lineRule="auto"/>
        <w:jc w:val="center"/>
        <w:textAlignment w:val="baseline"/>
        <w:rPr>
          <w:rFonts w:ascii="Arial" w:eastAsia="Times New Roman" w:hAnsi="Arial" w:cs="Arial"/>
          <w:color w:val="464543"/>
          <w:sz w:val="21"/>
          <w:szCs w:val="21"/>
        </w:rPr>
      </w:pPr>
      <w:hyperlink r:id="rId8" w:tgtFrame="_blank" w:tooltip="Privacy Statement" w:history="1">
        <w:r w:rsidRPr="00B53138">
          <w:rPr>
            <w:rFonts w:ascii="Times New Roman" w:eastAsia="Times New Roman" w:hAnsi="Times New Roman" w:cs="Times New Roman"/>
            <w:color w:val="0000FF"/>
            <w:sz w:val="21"/>
            <w:szCs w:val="21"/>
            <w:u w:val="single"/>
          </w:rPr>
          <w:t>Privacy Statement</w:t>
        </w:r>
      </w:hyperlink>
    </w:p>
    <w:p w14:paraId="39F11B43" w14:textId="77777777" w:rsidR="00B53138" w:rsidRPr="00B53138" w:rsidRDefault="00B53138" w:rsidP="00B53138">
      <w:pPr>
        <w:spacing w:after="0" w:line="240" w:lineRule="auto"/>
        <w:ind w:left="720"/>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t> </w:t>
      </w:r>
    </w:p>
    <w:p w14:paraId="71AFA730" w14:textId="77777777" w:rsidR="00B53138" w:rsidRPr="00B53138" w:rsidRDefault="00B53138" w:rsidP="00B53138">
      <w:pPr>
        <w:numPr>
          <w:ilvl w:val="0"/>
          <w:numId w:val="2"/>
        </w:numPr>
        <w:spacing w:after="0" w:line="240" w:lineRule="auto"/>
        <w:jc w:val="center"/>
        <w:textAlignment w:val="baseline"/>
        <w:rPr>
          <w:rFonts w:ascii="Arial" w:eastAsia="Times New Roman" w:hAnsi="Arial" w:cs="Arial"/>
          <w:color w:val="464543"/>
          <w:sz w:val="21"/>
          <w:szCs w:val="21"/>
        </w:rPr>
      </w:pPr>
      <w:hyperlink r:id="rId9" w:tgtFrame="_blank" w:tooltip="Terms Of Use" w:history="1">
        <w:r w:rsidRPr="00B53138">
          <w:rPr>
            <w:rFonts w:ascii="Times New Roman" w:eastAsia="Times New Roman" w:hAnsi="Times New Roman" w:cs="Times New Roman"/>
            <w:color w:val="0000FF"/>
            <w:sz w:val="21"/>
            <w:szCs w:val="21"/>
            <w:u w:val="single"/>
          </w:rPr>
          <w:t>Terms Of Use</w:t>
        </w:r>
      </w:hyperlink>
    </w:p>
    <w:p w14:paraId="7AADD212" w14:textId="77777777" w:rsidR="00B53138" w:rsidRPr="00B53138" w:rsidRDefault="00B53138" w:rsidP="00B53138">
      <w:pPr>
        <w:spacing w:after="0" w:line="240" w:lineRule="auto"/>
        <w:ind w:left="720"/>
        <w:jc w:val="center"/>
        <w:textAlignment w:val="baseline"/>
        <w:rPr>
          <w:rFonts w:ascii="Arial" w:eastAsia="Times New Roman" w:hAnsi="Arial" w:cs="Arial"/>
          <w:color w:val="464543"/>
          <w:sz w:val="21"/>
          <w:szCs w:val="21"/>
        </w:rPr>
      </w:pPr>
      <w:r w:rsidRPr="00B53138">
        <w:rPr>
          <w:rFonts w:ascii="Arial" w:eastAsia="Times New Roman" w:hAnsi="Arial" w:cs="Arial"/>
          <w:color w:val="464543"/>
          <w:sz w:val="21"/>
          <w:szCs w:val="21"/>
        </w:rPr>
        <w:t> </w:t>
      </w:r>
    </w:p>
    <w:p w14:paraId="796103A2" w14:textId="77777777" w:rsidR="00B53138" w:rsidRPr="00B53138" w:rsidRDefault="00B53138" w:rsidP="00B53138">
      <w:pPr>
        <w:numPr>
          <w:ilvl w:val="0"/>
          <w:numId w:val="2"/>
        </w:numPr>
        <w:spacing w:after="0" w:line="240" w:lineRule="auto"/>
        <w:jc w:val="center"/>
        <w:textAlignment w:val="baseline"/>
        <w:rPr>
          <w:rFonts w:ascii="Arial" w:eastAsia="Times New Roman" w:hAnsi="Arial" w:cs="Arial"/>
          <w:color w:val="464543"/>
          <w:sz w:val="21"/>
          <w:szCs w:val="21"/>
        </w:rPr>
      </w:pPr>
      <w:hyperlink r:id="rId10" w:tgtFrame="_blank" w:tooltip="Terms and Conditions" w:history="1">
        <w:r w:rsidRPr="00B53138">
          <w:rPr>
            <w:rFonts w:ascii="Times New Roman" w:eastAsia="Times New Roman" w:hAnsi="Times New Roman" w:cs="Times New Roman"/>
            <w:color w:val="0000FF"/>
            <w:sz w:val="21"/>
            <w:szCs w:val="21"/>
            <w:u w:val="single"/>
          </w:rPr>
          <w:t>Terms and Conditions</w:t>
        </w:r>
      </w:hyperlink>
    </w:p>
    <w:p w14:paraId="19D54AE0" w14:textId="77777777" w:rsidR="00B53138" w:rsidRPr="00B53138" w:rsidRDefault="00B53138" w:rsidP="00B53138">
      <w:pPr>
        <w:pBdr>
          <w:top w:val="single" w:sz="6" w:space="1" w:color="auto"/>
        </w:pBdr>
        <w:spacing w:after="0" w:line="240" w:lineRule="auto"/>
        <w:jc w:val="center"/>
        <w:rPr>
          <w:rFonts w:ascii="Arial" w:eastAsia="Times New Roman" w:hAnsi="Arial" w:cs="Arial"/>
          <w:vanish/>
          <w:sz w:val="16"/>
          <w:szCs w:val="16"/>
        </w:rPr>
      </w:pPr>
      <w:r w:rsidRPr="00B53138">
        <w:rPr>
          <w:rFonts w:ascii="Arial" w:eastAsia="Times New Roman" w:hAnsi="Arial" w:cs="Arial"/>
          <w:vanish/>
          <w:sz w:val="16"/>
          <w:szCs w:val="16"/>
        </w:rPr>
        <w:t>Bottom of Form</w:t>
      </w:r>
    </w:p>
    <w:p w14:paraId="26A631F1" w14:textId="77777777" w:rsidR="00B53138" w:rsidRPr="00B53138" w:rsidRDefault="00B53138" w:rsidP="00B53138">
      <w:pPr>
        <w:spacing w:after="0" w:line="240" w:lineRule="auto"/>
        <w:rPr>
          <w:rFonts w:ascii="Times New Roman" w:eastAsia="Times New Roman" w:hAnsi="Times New Roman" w:cs="Times New Roman"/>
          <w:sz w:val="24"/>
          <w:szCs w:val="24"/>
        </w:rPr>
      </w:pPr>
      <w:r w:rsidRPr="00B53138">
        <w:rPr>
          <w:rFonts w:ascii="Times New Roman" w:eastAsia="Times New Roman" w:hAnsi="Times New Roman" w:cs="Times New Roman"/>
          <w:sz w:val="24"/>
          <w:szCs w:val="24"/>
        </w:rPr>
        <w:t>Need Help</w:t>
      </w:r>
    </w:p>
    <w:p w14:paraId="50D6B7BA" w14:textId="77777777" w:rsidR="00174FBD" w:rsidRDefault="00174FBD"/>
    <w:sectPr w:rsidR="0017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Franklin-Light">
    <w:altName w:val="Cambria"/>
    <w:panose1 w:val="00000000000000000000"/>
    <w:charset w:val="00"/>
    <w:family w:val="roman"/>
    <w:notTrueType/>
    <w:pitch w:val="default"/>
  </w:font>
  <w:font w:name="FontAwesom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401B"/>
    <w:multiLevelType w:val="multilevel"/>
    <w:tmpl w:val="099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21DC2"/>
    <w:multiLevelType w:val="multilevel"/>
    <w:tmpl w:val="9B5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38"/>
    <w:rsid w:val="00174FBD"/>
    <w:rsid w:val="00B5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7092"/>
  <w15:chartTrackingRefBased/>
  <w15:docId w15:val="{963B6446-4A72-45D4-ABE6-37F1EF77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1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1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138"/>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B531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3138"/>
    <w:rPr>
      <w:rFonts w:ascii="Arial" w:eastAsia="Times New Roman" w:hAnsi="Arial" w:cs="Arial"/>
      <w:vanish/>
      <w:sz w:val="16"/>
      <w:szCs w:val="16"/>
    </w:rPr>
  </w:style>
  <w:style w:type="character" w:styleId="Hyperlink">
    <w:name w:val="Hyperlink"/>
    <w:basedOn w:val="DefaultParagraphFont"/>
    <w:uiPriority w:val="99"/>
    <w:semiHidden/>
    <w:unhideWhenUsed/>
    <w:rsid w:val="00B53138"/>
    <w:rPr>
      <w:color w:val="0000FF"/>
      <w:u w:val="single"/>
    </w:rPr>
  </w:style>
  <w:style w:type="character" w:styleId="Strong">
    <w:name w:val="Strong"/>
    <w:basedOn w:val="DefaultParagraphFont"/>
    <w:uiPriority w:val="22"/>
    <w:qFormat/>
    <w:rsid w:val="00B53138"/>
    <w:rPr>
      <w:b/>
      <w:bCs/>
    </w:rPr>
  </w:style>
  <w:style w:type="paragraph" w:customStyle="1" w:styleId="p-r-0">
    <w:name w:val="p-r-0"/>
    <w:basedOn w:val="Normal"/>
    <w:rsid w:val="00B531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year">
    <w:name w:val="copyright-year"/>
    <w:basedOn w:val="Normal"/>
    <w:rsid w:val="00B5313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5313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313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76244">
      <w:bodyDiv w:val="1"/>
      <w:marLeft w:val="0"/>
      <w:marRight w:val="0"/>
      <w:marTop w:val="0"/>
      <w:marBottom w:val="0"/>
      <w:divBdr>
        <w:top w:val="none" w:sz="0" w:space="0" w:color="auto"/>
        <w:left w:val="none" w:sz="0" w:space="0" w:color="auto"/>
        <w:bottom w:val="none" w:sz="0" w:space="0" w:color="auto"/>
        <w:right w:val="none" w:sz="0" w:space="0" w:color="auto"/>
      </w:divBdr>
      <w:divsChild>
        <w:div w:id="1718623564">
          <w:marLeft w:val="0"/>
          <w:marRight w:val="0"/>
          <w:marTop w:val="0"/>
          <w:marBottom w:val="0"/>
          <w:divBdr>
            <w:top w:val="none" w:sz="0" w:space="0" w:color="auto"/>
            <w:left w:val="none" w:sz="0" w:space="0" w:color="auto"/>
            <w:bottom w:val="none" w:sz="0" w:space="0" w:color="auto"/>
            <w:right w:val="none" w:sz="0" w:space="0" w:color="auto"/>
          </w:divBdr>
          <w:divsChild>
            <w:div w:id="603149828">
              <w:marLeft w:val="0"/>
              <w:marRight w:val="0"/>
              <w:marTop w:val="225"/>
              <w:marBottom w:val="195"/>
              <w:divBdr>
                <w:top w:val="none" w:sz="0" w:space="0" w:color="auto"/>
                <w:left w:val="none" w:sz="0" w:space="0" w:color="auto"/>
                <w:bottom w:val="none" w:sz="0" w:space="0" w:color="auto"/>
                <w:right w:val="none" w:sz="0" w:space="0" w:color="auto"/>
              </w:divBdr>
            </w:div>
          </w:divsChild>
        </w:div>
        <w:div w:id="409540321">
          <w:marLeft w:val="0"/>
          <w:marRight w:val="0"/>
          <w:marTop w:val="0"/>
          <w:marBottom w:val="0"/>
          <w:divBdr>
            <w:top w:val="none" w:sz="0" w:space="0" w:color="auto"/>
            <w:left w:val="none" w:sz="0" w:space="0" w:color="auto"/>
            <w:bottom w:val="none" w:sz="0" w:space="0" w:color="auto"/>
            <w:right w:val="none" w:sz="0" w:space="0" w:color="auto"/>
          </w:divBdr>
          <w:divsChild>
            <w:div w:id="1114904685">
              <w:marLeft w:val="0"/>
              <w:marRight w:val="0"/>
              <w:marTop w:val="0"/>
              <w:marBottom w:val="0"/>
              <w:divBdr>
                <w:top w:val="none" w:sz="0" w:space="0" w:color="auto"/>
                <w:left w:val="none" w:sz="0" w:space="0" w:color="auto"/>
                <w:bottom w:val="none" w:sz="0" w:space="0" w:color="auto"/>
                <w:right w:val="none" w:sz="0" w:space="0" w:color="auto"/>
              </w:divBdr>
              <w:divsChild>
                <w:div w:id="1955868879">
                  <w:marLeft w:val="0"/>
                  <w:marRight w:val="0"/>
                  <w:marTop w:val="0"/>
                  <w:marBottom w:val="0"/>
                  <w:divBdr>
                    <w:top w:val="none" w:sz="0" w:space="0" w:color="auto"/>
                    <w:left w:val="none" w:sz="0" w:space="0" w:color="auto"/>
                    <w:bottom w:val="none" w:sz="0" w:space="0" w:color="auto"/>
                    <w:right w:val="none" w:sz="0" w:space="0" w:color="auto"/>
                  </w:divBdr>
                </w:div>
                <w:div w:id="2004891104">
                  <w:marLeft w:val="0"/>
                  <w:marRight w:val="0"/>
                  <w:marTop w:val="0"/>
                  <w:marBottom w:val="0"/>
                  <w:divBdr>
                    <w:top w:val="none" w:sz="0" w:space="0" w:color="auto"/>
                    <w:left w:val="none" w:sz="0" w:space="0" w:color="auto"/>
                    <w:bottom w:val="none" w:sz="0" w:space="0" w:color="auto"/>
                    <w:right w:val="none" w:sz="0" w:space="0" w:color="auto"/>
                  </w:divBdr>
                </w:div>
                <w:div w:id="19936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3531">
          <w:marLeft w:val="0"/>
          <w:marRight w:val="0"/>
          <w:marTop w:val="0"/>
          <w:marBottom w:val="0"/>
          <w:divBdr>
            <w:top w:val="none" w:sz="0" w:space="0" w:color="auto"/>
            <w:left w:val="none" w:sz="0" w:space="0" w:color="auto"/>
            <w:bottom w:val="none" w:sz="0" w:space="0" w:color="auto"/>
            <w:right w:val="none" w:sz="0" w:space="0" w:color="auto"/>
          </w:divBdr>
          <w:divsChild>
            <w:div w:id="1505318205">
              <w:marLeft w:val="0"/>
              <w:marRight w:val="0"/>
              <w:marTop w:val="0"/>
              <w:marBottom w:val="0"/>
              <w:divBdr>
                <w:top w:val="none" w:sz="0" w:space="0" w:color="auto"/>
                <w:left w:val="none" w:sz="0" w:space="0" w:color="auto"/>
                <w:bottom w:val="none" w:sz="0" w:space="0" w:color="auto"/>
                <w:right w:val="none" w:sz="0" w:space="0" w:color="auto"/>
              </w:divBdr>
            </w:div>
          </w:divsChild>
        </w:div>
        <w:div w:id="2007440786">
          <w:marLeft w:val="0"/>
          <w:marRight w:val="0"/>
          <w:marTop w:val="0"/>
          <w:marBottom w:val="0"/>
          <w:divBdr>
            <w:top w:val="none" w:sz="0" w:space="0" w:color="auto"/>
            <w:left w:val="none" w:sz="0" w:space="0" w:color="auto"/>
            <w:bottom w:val="none" w:sz="0" w:space="0" w:color="auto"/>
            <w:right w:val="none" w:sz="0" w:space="0" w:color="auto"/>
          </w:divBdr>
          <w:divsChild>
            <w:div w:id="1929533619">
              <w:marLeft w:val="0"/>
              <w:marRight w:val="0"/>
              <w:marTop w:val="0"/>
              <w:marBottom w:val="0"/>
              <w:divBdr>
                <w:top w:val="none" w:sz="0" w:space="0" w:color="auto"/>
                <w:left w:val="none" w:sz="0" w:space="0" w:color="auto"/>
                <w:bottom w:val="none" w:sz="0" w:space="0" w:color="auto"/>
                <w:right w:val="none" w:sz="0" w:space="0" w:color="auto"/>
              </w:divBdr>
              <w:divsChild>
                <w:div w:id="1057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b.examfx.com/ExamFX/Utility/Privacy.aspx" TargetMode="External"/><Relationship Id="rId3" Type="http://schemas.openxmlformats.org/officeDocument/2006/relationships/settings" Target="settings.xml"/><Relationship Id="rId7" Type="http://schemas.openxmlformats.org/officeDocument/2006/relationships/hyperlink" Target="https://www.examfx.com/resources/support-ce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__doPostBack('ctl00$content$btnNext','')" TargetMode="External"/><Relationship Id="rId11" Type="http://schemas.openxmlformats.org/officeDocument/2006/relationships/fontTable" Target="fontTable.xml"/><Relationship Id="rId5" Type="http://schemas.openxmlformats.org/officeDocument/2006/relationships/hyperlink" Target="https://eswb.examfx.com/ExamFX/Main.aspx?lang=" TargetMode="External"/><Relationship Id="rId10" Type="http://schemas.openxmlformats.org/officeDocument/2006/relationships/hyperlink" Target="https://eswb.examfx.com/ExamFX/Utility/TermsandConditions.aspx" TargetMode="External"/><Relationship Id="rId4" Type="http://schemas.openxmlformats.org/officeDocument/2006/relationships/webSettings" Target="webSettings.xml"/><Relationship Id="rId9" Type="http://schemas.openxmlformats.org/officeDocument/2006/relationships/hyperlink" Target="https://eswb.examfx.com/ExamFX/Utility/Ter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Prasad Yarlagadda</dc:creator>
  <cp:keywords/>
  <dc:description/>
  <cp:lastModifiedBy>Venkata Siva Prasad Yarlagadda</cp:lastModifiedBy>
  <cp:revision>1</cp:revision>
  <dcterms:created xsi:type="dcterms:W3CDTF">2020-08-18T21:27:00Z</dcterms:created>
  <dcterms:modified xsi:type="dcterms:W3CDTF">2020-08-18T21:27:00Z</dcterms:modified>
</cp:coreProperties>
</file>