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6"/>
        </w:rPr>
        <w:t>CREDIT APPRAISAL MEMORANDUM</w:t>
      </w:r>
    </w:p>
    <w:p>
      <w:pPr>
        <w:jc w:val="center"/>
      </w:pPr>
      <w:r>
        <w:rPr>
          <w:i/>
          <w:color w:val="8B0000"/>
          <w:sz w:val="24"/>
        </w:rPr>
        <w:t>CONFIDENTIAL — FOR INTERNAL USE ONLY</w:t>
      </w:r>
    </w:p>
    <w:p/>
    <w:p>
      <w:pPr>
        <w:jc w:val="center"/>
      </w:pPr>
      <w:r>
        <w:rPr>
          <w:b/>
          <w:sz w:val="44"/>
        </w:rPr>
        <w:t>RiskyCo Industries Ltd</w:t>
      </w:r>
    </w:p>
    <w:p/>
    <w:p>
      <w:pPr>
        <w:jc w:val="center"/>
      </w:pPr>
      <w:r>
        <w:rPr>
          <w:b/>
          <w:color w:val="B22222"/>
          <w:sz w:val="32"/>
        </w:rPr>
        <w:t>RECOMMENDATION: REJECTED</w:t>
      </w:r>
    </w:p>
    <w:p/>
    <w:p>
      <w:pPr>
        <w:jc w:val="center"/>
      </w:pPr>
      <w:r>
        <w:rPr>
          <w:sz w:val="24"/>
        </w:rPr>
        <w:t>Date: 04 March 2026</w:t>
      </w:r>
    </w:p>
    <w:p>
      <w:pPr>
        <w:jc w:val="center"/>
      </w:pPr>
      <w:r>
        <w:rPr>
          <w:i/>
          <w:color w:val="646464"/>
          <w:sz w:val="20"/>
        </w:rPr>
        <w:t>Generated by Intelli-Credit AI Engine</w:t>
      </w:r>
    </w:p>
    <w:p>
      <w:r>
        <w:br w:type="page"/>
      </w:r>
    </w:p>
    <w:p>
      <w:pPr>
        <w:pStyle w:val="Heading1"/>
      </w:pPr>
      <w:r>
        <w:t>1. Executive Summary</w:t>
      </w:r>
    </w:p>
    <w:p>
      <w:r>
        <w:t>This Credit Appraisal Memorandum presents the assessment of RiskyCo Industries Ltd for credit facility. Based on comprehensive analysis of financial statements, GST filings, CIBIL report, secondary research, and primary due diligence, the Intelli-Credit AI Engine recommends: REJECTED.</w:t>
      </w:r>
    </w:p>
    <w:tbl>
      <w:tblPr>
        <w:tblStyle w:val="LightGrid-Accent1"/>
        <w:tblW w:type="auto" w:w="0"/>
        <w:tblLook w:firstColumn="1" w:firstRow="1" w:lastColumn="0" w:lastRow="0" w:noHBand="0" w:noVBand="1" w:val="04A0"/>
      </w:tblPr>
      <w:tblGrid>
        <w:gridCol w:w="4680"/>
        <w:gridCol w:w="4680"/>
      </w:tblGrid>
      <w:tr>
        <w:tc>
          <w:tcPr>
            <w:tcW w:type="dxa" w:w="4680"/>
          </w:tcPr>
          <w:p>
            <w:r>
              <w:rPr>
                <w:b/>
              </w:rPr>
              <w:t>Decision</w:t>
            </w:r>
          </w:p>
        </w:tc>
        <w:tc>
          <w:tcPr>
            <w:tcW w:type="dxa" w:w="4680"/>
          </w:tcPr>
          <w:p>
            <w:r>
              <w:t>REJECTED</w:t>
            </w:r>
          </w:p>
        </w:tc>
      </w:tr>
      <w:tr>
        <w:tc>
          <w:tcPr>
            <w:tcW w:type="dxa" w:w="4680"/>
          </w:tcPr>
          <w:p>
            <w:r>
              <w:rPr>
                <w:b/>
              </w:rPr>
              <w:t>Risk Score</w:t>
            </w:r>
          </w:p>
        </w:tc>
        <w:tc>
          <w:tcPr>
            <w:tcW w:type="dxa" w:w="4680"/>
          </w:tcPr>
          <w:p>
            <w:r>
              <w:t>100.0 / 100</w:t>
            </w:r>
          </w:p>
        </w:tc>
      </w:tr>
      <w:tr>
        <w:tc>
          <w:tcPr>
            <w:tcW w:type="dxa" w:w="4680"/>
          </w:tcPr>
          <w:p>
            <w:r>
              <w:rPr>
                <w:b/>
              </w:rPr>
              <w:t>Confidence</w:t>
            </w:r>
          </w:p>
        </w:tc>
        <w:tc>
          <w:tcPr>
            <w:tcW w:type="dxa" w:w="4680"/>
          </w:tcPr>
          <w:p>
            <w:r>
              <w:t>99.9%</w:t>
            </w:r>
          </w:p>
        </w:tc>
      </w:tr>
      <w:tr>
        <w:tc>
          <w:tcPr>
            <w:tcW w:type="dxa" w:w="4680"/>
          </w:tcPr>
          <w:p>
            <w:r>
              <w:rPr>
                <w:b/>
              </w:rPr>
              <w:t>Recommended Loan Amount</w:t>
            </w:r>
          </w:p>
        </w:tc>
        <w:tc>
          <w:tcPr>
            <w:tcW w:type="dxa" w:w="4680"/>
          </w:tcPr>
          <w:p>
            <w:r>
              <w:t>N/A</w:t>
            </w:r>
          </w:p>
        </w:tc>
      </w:tr>
      <w:tr>
        <w:tc>
          <w:tcPr>
            <w:tcW w:type="dxa" w:w="4680"/>
          </w:tcPr>
          <w:p>
            <w:r>
              <w:rPr>
                <w:b/>
              </w:rPr>
              <w:t>Recommended Interest Rate</w:t>
            </w:r>
          </w:p>
        </w:tc>
        <w:tc>
          <w:tcPr>
            <w:tcW w:type="dxa" w:w="4680"/>
          </w:tcPr>
          <w:p>
            <w:r>
              <w:t>15.00%</w:t>
            </w:r>
          </w:p>
        </w:tc>
      </w:tr>
    </w:tbl>
    <w:p/>
    <w:p>
      <w:pPr>
        <w:pStyle w:val="Heading2"/>
      </w:pPr>
      <w:r>
        <w:t>Key Decision Factors</w:t>
      </w:r>
    </w:p>
    <w:p>
      <w:pPr>
        <w:pStyle w:val="ListBullet"/>
      </w:pPr>
      <w:r>
        <w:t>[RED] Very high leverage (D/E: 10.00x) -- over-leveraged balance sheet</w:t>
      </w:r>
    </w:p>
    <w:p>
      <w:pPr>
        <w:pStyle w:val="ListBullet"/>
      </w:pPr>
      <w:r>
        <w:t>[RED] 8 account(s) with 90+ DPD -- NPA risk</w:t>
      </w:r>
    </w:p>
    <w:p>
      <w:pPr>
        <w:pStyle w:val="ListBullet"/>
      </w:pPr>
      <w:r>
        <w:t>[RED] Overdue Accounts: 5.00 has negative impact on decision</w:t>
      </w:r>
    </w:p>
    <w:p>
      <w:pPr>
        <w:pStyle w:val="ListBullet"/>
      </w:pPr>
      <w:r>
        <w:t>[RED] High GSTR-2A vs 3B mismatch (21.1%) suggests revenue inflation or circular trading</w:t>
      </w:r>
    </w:p>
    <w:p>
      <w:pPr>
        <w:pStyle w:val="ListBullet"/>
      </w:pPr>
      <w:r>
        <w:t>[RED] 2 suit(s) filed by financial institutions per CIBIL</w:t>
      </w:r>
    </w:p>
    <w:p>
      <w:pPr>
        <w:pStyle w:val="ListBullet"/>
      </w:pPr>
      <w:r>
        <w:t>[RED] Revenue Growth YoY (%): -5.00 has negative impact on decision</w:t>
      </w:r>
    </w:p>
    <w:p>
      <w:pPr>
        <w:pStyle w:val="Heading1"/>
      </w:pPr>
      <w:r>
        <w:t>2. Company Overview</w:t>
      </w:r>
    </w:p>
    <w:tbl>
      <w:tblPr>
        <w:tblStyle w:val="LightGrid-Accent1"/>
        <w:tblW w:type="auto" w:w="0"/>
        <w:tblLook w:firstColumn="1" w:firstRow="1" w:lastColumn="0" w:lastRow="0" w:noHBand="0" w:noVBand="1" w:val="04A0"/>
      </w:tblPr>
      <w:tblGrid>
        <w:gridCol w:w="4680"/>
        <w:gridCol w:w="4680"/>
      </w:tblGrid>
      <w:tr>
        <w:tc>
          <w:tcPr>
            <w:tcW w:type="dxa" w:w="4680"/>
          </w:tcPr>
          <w:p>
            <w:r>
              <w:rPr>
                <w:b/>
              </w:rPr>
              <w:t>Entity ID</w:t>
            </w:r>
          </w:p>
        </w:tc>
        <w:tc>
          <w:tcPr>
            <w:tcW w:type="dxa" w:w="4680"/>
          </w:tcPr>
          <w:p>
            <w:r>
              <w:t>COMP_BAD</w:t>
            </w:r>
          </w:p>
        </w:tc>
      </w:tr>
      <w:tr>
        <w:tc>
          <w:tcPr>
            <w:tcW w:type="dxa" w:w="4680"/>
          </w:tcPr>
          <w:p>
            <w:r>
              <w:rPr>
                <w:b/>
              </w:rPr>
              <w:t>Company Name</w:t>
            </w:r>
          </w:p>
        </w:tc>
        <w:tc>
          <w:tcPr>
            <w:tcW w:type="dxa" w:w="4680"/>
          </w:tcPr>
          <w:p>
            <w:r>
              <w:t>RiskyCo Industries Ltd</w:t>
            </w:r>
          </w:p>
        </w:tc>
      </w:tr>
      <w:tr>
        <w:tc>
          <w:tcPr>
            <w:tcW w:type="dxa" w:w="4680"/>
          </w:tcPr>
          <w:p>
            <w:r>
              <w:rPr>
                <w:b/>
              </w:rPr>
              <w:t>Revenue (Latest)</w:t>
            </w:r>
          </w:p>
        </w:tc>
        <w:tc>
          <w:tcPr>
            <w:tcW w:type="dxa" w:w="4680"/>
          </w:tcPr>
          <w:p>
            <w:r>
              <w:t>₹40,000,000</w:t>
            </w:r>
          </w:p>
        </w:tc>
      </w:tr>
      <w:tr>
        <w:tc>
          <w:tcPr>
            <w:tcW w:type="dxa" w:w="4680"/>
          </w:tcPr>
          <w:p>
            <w:r>
              <w:rPr>
                <w:b/>
              </w:rPr>
              <w:t>Total Assets</w:t>
            </w:r>
          </w:p>
        </w:tc>
        <w:tc>
          <w:tcPr>
            <w:tcW w:type="dxa" w:w="4680"/>
          </w:tcPr>
          <w:p>
            <w:r>
              <w:t>₹60,000,000</w:t>
            </w:r>
          </w:p>
        </w:tc>
      </w:tr>
    </w:tbl>
    <w:p>
      <w:pPr>
        <w:pStyle w:val="Heading1"/>
      </w:pPr>
      <w:r>
        <w:t>3. Financial Analysis</w:t>
      </w:r>
    </w:p>
    <w:p>
      <w:pPr>
        <w:pStyle w:val="Heading2"/>
      </w:pPr>
      <w:r>
        <w:t>Key Financial Metrics</w:t>
      </w:r>
    </w:p>
    <w:tbl>
      <w:tblPr>
        <w:tblStyle w:val="LightGrid-Accent1"/>
        <w:tblW w:type="auto" w:w="0"/>
        <w:tblLook w:firstColumn="1" w:firstRow="1" w:lastColumn="0" w:lastRow="0" w:noHBand="0" w:noVBand="1" w:val="04A0"/>
      </w:tblPr>
      <w:tblGrid>
        <w:gridCol w:w="4680"/>
        <w:gridCol w:w="4680"/>
      </w:tblGrid>
      <w:tr>
        <w:tc>
          <w:tcPr>
            <w:tcW w:type="dxa" w:w="4680"/>
          </w:tcPr>
          <w:p>
            <w:r>
              <w:rPr>
                <w:b/>
              </w:rPr>
              <w:t>Revenue</w:t>
            </w:r>
          </w:p>
        </w:tc>
        <w:tc>
          <w:tcPr>
            <w:tcW w:type="dxa" w:w="4680"/>
          </w:tcPr>
          <w:p>
            <w:r>
              <w:t>₹40,000,000</w:t>
            </w:r>
          </w:p>
        </w:tc>
      </w:tr>
      <w:tr>
        <w:tc>
          <w:tcPr>
            <w:tcW w:type="dxa" w:w="4680"/>
          </w:tcPr>
          <w:p>
            <w:r>
              <w:rPr>
                <w:b/>
              </w:rPr>
              <w:t>EBITDA</w:t>
            </w:r>
          </w:p>
        </w:tc>
        <w:tc>
          <w:tcPr>
            <w:tcW w:type="dxa" w:w="4680"/>
          </w:tcPr>
          <w:p>
            <w:r>
              <w:t>₹2,000,000</w:t>
            </w:r>
          </w:p>
        </w:tc>
      </w:tr>
      <w:tr>
        <w:tc>
          <w:tcPr>
            <w:tcW w:type="dxa" w:w="4680"/>
          </w:tcPr>
          <w:p>
            <w:r>
              <w:rPr>
                <w:b/>
              </w:rPr>
              <w:t>Net Profit</w:t>
            </w:r>
          </w:p>
        </w:tc>
        <w:tc>
          <w:tcPr>
            <w:tcW w:type="dxa" w:w="4680"/>
          </w:tcPr>
          <w:p>
            <w:r>
              <w:t>₹-3,000,000</w:t>
            </w:r>
          </w:p>
        </w:tc>
      </w:tr>
      <w:tr>
        <w:tc>
          <w:tcPr>
            <w:tcW w:type="dxa" w:w="4680"/>
          </w:tcPr>
          <w:p>
            <w:r>
              <w:rPr>
                <w:b/>
              </w:rPr>
              <w:t>Total Debt</w:t>
            </w:r>
          </w:p>
        </w:tc>
        <w:tc>
          <w:tcPr>
            <w:tcW w:type="dxa" w:w="4680"/>
          </w:tcPr>
          <w:p>
            <w:r>
              <w:t>₹80,000,000</w:t>
            </w:r>
          </w:p>
        </w:tc>
      </w:tr>
      <w:tr>
        <w:tc>
          <w:tcPr>
            <w:tcW w:type="dxa" w:w="4680"/>
          </w:tcPr>
          <w:p>
            <w:r>
              <w:rPr>
                <w:b/>
              </w:rPr>
              <w:t>Net Worth</w:t>
            </w:r>
          </w:p>
        </w:tc>
        <w:tc>
          <w:tcPr>
            <w:tcW w:type="dxa" w:w="4680"/>
          </w:tcPr>
          <w:p>
            <w:r>
              <w:t>₹8,000,000</w:t>
            </w:r>
          </w:p>
        </w:tc>
      </w:tr>
      <w:tr>
        <w:tc>
          <w:tcPr>
            <w:tcW w:type="dxa" w:w="4680"/>
          </w:tcPr>
          <w:p>
            <w:r>
              <w:rPr>
                <w:b/>
              </w:rPr>
              <w:t>Debt/Equity Ratio</w:t>
            </w:r>
          </w:p>
        </w:tc>
        <w:tc>
          <w:tcPr>
            <w:tcW w:type="dxa" w:w="4680"/>
          </w:tcPr>
          <w:p>
            <w:r>
              <w:t>10.00x</w:t>
            </w:r>
          </w:p>
        </w:tc>
      </w:tr>
      <w:tr>
        <w:tc>
          <w:tcPr>
            <w:tcW w:type="dxa" w:w="4680"/>
          </w:tcPr>
          <w:p>
            <w:r>
              <w:rPr>
                <w:b/>
              </w:rPr>
              <w:t>Current Ratio</w:t>
            </w:r>
          </w:p>
        </w:tc>
        <w:tc>
          <w:tcPr>
            <w:tcW w:type="dxa" w:w="4680"/>
          </w:tcPr>
          <w:p>
            <w:r>
              <w:t>0.67</w:t>
            </w:r>
          </w:p>
        </w:tc>
      </w:tr>
      <w:tr>
        <w:tc>
          <w:tcPr>
            <w:tcW w:type="dxa" w:w="4680"/>
          </w:tcPr>
          <w:p>
            <w:r>
              <w:rPr>
                <w:b/>
              </w:rPr>
              <w:t>Operating Margin</w:t>
            </w:r>
          </w:p>
        </w:tc>
        <w:tc>
          <w:tcPr>
            <w:tcW w:type="dxa" w:w="4680"/>
          </w:tcPr>
          <w:p>
            <w:r>
              <w:t>5.0%</w:t>
            </w:r>
          </w:p>
        </w:tc>
      </w:tr>
    </w:tbl>
    <w:p>
      <w:pPr>
        <w:pStyle w:val="Heading1"/>
      </w:pPr>
      <w:r>
        <w:t>4. GST Analysis (GSTR-2A vs 3B)</w:t>
      </w:r>
    </w:p>
    <w:p>
      <w:r>
        <w:t>This section compares the self-reported GSTR-3B turnover against the supplier-reported GSTR-2A data to identify potential revenue inflation or circular trading patterns.</w:t>
      </w:r>
    </w:p>
    <w:tbl>
      <w:tblPr>
        <w:tblStyle w:val="LightGrid-Accent1"/>
        <w:tblW w:type="auto" w:w="0"/>
        <w:tblLook w:firstColumn="1" w:firstRow="1" w:lastColumn="0" w:lastRow="0" w:noHBand="0" w:noVBand="1" w:val="04A0"/>
      </w:tblPr>
      <w:tblGrid>
        <w:gridCol w:w="4680"/>
        <w:gridCol w:w="4680"/>
      </w:tblGrid>
      <w:tr>
        <w:tc>
          <w:tcPr>
            <w:tcW w:type="dxa" w:w="4680"/>
          </w:tcPr>
          <w:p>
            <w:r>
              <w:rPr>
                <w:b/>
              </w:rPr>
              <w:t>GSTR-3B Turnover (Self-reported)</w:t>
            </w:r>
          </w:p>
        </w:tc>
        <w:tc>
          <w:tcPr>
            <w:tcW w:type="dxa" w:w="4680"/>
          </w:tcPr>
          <w:p>
            <w:r>
              <w:t>₹38,000,000</w:t>
            </w:r>
          </w:p>
        </w:tc>
      </w:tr>
      <w:tr>
        <w:tc>
          <w:tcPr>
            <w:tcW w:type="dxa" w:w="4680"/>
          </w:tcPr>
          <w:p>
            <w:r>
              <w:rPr>
                <w:b/>
              </w:rPr>
              <w:t>GSTR-2A Turnover (Supplier-reported)</w:t>
            </w:r>
          </w:p>
        </w:tc>
        <w:tc>
          <w:tcPr>
            <w:tcW w:type="dxa" w:w="4680"/>
          </w:tcPr>
          <w:p>
            <w:r>
              <w:t>₹30,000,000</w:t>
            </w:r>
          </w:p>
        </w:tc>
      </w:tr>
      <w:tr>
        <w:tc>
          <w:tcPr>
            <w:tcW w:type="dxa" w:w="4680"/>
          </w:tcPr>
          <w:p>
            <w:r>
              <w:rPr>
                <w:b/>
              </w:rPr>
              <w:t>Mismatch Percentage</w:t>
            </w:r>
          </w:p>
        </w:tc>
        <w:tc>
          <w:tcPr>
            <w:tcW w:type="dxa" w:w="4680"/>
          </w:tcPr>
          <w:p>
            <w:r>
              <w:t>21.1%</w:t>
            </w:r>
          </w:p>
        </w:tc>
      </w:tr>
      <w:tr>
        <w:tc>
          <w:tcPr>
            <w:tcW w:type="dxa" w:w="4680"/>
          </w:tcPr>
          <w:p>
            <w:r>
              <w:rPr>
                <w:b/>
              </w:rPr>
              <w:t>Circular Trading Risk</w:t>
            </w:r>
          </w:p>
        </w:tc>
        <w:tc>
          <w:tcPr>
            <w:tcW w:type="dxa" w:w="4680"/>
          </w:tcPr>
          <w:p>
            <w:r>
              <w:t>42/100</w:t>
            </w:r>
          </w:p>
        </w:tc>
      </w:tr>
    </w:tbl>
    <w:p>
      <w:pPr>
        <w:pStyle w:val="Heading1"/>
      </w:pPr>
      <w:r>
        <w:t>5. CIBIL Commercial Report Analysis</w:t>
      </w:r>
    </w:p>
    <w:tbl>
      <w:tblPr>
        <w:tblStyle w:val="LightGrid-Accent1"/>
        <w:tblW w:type="auto" w:w="0"/>
        <w:tblLook w:firstColumn="1" w:firstRow="1" w:lastColumn="0" w:lastRow="0" w:noHBand="0" w:noVBand="1" w:val="04A0"/>
      </w:tblPr>
      <w:tblGrid>
        <w:gridCol w:w="4680"/>
        <w:gridCol w:w="4680"/>
      </w:tblGrid>
      <w:tr>
        <w:tc>
          <w:tcPr>
            <w:tcW w:type="dxa" w:w="4680"/>
          </w:tcPr>
          <w:p>
            <w:r>
              <w:rPr>
                <w:b/>
              </w:rPr>
              <w:t>CIBIL Score</w:t>
            </w:r>
          </w:p>
        </w:tc>
        <w:tc>
          <w:tcPr>
            <w:tcW w:type="dxa" w:w="4680"/>
          </w:tcPr>
          <w:p>
            <w:r>
              <w:t>520</w:t>
            </w:r>
          </w:p>
        </w:tc>
      </w:tr>
      <w:tr>
        <w:tc>
          <w:tcPr>
            <w:tcW w:type="dxa" w:w="4680"/>
          </w:tcPr>
          <w:p>
            <w:r>
              <w:rPr>
                <w:b/>
              </w:rPr>
              <w:t>Total Credit Facilities</w:t>
            </w:r>
          </w:p>
        </w:tc>
        <w:tc>
          <w:tcPr>
            <w:tcW w:type="dxa" w:w="4680"/>
          </w:tcPr>
          <w:p>
            <w:r>
              <w:t>0</w:t>
            </w:r>
          </w:p>
        </w:tc>
      </w:tr>
      <w:tr>
        <w:tc>
          <w:tcPr>
            <w:tcW w:type="dxa" w:w="4680"/>
          </w:tcPr>
          <w:p>
            <w:r>
              <w:rPr>
                <w:b/>
              </w:rPr>
              <w:t>Overdue Accounts</w:t>
            </w:r>
          </w:p>
        </w:tc>
        <w:tc>
          <w:tcPr>
            <w:tcW w:type="dxa" w:w="4680"/>
          </w:tcPr>
          <w:p>
            <w:r>
              <w:t>5</w:t>
            </w:r>
          </w:p>
        </w:tc>
      </w:tr>
      <w:tr>
        <w:tc>
          <w:tcPr>
            <w:tcW w:type="dxa" w:w="4680"/>
          </w:tcPr>
          <w:p>
            <w:r>
              <w:rPr>
                <w:b/>
              </w:rPr>
              <w:t>Suit Filed Accounts</w:t>
            </w:r>
          </w:p>
        </w:tc>
        <w:tc>
          <w:tcPr>
            <w:tcW w:type="dxa" w:w="4680"/>
          </w:tcPr>
          <w:p>
            <w:r>
              <w:t>2</w:t>
            </w:r>
          </w:p>
        </w:tc>
      </w:tr>
      <w:tr>
        <w:tc>
          <w:tcPr>
            <w:tcW w:type="dxa" w:w="4680"/>
          </w:tcPr>
          <w:p>
            <w:r>
              <w:rPr>
                <w:b/>
              </w:rPr>
              <w:t>DPD 30+ Accounts</w:t>
            </w:r>
          </w:p>
        </w:tc>
        <w:tc>
          <w:tcPr>
            <w:tcW w:type="dxa" w:w="4680"/>
          </w:tcPr>
          <w:p>
            <w:r>
              <w:t>0</w:t>
            </w:r>
          </w:p>
        </w:tc>
      </w:tr>
      <w:tr>
        <w:tc>
          <w:tcPr>
            <w:tcW w:type="dxa" w:w="4680"/>
          </w:tcPr>
          <w:p>
            <w:r>
              <w:rPr>
                <w:b/>
              </w:rPr>
              <w:t>DPD 90+ Accounts</w:t>
            </w:r>
          </w:p>
        </w:tc>
        <w:tc>
          <w:tcPr>
            <w:tcW w:type="dxa" w:w="4680"/>
          </w:tcPr>
          <w:p>
            <w:r>
              <w:t>8</w:t>
            </w:r>
          </w:p>
        </w:tc>
      </w:tr>
      <w:tr>
        <w:tc>
          <w:tcPr>
            <w:tcW w:type="dxa" w:w="4680"/>
          </w:tcPr>
          <w:p>
            <w:r>
              <w:rPr>
                <w:b/>
              </w:rPr>
              <w:t>Credit Utilization</w:t>
            </w:r>
          </w:p>
        </w:tc>
        <w:tc>
          <w:tcPr>
            <w:tcW w:type="dxa" w:w="4680"/>
          </w:tcPr>
          <w:p>
            <w:r>
              <w:t>85%</w:t>
            </w:r>
          </w:p>
        </w:tc>
      </w:tr>
    </w:tbl>
    <w:p>
      <w:pPr>
        <w:pStyle w:val="Heading1"/>
      </w:pPr>
      <w:r>
        <w:t>6. Five Cs of Credit Assessment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Parameter</w:t>
            </w:r>
          </w:p>
        </w:tc>
        <w:tc>
          <w:tcPr>
            <w:tcW w:type="dxa" w:w="3120"/>
          </w:tcPr>
          <w:p>
            <w:r>
              <w:rPr>
                <w:b/>
              </w:rPr>
              <w:t>Score (/100)</w:t>
            </w:r>
          </w:p>
        </w:tc>
        <w:tc>
          <w:tcPr>
            <w:tcW w:type="dxa" w:w="3120"/>
          </w:tcPr>
          <w:p>
            <w:r>
              <w:rPr>
                <w:b/>
              </w:rPr>
              <w:t>Assessment Basis</w:t>
            </w:r>
          </w:p>
        </w:tc>
      </w:tr>
      <w:tr>
        <w:tc>
          <w:tcPr>
            <w:tcW w:type="dxa" w:w="3120"/>
          </w:tcPr>
          <w:p>
            <w:r>
              <w:t>Character</w:t>
            </w:r>
          </w:p>
        </w:tc>
        <w:tc>
          <w:tcPr>
            <w:tcW w:type="dxa" w:w="3120"/>
          </w:tcPr>
          <w:p>
            <w:r>
              <w:t>20</w:t>
            </w:r>
          </w:p>
        </w:tc>
        <w:tc>
          <w:tcPr>
            <w:tcW w:type="dxa" w:w="3120"/>
          </w:tcPr>
          <w:p>
            <w:r>
              <w:t>Promoter integrity, management track record, litigation history, market reputation</w:t>
            </w:r>
          </w:p>
        </w:tc>
      </w:tr>
      <w:tr>
        <w:tc>
          <w:tcPr>
            <w:tcW w:type="dxa" w:w="3120"/>
          </w:tcPr>
          <w:p>
            <w:r>
              <w:t>Capacity</w:t>
            </w:r>
          </w:p>
        </w:tc>
        <w:tc>
          <w:tcPr>
            <w:tcW w:type="dxa" w:w="3120"/>
          </w:tcPr>
          <w:p>
            <w:r>
              <w:t>0</w:t>
            </w:r>
          </w:p>
        </w:tc>
        <w:tc>
          <w:tcPr>
            <w:tcW w:type="dxa" w:w="3120"/>
          </w:tcPr>
          <w:p>
            <w:r>
              <w:t>Revenue generation, debt servicing ability, operational efficiency, GST compliance</w:t>
            </w:r>
          </w:p>
        </w:tc>
      </w:tr>
      <w:tr>
        <w:tc>
          <w:tcPr>
            <w:tcW w:type="dxa" w:w="3120"/>
          </w:tcPr>
          <w:p>
            <w:r>
              <w:t>Capital</w:t>
            </w:r>
          </w:p>
        </w:tc>
        <w:tc>
          <w:tcPr>
            <w:tcW w:type="dxa" w:w="3120"/>
          </w:tcPr>
          <w:p>
            <w:r>
              <w:t>20</w:t>
            </w:r>
          </w:p>
        </w:tc>
        <w:tc>
          <w:tcPr>
            <w:tcW w:type="dxa" w:w="3120"/>
          </w:tcPr>
          <w:p>
            <w:r>
              <w:t>Net worth, leverage, capital adequacy, retained earnings</w:t>
            </w:r>
          </w:p>
        </w:tc>
      </w:tr>
      <w:tr>
        <w:tc>
          <w:tcPr>
            <w:tcW w:type="dxa" w:w="3120"/>
          </w:tcPr>
          <w:p>
            <w:r>
              <w:t>Collateral</w:t>
            </w:r>
          </w:p>
        </w:tc>
        <w:tc>
          <w:tcPr>
            <w:tcW w:type="dxa" w:w="3120"/>
          </w:tcPr>
          <w:p>
            <w:r>
              <w:t>20</w:t>
            </w:r>
          </w:p>
        </w:tc>
        <w:tc>
          <w:tcPr>
            <w:tcW w:type="dxa" w:w="3120"/>
          </w:tcPr>
          <w:p>
            <w:r>
              <w:t>Security coverage, asset quality, tangible asset backing</w:t>
            </w:r>
          </w:p>
        </w:tc>
      </w:tr>
      <w:tr>
        <w:tc>
          <w:tcPr>
            <w:tcW w:type="dxa" w:w="3120"/>
          </w:tcPr>
          <w:p>
            <w:r>
              <w:t>Conditions</w:t>
            </w:r>
          </w:p>
        </w:tc>
        <w:tc>
          <w:tcPr>
            <w:tcW w:type="dxa" w:w="3120"/>
          </w:tcPr>
          <w:p>
            <w:r>
              <w:t>50</w:t>
            </w:r>
          </w:p>
        </w:tc>
        <w:tc>
          <w:tcPr>
            <w:tcW w:type="dxa" w:w="3120"/>
          </w:tcPr>
          <w:p>
            <w:r>
              <w:t>Sector outlook, regulatory environment, market conditions, officer observations</w:t>
            </w:r>
          </w:p>
        </w:tc>
      </w:tr>
    </w:tbl>
    <w:p>
      <w:pPr>
        <w:pStyle w:val="Heading1"/>
      </w:pPr>
      <w:r>
        <w:t>7. Risk Flag Summary</w:t>
      </w:r>
    </w:p>
    <w:p>
      <w:r>
        <w:t>Total Flags: 9 (Red: 9, Green: 0, Blue: 0)</w:t>
      </w:r>
    </w:p>
    <w:p>
      <w:pPr>
        <w:pStyle w:val="Heading2"/>
      </w:pPr>
      <w:r>
        <w:t>Red Flags (High Risk)</w:t>
      </w:r>
    </w:p>
    <w:p>
      <w:pPr>
        <w:pStyle w:val="ListBullet"/>
      </w:pPr>
      <w:r>
        <w:rPr>
          <w:b/>
          <w:color w:val="B22222"/>
        </w:rPr>
        <w:t>[FlagCategory.CAPITAL] Very High Leverage</w:t>
      </w:r>
      <w:r>
        <w:br/>
        <w:t>Debt/Equity ratio 10.00x exceeds 3.0x threshold</w:t>
      </w:r>
      <w:r>
        <w:rPr>
          <w:i/>
          <w:sz w:val="18"/>
        </w:rPr>
        <w:br/>
        <w:t>Source: Financial Ratio Analysis</w:t>
      </w:r>
    </w:p>
    <w:p>
      <w:pPr>
        <w:pStyle w:val="ListBullet"/>
      </w:pPr>
      <w:r>
        <w:rPr>
          <w:b/>
          <w:color w:val="B22222"/>
        </w:rPr>
        <w:t>[FlagCategory.CAPACITY] Liquidity Concern</w:t>
      </w:r>
      <w:r>
        <w:br/>
        <w:t>Current ratio 0.67 below 1.0 — potential cash flow risk</w:t>
      </w:r>
      <w:r>
        <w:rPr>
          <w:i/>
          <w:sz w:val="18"/>
        </w:rPr>
        <w:br/>
        <w:t>Source: Financial Ratio Analysis</w:t>
      </w:r>
    </w:p>
    <w:p>
      <w:pPr>
        <w:pStyle w:val="ListBullet"/>
      </w:pPr>
      <w:r>
        <w:rPr>
          <w:b/>
          <w:color w:val="B22222"/>
        </w:rPr>
        <w:t>[FlagCategory.CAPACITY] Poor Debt Service Coverage</w:t>
      </w:r>
      <w:r>
        <w:br/>
        <w:t>DSCR 0.12x is below 1.0x — cannot service debt adequately</w:t>
      </w:r>
      <w:r>
        <w:rPr>
          <w:i/>
          <w:sz w:val="18"/>
        </w:rPr>
        <w:br/>
        <w:t>Source: Financial Ratio Analysis</w:t>
      </w:r>
    </w:p>
    <w:p>
      <w:pPr>
        <w:pStyle w:val="ListBullet"/>
      </w:pPr>
      <w:r>
        <w:rPr>
          <w:b/>
          <w:color w:val="B22222"/>
        </w:rPr>
        <w:t>[FlagCategory.CAPACITY] Weak Interest Coverage</w:t>
      </w:r>
      <w:r>
        <w:br/>
        <w:t>Interest Coverage Ratio 0.22x — barely covering interest payments</w:t>
      </w:r>
      <w:r>
        <w:rPr>
          <w:i/>
          <w:sz w:val="18"/>
        </w:rPr>
        <w:br/>
        <w:t>Source: Financial Ratio Analysis</w:t>
      </w:r>
    </w:p>
    <w:p>
      <w:pPr>
        <w:pStyle w:val="ListBullet"/>
      </w:pPr>
      <w:r>
        <w:rPr>
          <w:b/>
          <w:color w:val="B22222"/>
        </w:rPr>
        <w:t>[FlagCategory.COLLATERAL] Insufficient Collateral</w:t>
      </w:r>
      <w:r>
        <w:br/>
        <w:t>Collateral covers only 33% of requested loan</w:t>
      </w:r>
      <w:r>
        <w:rPr>
          <w:i/>
          <w:sz w:val="18"/>
        </w:rPr>
        <w:br/>
        <w:t>Source: Collateral Analysis</w:t>
      </w:r>
    </w:p>
    <w:p>
      <w:pPr>
        <w:pStyle w:val="ListBullet"/>
      </w:pPr>
      <w:r>
        <w:rPr>
          <w:b/>
          <w:color w:val="B22222"/>
        </w:rPr>
        <w:t>[FlagCategory.GST] Revenue Inflation Suspicion</w:t>
      </w:r>
      <w:r>
        <w:br/>
        <w:t>Self-reported 3B turnover (₹38,000,000) much higher than supplier-confirmed 2A (₹30,000,000). Possible revenue inflation.</w:t>
      </w:r>
      <w:r>
        <w:rPr>
          <w:i/>
          <w:sz w:val="18"/>
        </w:rPr>
        <w:br/>
        <w:t>Source: GSTR-2A vs 3B Analysis</w:t>
      </w:r>
    </w:p>
    <w:p>
      <w:pPr>
        <w:pStyle w:val="ListBullet"/>
      </w:pPr>
      <w:r>
        <w:rPr>
          <w:b/>
          <w:color w:val="B22222"/>
        </w:rPr>
        <w:t>[FlagCategory.CIBIL] Below-Threshold CIBIL Score</w:t>
      </w:r>
      <w:r>
        <w:br/>
        <w:t>CIBIL score 520 is below the minimum threshold of 600</w:t>
      </w:r>
      <w:r>
        <w:rPr>
          <w:i/>
          <w:sz w:val="18"/>
        </w:rPr>
        <w:br/>
        <w:t>Source: CIBIL Analysis</w:t>
      </w:r>
    </w:p>
    <w:p>
      <w:pPr>
        <w:pStyle w:val="ListBullet"/>
      </w:pPr>
      <w:r>
        <w:rPr>
          <w:b/>
          <w:color w:val="B22222"/>
        </w:rPr>
        <w:t>[FlagCategory.CIBIL] NPA Risk (DPD 90+)</w:t>
      </w:r>
      <w:r>
        <w:br/>
        <w:t>8 accounts with 90+ DPD — classified as Non-Performing Asset risk</w:t>
      </w:r>
      <w:r>
        <w:rPr>
          <w:i/>
          <w:sz w:val="18"/>
        </w:rPr>
        <w:br/>
        <w:t>Source: CIBIL Analysis</w:t>
      </w:r>
    </w:p>
    <w:p>
      <w:pPr>
        <w:pStyle w:val="ListBullet"/>
      </w:pPr>
      <w:r>
        <w:rPr>
          <w:b/>
          <w:color w:val="B22222"/>
        </w:rPr>
        <w:t>[FlagCategory.CHARACTER] Legal Action by Financial Institutions</w:t>
      </w:r>
      <w:r>
        <w:br/>
        <w:t>2 suit(s) filed against the borrower by lenders</w:t>
      </w:r>
      <w:r>
        <w:rPr>
          <w:i/>
          <w:sz w:val="18"/>
        </w:rPr>
        <w:br/>
        <w:t>Source: CIBIL Analysis</w:t>
      </w:r>
    </w:p>
    <w:p>
      <w:pPr>
        <w:pStyle w:val="Heading1"/>
      </w:pPr>
      <w:r>
        <w:t>10. Model Explainability (SHAP Analysis)</w:t>
      </w:r>
    </w:p>
    <w:p>
      <w:r>
        <w:t>The following table shows the contribution of each feature to the final credit decision, as computed by SHAP (SHapley Additive exPlanations). Positive values push toward APPROVAL, negative values push toward REJECTION.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SHAP Value</w:t>
            </w:r>
          </w:p>
        </w:tc>
        <w:tc>
          <w:tcPr>
            <w:tcW w:type="dxa" w:w="3120"/>
          </w:tcPr>
          <w:p>
            <w:r>
              <w:rPr>
                <w:b/>
              </w:rPr>
              <w:t>Impact</w:t>
            </w:r>
          </w:p>
        </w:tc>
      </w:tr>
      <w:tr>
        <w:tc>
          <w:tcPr>
            <w:tcW w:type="dxa" w:w="3120"/>
          </w:tcPr>
          <w:p>
            <w:r>
              <w:t>Debt/Equity Ratio</w:t>
            </w:r>
          </w:p>
        </w:tc>
        <w:tc>
          <w:tcPr>
            <w:tcW w:type="dxa" w:w="3120"/>
          </w:tcPr>
          <w:p>
            <w:r>
              <w:t>-2.1134</w:t>
            </w:r>
          </w:p>
        </w:tc>
        <w:tc>
          <w:tcPr>
            <w:tcW w:type="dxa" w:w="3120"/>
          </w:tcPr>
          <w:p>
            <w:r>
              <w:t>[-] Supports Rejection</w:t>
            </w:r>
          </w:p>
        </w:tc>
      </w:tr>
      <w:tr>
        <w:tc>
          <w:tcPr>
            <w:tcW w:type="dxa" w:w="3120"/>
          </w:tcPr>
          <w:p>
            <w:r>
              <w:t>DPD 90+ Accounts</w:t>
            </w:r>
          </w:p>
        </w:tc>
        <w:tc>
          <w:tcPr>
            <w:tcW w:type="dxa" w:w="3120"/>
          </w:tcPr>
          <w:p>
            <w:r>
              <w:t>-1.6415</w:t>
            </w:r>
          </w:p>
        </w:tc>
        <w:tc>
          <w:tcPr>
            <w:tcW w:type="dxa" w:w="3120"/>
          </w:tcPr>
          <w:p>
            <w:r>
              <w:t>[-] Supports Rejection</w:t>
            </w:r>
          </w:p>
        </w:tc>
      </w:tr>
      <w:tr>
        <w:tc>
          <w:tcPr>
            <w:tcW w:type="dxa" w:w="3120"/>
          </w:tcPr>
          <w:p>
            <w:r>
              <w:t>Officer Severity Score</w:t>
            </w:r>
          </w:p>
        </w:tc>
        <w:tc>
          <w:tcPr>
            <w:tcW w:type="dxa" w:w="3120"/>
          </w:tcPr>
          <w:p>
            <w:r>
              <w:t>+1.3784</w:t>
            </w:r>
          </w:p>
        </w:tc>
        <w:tc>
          <w:tcPr>
            <w:tcW w:type="dxa" w:w="3120"/>
          </w:tcPr>
          <w:p>
            <w:r>
              <w:t>[+] Supports Approval</w:t>
            </w:r>
          </w:p>
        </w:tc>
      </w:tr>
      <w:tr>
        <w:tc>
          <w:tcPr>
            <w:tcW w:type="dxa" w:w="3120"/>
          </w:tcPr>
          <w:p>
            <w:r>
              <w:t>Overdue Accounts</w:t>
            </w:r>
          </w:p>
        </w:tc>
        <w:tc>
          <w:tcPr>
            <w:tcW w:type="dxa" w:w="3120"/>
          </w:tcPr>
          <w:p>
            <w:r>
              <w:t>-1.2824</w:t>
            </w:r>
          </w:p>
        </w:tc>
        <w:tc>
          <w:tcPr>
            <w:tcW w:type="dxa" w:w="3120"/>
          </w:tcPr>
          <w:p>
            <w:r>
              <w:t>[-] Supports Rejection</w:t>
            </w:r>
          </w:p>
        </w:tc>
      </w:tr>
      <w:tr>
        <w:tc>
          <w:tcPr>
            <w:tcW w:type="dxa" w:w="3120"/>
          </w:tcPr>
          <w:p>
            <w:r>
              <w:t>GSTR 2A-3B Mismatch (%)</w:t>
            </w:r>
          </w:p>
        </w:tc>
        <w:tc>
          <w:tcPr>
            <w:tcW w:type="dxa" w:w="3120"/>
          </w:tcPr>
          <w:p>
            <w:r>
              <w:t>-0.9311</w:t>
            </w:r>
          </w:p>
        </w:tc>
        <w:tc>
          <w:tcPr>
            <w:tcW w:type="dxa" w:w="3120"/>
          </w:tcPr>
          <w:p>
            <w:r>
              <w:t>[-] Supports Rejection</w:t>
            </w:r>
          </w:p>
        </w:tc>
      </w:tr>
      <w:tr>
        <w:tc>
          <w:tcPr>
            <w:tcW w:type="dxa" w:w="3120"/>
          </w:tcPr>
          <w:p>
            <w:r>
              <w:t>Operating Margin (%)</w:t>
            </w:r>
          </w:p>
        </w:tc>
        <w:tc>
          <w:tcPr>
            <w:tcW w:type="dxa" w:w="3120"/>
          </w:tcPr>
          <w:p>
            <w:r>
              <w:t>-0.7335</w:t>
            </w:r>
          </w:p>
        </w:tc>
        <w:tc>
          <w:tcPr>
            <w:tcW w:type="dxa" w:w="3120"/>
          </w:tcPr>
          <w:p>
            <w:r>
              <w:t>[-] Supports Rejection</w:t>
            </w:r>
          </w:p>
        </w:tc>
      </w:tr>
      <w:tr>
        <w:tc>
          <w:tcPr>
            <w:tcW w:type="dxa" w:w="3120"/>
          </w:tcPr>
          <w:p>
            <w:r>
              <w:t>Suit Filed Accounts</w:t>
            </w:r>
          </w:p>
        </w:tc>
        <w:tc>
          <w:tcPr>
            <w:tcW w:type="dxa" w:w="3120"/>
          </w:tcPr>
          <w:p>
            <w:r>
              <w:t>-0.5656</w:t>
            </w:r>
          </w:p>
        </w:tc>
        <w:tc>
          <w:tcPr>
            <w:tcW w:type="dxa" w:w="3120"/>
          </w:tcPr>
          <w:p>
            <w:r>
              <w:t>[-] Supports Rejection</w:t>
            </w:r>
          </w:p>
        </w:tc>
      </w:tr>
      <w:tr>
        <w:tc>
          <w:tcPr>
            <w:tcW w:type="dxa" w:w="3120"/>
          </w:tcPr>
          <w:p>
            <w:r>
              <w:t>Revenue Growth YoY (%)</w:t>
            </w:r>
          </w:p>
        </w:tc>
        <w:tc>
          <w:tcPr>
            <w:tcW w:type="dxa" w:w="3120"/>
          </w:tcPr>
          <w:p>
            <w:r>
              <w:t>-0.5491</w:t>
            </w:r>
          </w:p>
        </w:tc>
        <w:tc>
          <w:tcPr>
            <w:tcW w:type="dxa" w:w="3120"/>
          </w:tcPr>
          <w:p>
            <w:r>
              <w:t>[-] Supports Rejection</w:t>
            </w:r>
          </w:p>
        </w:tc>
      </w:tr>
      <w:tr>
        <w:tc>
          <w:tcPr>
            <w:tcW w:type="dxa" w:w="3120"/>
          </w:tcPr>
          <w:p>
            <w:r>
              <w:t>Positive News Count</w:t>
            </w:r>
          </w:p>
        </w:tc>
        <w:tc>
          <w:tcPr>
            <w:tcW w:type="dxa" w:w="3120"/>
          </w:tcPr>
          <w:p>
            <w:r>
              <w:t>-0.5463</w:t>
            </w:r>
          </w:p>
        </w:tc>
        <w:tc>
          <w:tcPr>
            <w:tcW w:type="dxa" w:w="3120"/>
          </w:tcPr>
          <w:p>
            <w:r>
              <w:t>[-] Supports Rejection</w:t>
            </w:r>
          </w:p>
        </w:tc>
      </w:tr>
      <w:tr>
        <w:tc>
          <w:tcPr>
            <w:tcW w:type="dxa" w:w="3120"/>
          </w:tcPr>
          <w:p>
            <w:r>
              <w:t>Litigation Count</w:t>
            </w:r>
          </w:p>
        </w:tc>
        <w:tc>
          <w:tcPr>
            <w:tcW w:type="dxa" w:w="3120"/>
          </w:tcPr>
          <w:p>
            <w:r>
              <w:t>-0.4945</w:t>
            </w:r>
          </w:p>
        </w:tc>
        <w:tc>
          <w:tcPr>
            <w:tcW w:type="dxa" w:w="3120"/>
          </w:tcPr>
          <w:p>
            <w:r>
              <w:t>[-] Supports Rejection</w:t>
            </w:r>
          </w:p>
        </w:tc>
      </w:tr>
      <w:tr>
        <w:tc>
          <w:tcPr>
            <w:tcW w:type="dxa" w:w="3120"/>
          </w:tcPr>
          <w:p>
            <w:r>
              <w:t>Debt Service Coverage Ratio</w:t>
            </w:r>
          </w:p>
        </w:tc>
        <w:tc>
          <w:tcPr>
            <w:tcW w:type="dxa" w:w="3120"/>
          </w:tcPr>
          <w:p>
            <w:r>
              <w:t>-0.4543</w:t>
            </w:r>
          </w:p>
        </w:tc>
        <w:tc>
          <w:tcPr>
            <w:tcW w:type="dxa" w:w="3120"/>
          </w:tcPr>
          <w:p>
            <w:r>
              <w:t>[-] Supports Rejection</w:t>
            </w:r>
          </w:p>
        </w:tc>
      </w:tr>
      <w:tr>
        <w:tc>
          <w:tcPr>
            <w:tcW w:type="dxa" w:w="3120"/>
          </w:tcPr>
          <w:p>
            <w:r>
              <w:t>Collateral Coverage Ratio</w:t>
            </w:r>
          </w:p>
        </w:tc>
        <w:tc>
          <w:tcPr>
            <w:tcW w:type="dxa" w:w="3120"/>
          </w:tcPr>
          <w:p>
            <w:r>
              <w:t>-0.3827</w:t>
            </w:r>
          </w:p>
        </w:tc>
        <w:tc>
          <w:tcPr>
            <w:tcW w:type="dxa" w:w="3120"/>
          </w:tcPr>
          <w:p>
            <w:r>
              <w:t>[-] Supports Rejection</w:t>
            </w:r>
          </w:p>
        </w:tc>
      </w:tr>
      <w:tr>
        <w:tc>
          <w:tcPr>
            <w:tcW w:type="dxa" w:w="3120"/>
          </w:tcPr>
          <w:p>
            <w:r>
              <w:t>Current Ratio</w:t>
            </w:r>
          </w:p>
        </w:tc>
        <w:tc>
          <w:tcPr>
            <w:tcW w:type="dxa" w:w="3120"/>
          </w:tcPr>
          <w:p>
            <w:r>
              <w:t>-0.3482</w:t>
            </w:r>
          </w:p>
        </w:tc>
        <w:tc>
          <w:tcPr>
            <w:tcW w:type="dxa" w:w="3120"/>
          </w:tcPr>
          <w:p>
            <w:r>
              <w:t>[-] Supports Rejection</w:t>
            </w:r>
          </w:p>
        </w:tc>
      </w:tr>
      <w:tr>
        <w:tc>
          <w:tcPr>
            <w:tcW w:type="dxa" w:w="3120"/>
          </w:tcPr>
          <w:p>
            <w:r>
              <w:t>Credit Utilization (%)</w:t>
            </w:r>
          </w:p>
        </w:tc>
        <w:tc>
          <w:tcPr>
            <w:tcW w:type="dxa" w:w="3120"/>
          </w:tcPr>
          <w:p>
            <w:r>
              <w:t>-0.2432</w:t>
            </w:r>
          </w:p>
        </w:tc>
        <w:tc>
          <w:tcPr>
            <w:tcW w:type="dxa" w:w="3120"/>
          </w:tcPr>
          <w:p>
            <w:r>
              <w:t>[-] Supports Rejection</w:t>
            </w:r>
          </w:p>
        </w:tc>
      </w:tr>
      <w:tr>
        <w:tc>
          <w:tcPr>
            <w:tcW w:type="dxa" w:w="3120"/>
          </w:tcPr>
          <w:p>
            <w:r>
              <w:t>Negative News Count</w:t>
            </w:r>
          </w:p>
        </w:tc>
        <w:tc>
          <w:tcPr>
            <w:tcW w:type="dxa" w:w="3120"/>
          </w:tcPr>
          <w:p>
            <w:r>
              <w:t>+0.2330</w:t>
            </w:r>
          </w:p>
        </w:tc>
        <w:tc>
          <w:tcPr>
            <w:tcW w:type="dxa" w:w="3120"/>
          </w:tcPr>
          <w:p>
            <w:r>
              <w:t>[+] Supports Approval</w:t>
            </w:r>
          </w:p>
        </w:tc>
      </w:tr>
    </w:tbl>
    <w:p>
      <w:r>
        <w:br w:type="page"/>
      </w:r>
    </w:p>
    <w:p>
      <w:pPr>
        <w:pStyle w:val="Heading1"/>
      </w:pPr>
      <w:r>
        <w:t>11. Final Recommendation</w:t>
      </w:r>
    </w:p>
    <w:p>
      <w:r>
        <w:rPr>
          <w:b/>
          <w:color w:val="B22222"/>
          <w:sz w:val="36"/>
        </w:rPr>
        <w:br/>
        <w:t>RECOMMENDATION: REJECTED</w:t>
        <w:br/>
      </w:r>
    </w:p>
    <w:p/>
    <w:p>
      <w:pPr>
        <w:pStyle w:val="Heading2"/>
      </w:pPr>
      <w:r>
        <w:t>Decision Rationale</w:t>
      </w:r>
    </w:p>
    <w:p>
      <w:pPr>
        <w:pStyle w:val="ListBullet"/>
      </w:pPr>
      <w:r>
        <w:t>[RED] Very high leverage (D/E: 10.00x) -- over-leveraged balance sheet</w:t>
      </w:r>
    </w:p>
    <w:p>
      <w:pPr>
        <w:pStyle w:val="ListBullet"/>
      </w:pPr>
      <w:r>
        <w:t>[RED] 8 account(s) with 90+ DPD -- NPA risk</w:t>
      </w:r>
    </w:p>
    <w:p>
      <w:pPr>
        <w:pStyle w:val="ListBullet"/>
      </w:pPr>
      <w:r>
        <w:t>[RED] Overdue Accounts: 5.00 has negative impact on decision</w:t>
      </w:r>
    </w:p>
    <w:p>
      <w:pPr>
        <w:pStyle w:val="ListBullet"/>
      </w:pPr>
      <w:r>
        <w:t>[RED] High GSTR-2A vs 3B mismatch (21.1%) suggests revenue inflation or circular trading</w:t>
      </w:r>
    </w:p>
    <w:p>
      <w:pPr>
        <w:pStyle w:val="ListBullet"/>
      </w:pPr>
      <w:r>
        <w:t>[RED] 2 suit(s) filed by financial institutions per CIBIL</w:t>
      </w:r>
    </w:p>
    <w:p>
      <w:pPr>
        <w:pStyle w:val="ListBullet"/>
      </w:pPr>
      <w:r>
        <w:t>[RED] Revenue Growth YoY (%): -5.00 has negative impact on decision</w:t>
      </w:r>
    </w:p>
    <w:p/>
    <w:p>
      <w:r>
        <w:rPr>
          <w:i/>
          <w:color w:val="646464"/>
          <w:sz w:val="16"/>
        </w:rPr>
        <w:t>DISCLAIMER: This Credit Appraisal Memo is generated by the Intelli-Credit AI Engine using XGBoost machine learning with SHAP explainability. While the model provides data-driven recommendations, final lending decisions should be made by authorized credit officers in compliance with institutional policies and RBI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