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CREDIT APPRAISAL MEMORANDUM</w:t>
      </w:r>
    </w:p>
    <w:p>
      <w:pPr>
        <w:jc w:val="center"/>
      </w:pPr>
      <w:r>
        <w:rPr>
          <w:i/>
          <w:color w:val="8B0000"/>
          <w:sz w:val="24"/>
        </w:rPr>
        <w:t>CONFIDENTIAL — FOR INTERNAL USE ONLY</w:t>
      </w:r>
    </w:p>
    <w:p/>
    <w:p>
      <w:pPr>
        <w:jc w:val="center"/>
      </w:pPr>
      <w:r>
        <w:rPr>
          <w:b/>
          <w:sz w:val="44"/>
        </w:rPr>
        <w:t>AlgoUniversity</w:t>
      </w:r>
    </w:p>
    <w:p/>
    <w:p>
      <w:pPr>
        <w:jc w:val="center"/>
      </w:pPr>
      <w:r>
        <w:rPr>
          <w:b/>
          <w:color w:val="008000"/>
          <w:sz w:val="32"/>
        </w:rPr>
        <w:t>RECOMMENDATION: APPROVED</w:t>
      </w:r>
    </w:p>
    <w:p/>
    <w:p>
      <w:pPr>
        <w:jc w:val="center"/>
      </w:pPr>
      <w:r>
        <w:rPr>
          <w:sz w:val="24"/>
        </w:rPr>
        <w:t>Date: 07 March 2026</w:t>
      </w:r>
    </w:p>
    <w:p>
      <w:pPr>
        <w:jc w:val="center"/>
      </w:pPr>
      <w:r>
        <w:rPr>
          <w:i/>
          <w:color w:val="646464"/>
          <w:sz w:val="20"/>
        </w:rPr>
        <w:t>Generated by Intelli-Credit AI Engine</w:t>
      </w:r>
    </w:p>
    <w:p>
      <w:r>
        <w:br w:type="page"/>
      </w:r>
    </w:p>
    <w:p>
      <w:pPr>
        <w:pStyle w:val="Heading1"/>
      </w:pPr>
      <w:r>
        <w:t>1. Executive Summary</w:t>
      </w:r>
    </w:p>
    <w:p>
      <w:r>
        <w:t>This Credit Appraisal Memorandum presents the assessment of AlgoUniversity for credit facility. Based on comprehensive analysis of financial statements, GST filings, CIBIL report, secondary research, and primary due diligence, the Intelli-Credit AI Engine recommends: APPROVED.</w:t>
      </w:r>
    </w:p>
    <w:tbl>
      <w:tblPr>
        <w:tblStyle w:val="LightGrid-Accent1"/>
        <w:tblW w:type="auto" w:w="0"/>
        <w:tblLook w:firstColumn="1" w:firstRow="1" w:lastColumn="0" w:lastRow="0" w:noHBand="0" w:noVBand="1" w:val="04A0"/>
      </w:tblPr>
      <w:tblGrid>
        <w:gridCol w:w="4680"/>
        <w:gridCol w:w="4680"/>
      </w:tblGrid>
      <w:tr>
        <w:tc>
          <w:tcPr>
            <w:tcW w:type="dxa" w:w="4680"/>
          </w:tcPr>
          <w:p>
            <w:r>
              <w:rPr>
                <w:b/>
              </w:rPr>
              <w:t>Decision</w:t>
            </w:r>
          </w:p>
        </w:tc>
        <w:tc>
          <w:tcPr>
            <w:tcW w:type="dxa" w:w="4680"/>
          </w:tcPr>
          <w:p>
            <w:r>
              <w:t>APPROVED</w:t>
            </w:r>
          </w:p>
        </w:tc>
      </w:tr>
      <w:tr>
        <w:tc>
          <w:tcPr>
            <w:tcW w:type="dxa" w:w="4680"/>
          </w:tcPr>
          <w:p>
            <w:r>
              <w:rPr>
                <w:b/>
              </w:rPr>
              <w:t>Risk Score</w:t>
            </w:r>
          </w:p>
        </w:tc>
        <w:tc>
          <w:tcPr>
            <w:tcW w:type="dxa" w:w="4680"/>
          </w:tcPr>
          <w:p>
            <w:r>
              <w:t>24.2 / 100</w:t>
            </w:r>
          </w:p>
        </w:tc>
      </w:tr>
      <w:tr>
        <w:tc>
          <w:tcPr>
            <w:tcW w:type="dxa" w:w="4680"/>
          </w:tcPr>
          <w:p>
            <w:r>
              <w:rPr>
                <w:b/>
              </w:rPr>
              <w:t>Confidence</w:t>
            </w:r>
          </w:p>
        </w:tc>
        <w:tc>
          <w:tcPr>
            <w:tcW w:type="dxa" w:w="4680"/>
          </w:tcPr>
          <w:p>
            <w:r>
              <w:t>99.3%</w:t>
            </w:r>
          </w:p>
        </w:tc>
      </w:tr>
      <w:tr>
        <w:tc>
          <w:tcPr>
            <w:tcW w:type="dxa" w:w="4680"/>
          </w:tcPr>
          <w:p>
            <w:r>
              <w:rPr>
                <w:b/>
              </w:rPr>
              <w:t>Recommended Loan Amount</w:t>
            </w:r>
          </w:p>
        </w:tc>
        <w:tc>
          <w:tcPr>
            <w:tcW w:type="dxa" w:w="4680"/>
          </w:tcPr>
          <w:p>
            <w:r>
              <w:t>₹12,000,000</w:t>
            </w:r>
          </w:p>
        </w:tc>
      </w:tr>
      <w:tr>
        <w:tc>
          <w:tcPr>
            <w:tcW w:type="dxa" w:w="4680"/>
          </w:tcPr>
          <w:p>
            <w:r>
              <w:rPr>
                <w:b/>
              </w:rPr>
              <w:t>Recommended Interest Rate</w:t>
            </w:r>
          </w:p>
        </w:tc>
        <w:tc>
          <w:tcPr>
            <w:tcW w:type="dxa" w:w="4680"/>
          </w:tcPr>
          <w:p>
            <w:r>
              <w:t>10.45%</w:t>
            </w:r>
          </w:p>
        </w:tc>
      </w:tr>
    </w:tbl>
    <w:p/>
    <w:p>
      <w:pPr>
        <w:pStyle w:val="Heading2"/>
      </w:pPr>
      <w:r>
        <w:t>Key Decision Factors</w:t>
      </w:r>
    </w:p>
    <w:p>
      <w:pPr>
        <w:pStyle w:val="ListBullet"/>
      </w:pPr>
      <w:r>
        <w:t>[GREEN] Revenue Growth YoY (%): 40.00 reduces risk</w:t>
      </w:r>
    </w:p>
    <w:p>
      <w:pPr>
        <w:pStyle w:val="ListBullet"/>
      </w:pPr>
      <w:r>
        <w:t>[RED] Inadequate debt service capacity (DSCR: -10.00x)</w:t>
      </w:r>
    </w:p>
    <w:p>
      <w:pPr>
        <w:pStyle w:val="ListBullet"/>
      </w:pPr>
      <w:r>
        <w:t>[GREEN] GST filings consistent (5.3% mismatch)</w:t>
      </w:r>
    </w:p>
    <w:p>
      <w:pPr>
        <w:pStyle w:val="ListBullet"/>
      </w:pPr>
      <w:r>
        <w:t>[GREEN] Conservative leverage (D/E: 0.25x)</w:t>
      </w:r>
    </w:p>
    <w:p>
      <w:pPr>
        <w:pStyle w:val="ListBullet"/>
      </w:pPr>
      <w:r>
        <w:t>[RED] Very thin operating margin (-21.1%)</w:t>
      </w:r>
    </w:p>
    <w:p>
      <w:pPr>
        <w:pStyle w:val="ListBullet"/>
      </w:pPr>
      <w:r>
        <w:t>[RED] Interest Coverage Ratio: -20.00 increases risk</w:t>
      </w:r>
    </w:p>
    <w:p>
      <w:pPr>
        <w:pStyle w:val="ListBullet"/>
      </w:pPr>
      <w:r>
        <w:t>[GREEN] Overdue Accounts: 0.00 reduces risk</w:t>
      </w:r>
    </w:p>
    <w:p>
      <w:pPr>
        <w:pStyle w:val="Heading1"/>
      </w:pPr>
      <w:r>
        <w:t>2. Company Overview</w:t>
      </w:r>
    </w:p>
    <w:tbl>
      <w:tblPr>
        <w:tblStyle w:val="LightGrid-Accent1"/>
        <w:tblW w:type="auto" w:w="0"/>
        <w:tblLook w:firstColumn="1" w:firstRow="1" w:lastColumn="0" w:lastRow="0" w:noHBand="0" w:noVBand="1" w:val="04A0"/>
      </w:tblPr>
      <w:tblGrid>
        <w:gridCol w:w="4680"/>
        <w:gridCol w:w="4680"/>
      </w:tblGrid>
      <w:tr>
        <w:tc>
          <w:tcPr>
            <w:tcW w:type="dxa" w:w="4680"/>
          </w:tcPr>
          <w:p>
            <w:r>
              <w:rPr>
                <w:b/>
              </w:rPr>
              <w:t>Entity ID</w:t>
            </w:r>
          </w:p>
        </w:tc>
        <w:tc>
          <w:tcPr>
            <w:tcW w:type="dxa" w:w="4680"/>
          </w:tcPr>
          <w:p>
            <w:r>
              <w:t>startup_001</w:t>
            </w:r>
          </w:p>
        </w:tc>
      </w:tr>
      <w:tr>
        <w:tc>
          <w:tcPr>
            <w:tcW w:type="dxa" w:w="4680"/>
          </w:tcPr>
          <w:p>
            <w:r>
              <w:rPr>
                <w:b/>
              </w:rPr>
              <w:t>Company Name</w:t>
            </w:r>
          </w:p>
        </w:tc>
        <w:tc>
          <w:tcPr>
            <w:tcW w:type="dxa" w:w="4680"/>
          </w:tcPr>
          <w:p>
            <w:r>
              <w:t>AlgoUniversity</w:t>
            </w:r>
          </w:p>
        </w:tc>
      </w:tr>
      <w:tr>
        <w:tc>
          <w:tcPr>
            <w:tcW w:type="dxa" w:w="4680"/>
          </w:tcPr>
          <w:p>
            <w:r>
              <w:rPr>
                <w:b/>
              </w:rPr>
              <w:t>Revenue (Latest)</w:t>
            </w:r>
          </w:p>
        </w:tc>
        <w:tc>
          <w:tcPr>
            <w:tcW w:type="dxa" w:w="4680"/>
          </w:tcPr>
          <w:p>
            <w:r>
              <w:t>₹9,500,000</w:t>
            </w:r>
          </w:p>
        </w:tc>
      </w:tr>
      <w:tr>
        <w:tc>
          <w:tcPr>
            <w:tcW w:type="dxa" w:w="4680"/>
          </w:tcPr>
          <w:p>
            <w:r>
              <w:rPr>
                <w:b/>
              </w:rPr>
              <w:t>Total Assets</w:t>
            </w:r>
          </w:p>
        </w:tc>
        <w:tc>
          <w:tcPr>
            <w:tcW w:type="dxa" w:w="4680"/>
          </w:tcPr>
          <w:p>
            <w:r>
              <w:t>₹5,000,000</w:t>
            </w:r>
          </w:p>
        </w:tc>
      </w:tr>
    </w:tbl>
    <w:p>
      <w:pPr>
        <w:pStyle w:val="Heading1"/>
      </w:pPr>
      <w:r>
        <w:t>3. Financial Analysis</w:t>
      </w:r>
    </w:p>
    <w:p>
      <w:pPr>
        <w:pStyle w:val="Heading2"/>
      </w:pPr>
      <w:r>
        <w:t>Key Financial Metrics</w:t>
      </w:r>
    </w:p>
    <w:tbl>
      <w:tblPr>
        <w:tblStyle w:val="LightGrid-Accent1"/>
        <w:tblW w:type="auto" w:w="0"/>
        <w:tblLook w:firstColumn="1" w:firstRow="1" w:lastColumn="0" w:lastRow="0" w:noHBand="0" w:noVBand="1" w:val="04A0"/>
      </w:tblPr>
      <w:tblGrid>
        <w:gridCol w:w="4680"/>
        <w:gridCol w:w="4680"/>
      </w:tblGrid>
      <w:tr>
        <w:tc>
          <w:tcPr>
            <w:tcW w:type="dxa" w:w="4680"/>
          </w:tcPr>
          <w:p>
            <w:r>
              <w:rPr>
                <w:b/>
              </w:rPr>
              <w:t>Revenue</w:t>
            </w:r>
          </w:p>
        </w:tc>
        <w:tc>
          <w:tcPr>
            <w:tcW w:type="dxa" w:w="4680"/>
          </w:tcPr>
          <w:p>
            <w:r>
              <w:t>₹9,500,000</w:t>
            </w:r>
          </w:p>
        </w:tc>
      </w:tr>
      <w:tr>
        <w:tc>
          <w:tcPr>
            <w:tcW w:type="dxa" w:w="4680"/>
          </w:tcPr>
          <w:p>
            <w:r>
              <w:rPr>
                <w:b/>
              </w:rPr>
              <w:t>EBITDA</w:t>
            </w:r>
          </w:p>
        </w:tc>
        <w:tc>
          <w:tcPr>
            <w:tcW w:type="dxa" w:w="4680"/>
          </w:tcPr>
          <w:p>
            <w:r>
              <w:t>₹-2,000,000</w:t>
            </w:r>
          </w:p>
        </w:tc>
      </w:tr>
      <w:tr>
        <w:tc>
          <w:tcPr>
            <w:tcW w:type="dxa" w:w="4680"/>
          </w:tcPr>
          <w:p>
            <w:r>
              <w:rPr>
                <w:b/>
              </w:rPr>
              <w:t>Net Profit</w:t>
            </w:r>
          </w:p>
        </w:tc>
        <w:tc>
          <w:tcPr>
            <w:tcW w:type="dxa" w:w="4680"/>
          </w:tcPr>
          <w:p>
            <w:r>
              <w:t>₹-3,000,000</w:t>
            </w:r>
          </w:p>
        </w:tc>
      </w:tr>
      <w:tr>
        <w:tc>
          <w:tcPr>
            <w:tcW w:type="dxa" w:w="4680"/>
          </w:tcPr>
          <w:p>
            <w:r>
              <w:rPr>
                <w:b/>
              </w:rPr>
              <w:t>Total Debt</w:t>
            </w:r>
          </w:p>
        </w:tc>
        <w:tc>
          <w:tcPr>
            <w:tcW w:type="dxa" w:w="4680"/>
          </w:tcPr>
          <w:p>
            <w:r>
              <w:t>₹1,000,000</w:t>
            </w:r>
          </w:p>
        </w:tc>
      </w:tr>
      <w:tr>
        <w:tc>
          <w:tcPr>
            <w:tcW w:type="dxa" w:w="4680"/>
          </w:tcPr>
          <w:p>
            <w:r>
              <w:rPr>
                <w:b/>
              </w:rPr>
              <w:t>Net Worth</w:t>
            </w:r>
          </w:p>
        </w:tc>
        <w:tc>
          <w:tcPr>
            <w:tcW w:type="dxa" w:w="4680"/>
          </w:tcPr>
          <w:p>
            <w:r>
              <w:t>₹4,000,000</w:t>
            </w:r>
          </w:p>
        </w:tc>
      </w:tr>
      <w:tr>
        <w:tc>
          <w:tcPr>
            <w:tcW w:type="dxa" w:w="4680"/>
          </w:tcPr>
          <w:p>
            <w:r>
              <w:rPr>
                <w:b/>
              </w:rPr>
              <w:t>Debt/Equity Ratio</w:t>
            </w:r>
          </w:p>
        </w:tc>
        <w:tc>
          <w:tcPr>
            <w:tcW w:type="dxa" w:w="4680"/>
          </w:tcPr>
          <w:p>
            <w:r>
              <w:t>0.25x</w:t>
            </w:r>
          </w:p>
        </w:tc>
      </w:tr>
      <w:tr>
        <w:tc>
          <w:tcPr>
            <w:tcW w:type="dxa" w:w="4680"/>
          </w:tcPr>
          <w:p>
            <w:r>
              <w:rPr>
                <w:b/>
              </w:rPr>
              <w:t>Current Ratio</w:t>
            </w:r>
          </w:p>
        </w:tc>
        <w:tc>
          <w:tcPr>
            <w:tcW w:type="dxa" w:w="4680"/>
          </w:tcPr>
          <w:p>
            <w:r>
              <w:t>2.33</w:t>
            </w:r>
          </w:p>
        </w:tc>
      </w:tr>
      <w:tr>
        <w:tc>
          <w:tcPr>
            <w:tcW w:type="dxa" w:w="4680"/>
          </w:tcPr>
          <w:p>
            <w:r>
              <w:rPr>
                <w:b/>
              </w:rPr>
              <w:t>Operating Margin</w:t>
            </w:r>
          </w:p>
        </w:tc>
        <w:tc>
          <w:tcPr>
            <w:tcW w:type="dxa" w:w="4680"/>
          </w:tcPr>
          <w:p>
            <w:r>
              <w:t>-20.0%</w:t>
            </w:r>
          </w:p>
        </w:tc>
      </w:tr>
    </w:tbl>
    <w:p>
      <w:pPr>
        <w:pStyle w:val="Heading1"/>
      </w:pPr>
      <w:r>
        <w:t>4. GST Analysis (GSTR-2A vs 3B)</w:t>
      </w:r>
    </w:p>
    <w:p>
      <w:r>
        <w:t>This section compares the self-reported GSTR-3B turnover against the supplier-reported GSTR-2A data to identify potential revenue inflation or circular trading patterns.</w:t>
      </w:r>
    </w:p>
    <w:tbl>
      <w:tblPr>
        <w:tblStyle w:val="LightGrid-Accent1"/>
        <w:tblW w:type="auto" w:w="0"/>
        <w:tblLook w:firstColumn="1" w:firstRow="1" w:lastColumn="0" w:lastRow="0" w:noHBand="0" w:noVBand="1" w:val="04A0"/>
      </w:tblPr>
      <w:tblGrid>
        <w:gridCol w:w="4680"/>
        <w:gridCol w:w="4680"/>
      </w:tblGrid>
      <w:tr>
        <w:tc>
          <w:tcPr>
            <w:tcW w:type="dxa" w:w="4680"/>
          </w:tcPr>
          <w:p>
            <w:r>
              <w:rPr>
                <w:b/>
              </w:rPr>
              <w:t>GSTR-3B Turnover (Self-reported)</w:t>
            </w:r>
          </w:p>
        </w:tc>
        <w:tc>
          <w:tcPr>
            <w:tcW w:type="dxa" w:w="4680"/>
          </w:tcPr>
          <w:p>
            <w:r>
              <w:t>₹9,500,000</w:t>
            </w:r>
          </w:p>
        </w:tc>
      </w:tr>
      <w:tr>
        <w:tc>
          <w:tcPr>
            <w:tcW w:type="dxa" w:w="4680"/>
          </w:tcPr>
          <w:p>
            <w:r>
              <w:rPr>
                <w:b/>
              </w:rPr>
              <w:t>GSTR-2A Turnover (Supplier-reported)</w:t>
            </w:r>
          </w:p>
        </w:tc>
        <w:tc>
          <w:tcPr>
            <w:tcW w:type="dxa" w:w="4680"/>
          </w:tcPr>
          <w:p>
            <w:r>
              <w:t>₹9,000,000</w:t>
            </w:r>
          </w:p>
        </w:tc>
      </w:tr>
      <w:tr>
        <w:tc>
          <w:tcPr>
            <w:tcW w:type="dxa" w:w="4680"/>
          </w:tcPr>
          <w:p>
            <w:r>
              <w:rPr>
                <w:b/>
              </w:rPr>
              <w:t>Mismatch Percentage</w:t>
            </w:r>
          </w:p>
        </w:tc>
        <w:tc>
          <w:tcPr>
            <w:tcW w:type="dxa" w:w="4680"/>
          </w:tcPr>
          <w:p>
            <w:r>
              <w:t>5.3%</w:t>
            </w:r>
          </w:p>
        </w:tc>
      </w:tr>
      <w:tr>
        <w:tc>
          <w:tcPr>
            <w:tcW w:type="dxa" w:w="4680"/>
          </w:tcPr>
          <w:p>
            <w:r>
              <w:rPr>
                <w:b/>
              </w:rPr>
              <w:t>Circular Trading Risk</w:t>
            </w:r>
          </w:p>
        </w:tc>
        <w:tc>
          <w:tcPr>
            <w:tcW w:type="dxa" w:w="4680"/>
          </w:tcPr>
          <w:p>
            <w:r>
              <w:t>11/100</w:t>
            </w:r>
          </w:p>
        </w:tc>
      </w:tr>
    </w:tbl>
    <w:p>
      <w:pPr>
        <w:pStyle w:val="Heading1"/>
      </w:pPr>
      <w:r>
        <w:t>5. CIBIL Commercial Report Analysis</w:t>
      </w:r>
    </w:p>
    <w:tbl>
      <w:tblPr>
        <w:tblStyle w:val="LightGrid-Accent1"/>
        <w:tblW w:type="auto" w:w="0"/>
        <w:tblLook w:firstColumn="1" w:firstRow="1" w:lastColumn="0" w:lastRow="0" w:noHBand="0" w:noVBand="1" w:val="04A0"/>
      </w:tblPr>
      <w:tblGrid>
        <w:gridCol w:w="4680"/>
        <w:gridCol w:w="4680"/>
      </w:tblGrid>
      <w:tr>
        <w:tc>
          <w:tcPr>
            <w:tcW w:type="dxa" w:w="4680"/>
          </w:tcPr>
          <w:p>
            <w:r>
              <w:rPr>
                <w:b/>
              </w:rPr>
              <w:t>CIBIL Score</w:t>
            </w:r>
          </w:p>
        </w:tc>
        <w:tc>
          <w:tcPr>
            <w:tcW w:type="dxa" w:w="4680"/>
          </w:tcPr>
          <w:p>
            <w:r>
              <w:t>720</w:t>
            </w:r>
          </w:p>
        </w:tc>
      </w:tr>
      <w:tr>
        <w:tc>
          <w:tcPr>
            <w:tcW w:type="dxa" w:w="4680"/>
          </w:tcPr>
          <w:p>
            <w:r>
              <w:rPr>
                <w:b/>
              </w:rPr>
              <w:t>Total Credit Facilities</w:t>
            </w:r>
          </w:p>
        </w:tc>
        <w:tc>
          <w:tcPr>
            <w:tcW w:type="dxa" w:w="4680"/>
          </w:tcPr>
          <w:p>
            <w:r>
              <w:t>0</w:t>
            </w:r>
          </w:p>
        </w:tc>
      </w:tr>
      <w:tr>
        <w:tc>
          <w:tcPr>
            <w:tcW w:type="dxa" w:w="4680"/>
          </w:tcPr>
          <w:p>
            <w:r>
              <w:rPr>
                <w:b/>
              </w:rPr>
              <w:t>Overdue Accounts</w:t>
            </w:r>
          </w:p>
        </w:tc>
        <w:tc>
          <w:tcPr>
            <w:tcW w:type="dxa" w:w="4680"/>
          </w:tcPr>
          <w:p>
            <w:r>
              <w:t>0</w:t>
            </w:r>
          </w:p>
        </w:tc>
      </w:tr>
      <w:tr>
        <w:tc>
          <w:tcPr>
            <w:tcW w:type="dxa" w:w="4680"/>
          </w:tcPr>
          <w:p>
            <w:r>
              <w:rPr>
                <w:b/>
              </w:rPr>
              <w:t>Suit Filed Accounts</w:t>
            </w:r>
          </w:p>
        </w:tc>
        <w:tc>
          <w:tcPr>
            <w:tcW w:type="dxa" w:w="4680"/>
          </w:tcPr>
          <w:p>
            <w:r>
              <w:t>0</w:t>
            </w:r>
          </w:p>
        </w:tc>
      </w:tr>
      <w:tr>
        <w:tc>
          <w:tcPr>
            <w:tcW w:type="dxa" w:w="4680"/>
          </w:tcPr>
          <w:p>
            <w:r>
              <w:rPr>
                <w:b/>
              </w:rPr>
              <w:t>DPD 30+ Accounts</w:t>
            </w:r>
          </w:p>
        </w:tc>
        <w:tc>
          <w:tcPr>
            <w:tcW w:type="dxa" w:w="4680"/>
          </w:tcPr>
          <w:p>
            <w:r>
              <w:t>0</w:t>
            </w:r>
          </w:p>
        </w:tc>
      </w:tr>
      <w:tr>
        <w:tc>
          <w:tcPr>
            <w:tcW w:type="dxa" w:w="4680"/>
          </w:tcPr>
          <w:p>
            <w:r>
              <w:rPr>
                <w:b/>
              </w:rPr>
              <w:t>DPD 90+ Accounts</w:t>
            </w:r>
          </w:p>
        </w:tc>
        <w:tc>
          <w:tcPr>
            <w:tcW w:type="dxa" w:w="4680"/>
          </w:tcPr>
          <w:p>
            <w:r>
              <w:t>0</w:t>
            </w:r>
          </w:p>
        </w:tc>
      </w:tr>
      <w:tr>
        <w:tc>
          <w:tcPr>
            <w:tcW w:type="dxa" w:w="4680"/>
          </w:tcPr>
          <w:p>
            <w:r>
              <w:rPr>
                <w:b/>
              </w:rPr>
              <w:t>Credit Utilization</w:t>
            </w:r>
          </w:p>
        </w:tc>
        <w:tc>
          <w:tcPr>
            <w:tcW w:type="dxa" w:w="4680"/>
          </w:tcPr>
          <w:p>
            <w:r>
              <w:t>25%</w:t>
            </w:r>
          </w:p>
        </w:tc>
      </w:tr>
    </w:tbl>
    <w:p>
      <w:pPr>
        <w:pStyle w:val="Heading1"/>
      </w:pPr>
      <w:r>
        <w:t>6. Five Cs of Credit Assessment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Score (/100)</w:t>
            </w:r>
          </w:p>
        </w:tc>
        <w:tc>
          <w:tcPr>
            <w:tcW w:type="dxa" w:w="3120"/>
          </w:tcPr>
          <w:p>
            <w:r>
              <w:rPr>
                <w:b/>
              </w:rPr>
              <w:t>Assessment Basis</w:t>
            </w:r>
          </w:p>
        </w:tc>
      </w:tr>
      <w:tr>
        <w:tc>
          <w:tcPr>
            <w:tcW w:type="dxa" w:w="3120"/>
          </w:tcPr>
          <w:p>
            <w:r>
              <w:t>Character</w:t>
            </w:r>
          </w:p>
        </w:tc>
        <w:tc>
          <w:tcPr>
            <w:tcW w:type="dxa" w:w="3120"/>
          </w:tcPr>
          <w:p>
            <w:r>
              <w:t>85</w:t>
            </w:r>
          </w:p>
        </w:tc>
        <w:tc>
          <w:tcPr>
            <w:tcW w:type="dxa" w:w="3120"/>
          </w:tcPr>
          <w:p>
            <w:r>
              <w:t>Promoter integrity, management track record, litigation history, market reputation</w:t>
            </w:r>
          </w:p>
        </w:tc>
      </w:tr>
      <w:tr>
        <w:tc>
          <w:tcPr>
            <w:tcW w:type="dxa" w:w="3120"/>
          </w:tcPr>
          <w:p>
            <w:r>
              <w:t>Capacity</w:t>
            </w:r>
          </w:p>
        </w:tc>
        <w:tc>
          <w:tcPr>
            <w:tcW w:type="dxa" w:w="3120"/>
          </w:tcPr>
          <w:p>
            <w:r>
              <w:t>25</w:t>
            </w:r>
          </w:p>
        </w:tc>
        <w:tc>
          <w:tcPr>
            <w:tcW w:type="dxa" w:w="3120"/>
          </w:tcPr>
          <w:p>
            <w:r>
              <w:t>Revenue generation, debt servicing ability, operational efficiency, GST compliance</w:t>
            </w:r>
          </w:p>
        </w:tc>
      </w:tr>
      <w:tr>
        <w:tc>
          <w:tcPr>
            <w:tcW w:type="dxa" w:w="3120"/>
          </w:tcPr>
          <w:p>
            <w:r>
              <w:t>Capital</w:t>
            </w:r>
          </w:p>
        </w:tc>
        <w:tc>
          <w:tcPr>
            <w:tcW w:type="dxa" w:w="3120"/>
          </w:tcPr>
          <w:p>
            <w:r>
              <w:t>45</w:t>
            </w:r>
          </w:p>
        </w:tc>
        <w:tc>
          <w:tcPr>
            <w:tcW w:type="dxa" w:w="3120"/>
          </w:tcPr>
          <w:p>
            <w:r>
              <w:t>Net worth, leverage, capital adequacy, retained earnings</w:t>
            </w:r>
          </w:p>
        </w:tc>
      </w:tr>
      <w:tr>
        <w:tc>
          <w:tcPr>
            <w:tcW w:type="dxa" w:w="3120"/>
          </w:tcPr>
          <w:p>
            <w:r>
              <w:t>Collateral</w:t>
            </w:r>
          </w:p>
        </w:tc>
        <w:tc>
          <w:tcPr>
            <w:tcW w:type="dxa" w:w="3120"/>
          </w:tcPr>
          <w:p>
            <w:r>
              <w:t>35</w:t>
            </w:r>
          </w:p>
        </w:tc>
        <w:tc>
          <w:tcPr>
            <w:tcW w:type="dxa" w:w="3120"/>
          </w:tcPr>
          <w:p>
            <w:r>
              <w:t>Security coverage, asset quality, tangible asset backing</w:t>
            </w:r>
          </w:p>
        </w:tc>
      </w:tr>
      <w:tr>
        <w:tc>
          <w:tcPr>
            <w:tcW w:type="dxa" w:w="3120"/>
          </w:tcPr>
          <w:p>
            <w:r>
              <w:t>Conditions</w:t>
            </w:r>
          </w:p>
        </w:tc>
        <w:tc>
          <w:tcPr>
            <w:tcW w:type="dxa" w:w="3120"/>
          </w:tcPr>
          <w:p>
            <w:r>
              <w:t>50</w:t>
            </w:r>
          </w:p>
        </w:tc>
        <w:tc>
          <w:tcPr>
            <w:tcW w:type="dxa" w:w="3120"/>
          </w:tcPr>
          <w:p>
            <w:r>
              <w:t>Sector outlook, regulatory environment, market conditions, officer observations</w:t>
            </w:r>
          </w:p>
        </w:tc>
      </w:tr>
    </w:tbl>
    <w:p>
      <w:pPr>
        <w:pStyle w:val="Heading1"/>
      </w:pPr>
      <w:r>
        <w:t>7. Risk Flag Summary</w:t>
      </w:r>
    </w:p>
    <w:p>
      <w:r>
        <w:t>Total Flags: 10 (Red: 7, Green: 3, Blue: 0)</w:t>
      </w:r>
    </w:p>
    <w:p>
      <w:pPr>
        <w:pStyle w:val="Heading2"/>
      </w:pPr>
      <w:r>
        <w:t>Red Flags (High Risk)</w:t>
      </w:r>
    </w:p>
    <w:p>
      <w:pPr>
        <w:pStyle w:val="ListBullet"/>
      </w:pPr>
      <w:r>
        <w:rPr>
          <w:b/>
          <w:color w:val="B22222"/>
        </w:rPr>
        <w:t>[Capacity] Poor Debt Service Coverage</w:t>
      </w:r>
      <w:r>
        <w:br/>
        <w:t>DSCR -10.00x is below 1.0x — cannot service debt adequately</w:t>
      </w:r>
      <w:r>
        <w:rPr>
          <w:i/>
          <w:sz w:val="18"/>
        </w:rPr>
        <w:br/>
        <w:t>Source: Financial Ratio Analysis</w:t>
      </w:r>
    </w:p>
    <w:p>
      <w:pPr>
        <w:pStyle w:val="ListBullet"/>
      </w:pPr>
      <w:r>
        <w:rPr>
          <w:b/>
          <w:color w:val="B22222"/>
        </w:rPr>
        <w:t>[Capacity] Very Low Operating Margin</w:t>
      </w:r>
      <w:r>
        <w:br/>
        <w:t>Operating margin -21.1% suggests thin profitability</w:t>
      </w:r>
      <w:r>
        <w:rPr>
          <w:i/>
          <w:sz w:val="18"/>
        </w:rPr>
        <w:br/>
        <w:t>Source: Financial Ratio Analysis</w:t>
      </w:r>
    </w:p>
    <w:p>
      <w:pPr>
        <w:pStyle w:val="ListBullet"/>
      </w:pPr>
      <w:r>
        <w:rPr>
          <w:b/>
          <w:color w:val="B22222"/>
        </w:rPr>
        <w:t>[Collateral] Insufficient Collateral</w:t>
      </w:r>
      <w:r>
        <w:br/>
        <w:t>Collateral covers only 40% of requested loan</w:t>
      </w:r>
      <w:r>
        <w:rPr>
          <w:i/>
          <w:sz w:val="18"/>
        </w:rPr>
        <w:br/>
        <w:t>Source: Collateral Analysis</w:t>
      </w:r>
    </w:p>
    <w:p>
      <w:pPr>
        <w:pStyle w:val="ListBullet"/>
      </w:pPr>
      <w:r>
        <w:rPr>
          <w:b/>
          <w:color w:val="B22222"/>
        </w:rPr>
        <w:t>[Capacity] Poor Debt Service Coverage</w:t>
      </w:r>
      <w:r>
        <w:br/>
        <w:t>DSCR 0.00x is below 1.0x — cannot service debt adequately</w:t>
      </w:r>
      <w:r>
        <w:rPr>
          <w:i/>
          <w:sz w:val="18"/>
        </w:rPr>
        <w:br/>
        <w:t>Source: Financial Ratio Analysis</w:t>
      </w:r>
    </w:p>
    <w:p>
      <w:pPr>
        <w:pStyle w:val="ListBullet"/>
      </w:pPr>
      <w:r>
        <w:rPr>
          <w:b/>
          <w:color w:val="B22222"/>
        </w:rPr>
        <w:t>[Capacity] Liquidity Concern</w:t>
      </w:r>
      <w:r>
        <w:br/>
        <w:t>Current ratio 0.00 below 1.0 — potential cash flow risk</w:t>
      </w:r>
      <w:r>
        <w:rPr>
          <w:i/>
          <w:sz w:val="18"/>
        </w:rPr>
        <w:br/>
        <w:t>Source: Financial Ratio Analysis</w:t>
      </w:r>
    </w:p>
    <w:p>
      <w:pPr>
        <w:pStyle w:val="ListBullet"/>
      </w:pPr>
      <w:r>
        <w:rPr>
          <w:b/>
          <w:color w:val="B22222"/>
        </w:rPr>
        <w:t>[Capacity] Very Low Operating Margin</w:t>
      </w:r>
      <w:r>
        <w:br/>
        <w:t>Operating margin 0.0% suggests thin profitability</w:t>
      </w:r>
      <w:r>
        <w:rPr>
          <w:i/>
          <w:sz w:val="18"/>
        </w:rPr>
        <w:br/>
        <w:t>Source: Financial Ratio Analysis</w:t>
      </w:r>
    </w:p>
    <w:p>
      <w:pPr>
        <w:pStyle w:val="ListBullet"/>
      </w:pPr>
      <w:r>
        <w:rPr>
          <w:b/>
          <w:color w:val="B22222"/>
        </w:rPr>
        <w:t>[Capital] Very High Leverage</w:t>
      </w:r>
      <w:r>
        <w:br/>
        <w:t>Debt/Equity ratio 99.00x exceeds 3.0x threshold</w:t>
      </w:r>
      <w:r>
        <w:rPr>
          <w:i/>
          <w:sz w:val="18"/>
        </w:rPr>
        <w:br/>
        <w:t>Source: Financial Ratio Analysis</w:t>
      </w:r>
    </w:p>
    <w:p>
      <w:pPr>
        <w:pStyle w:val="Heading2"/>
      </w:pPr>
      <w:r>
        <w:t>Green Flags (Positive)</w:t>
      </w:r>
    </w:p>
    <w:p>
      <w:pPr>
        <w:pStyle w:val="ListBullet"/>
      </w:pPr>
      <w:r>
        <w:rPr>
          <w:b/>
          <w:color w:val="006400"/>
        </w:rPr>
        <w:t>[Capacity] Adequate Liquidity</w:t>
      </w:r>
      <w:r>
        <w:br/>
        <w:t>Current ratio 2.33 shows healthy short-term position</w:t>
      </w:r>
    </w:p>
    <w:p>
      <w:pPr>
        <w:pStyle w:val="ListBullet"/>
      </w:pPr>
      <w:r>
        <w:rPr>
          <w:b/>
          <w:color w:val="006400"/>
        </w:rPr>
        <w:t>[Capital] Conservative Leverage</w:t>
      </w:r>
      <w:r>
        <w:br/>
        <w:t>Debt/Equity ratio 0.25x is within safe range</w:t>
      </w:r>
    </w:p>
    <w:p>
      <w:pPr>
        <w:pStyle w:val="ListBullet"/>
      </w:pPr>
      <w:r>
        <w:rPr>
          <w:b/>
          <w:color w:val="006400"/>
        </w:rPr>
        <w:t>[Capacity] Healthy Credit Utilization</w:t>
      </w:r>
      <w:r>
        <w:br/>
        <w:t>Credit utilization at 25% — adequate headroom</w:t>
      </w:r>
    </w:p>
    <w:p>
      <w:pPr>
        <w:pStyle w:val="Heading1"/>
      </w:pPr>
      <w:r>
        <w:t>8. Secondary Research Findings</w:t>
      </w:r>
    </w:p>
    <w:p>
      <w:pPr>
        <w:pStyle w:val="ListBullet"/>
      </w:pPr>
      <w:r>
        <w:rPr>
          <w:b/>
        </w:rPr>
        <w:t>[~] AlgoUniversity Employees, Location, Alumni</w:t>
      </w:r>
      <w:r>
        <w:br/>
        <w:t>AlgoUniversity is making tech mentorship - and real tech opportunities accessible across India ... #AlgoUniversity #news #Srikakulam #standwithrammohannaidu …</w:t>
      </w:r>
      <w:r>
        <w:rPr>
          <w:i/>
          <w:sz w:val="18"/>
        </w:rPr>
        <w:br/>
        <w:t>Source: https://in.linkedin.com/school/algouniversity/</w:t>
      </w:r>
    </w:p>
    <w:p>
      <w:pPr>
        <w:pStyle w:val="ListBullet"/>
      </w:pPr>
      <w:r>
        <w:rPr>
          <w:b/>
        </w:rPr>
        <w:t>[~] AlgoUniversity</w:t>
      </w:r>
      <w:r>
        <w:br/>
        <w:t>Photo by AlgoUniversity on July 18, 2025. AU Hiring Tournament AI is becoming insanely good at verifiable domains like Coding. But somehow, tech domain hasn ...</w:t>
      </w:r>
      <w:r>
        <w:rPr>
          <w:i/>
          <w:sz w:val="18"/>
        </w:rPr>
        <w:br/>
        <w:t>Source: https://www.instagram.com/algouniversity/?hl=en</w:t>
      </w:r>
    </w:p>
    <w:p>
      <w:pPr>
        <w:pStyle w:val="Heading1"/>
      </w:pPr>
      <w:r>
        <w:t>10. Model Explainability (SHAP Analysis)</w:t>
      </w:r>
    </w:p>
    <w:p>
      <w:r>
        <w:t>The following table shows the contribution of each feature to the final credit decision, as computed by SHAP (SHapley Additive exPlanations). Positive values push toward APPROVAL, negative values push toward REJECTION.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SHAP Value</w:t>
            </w:r>
          </w:p>
        </w:tc>
        <w:tc>
          <w:tcPr>
            <w:tcW w:type="dxa" w:w="3120"/>
          </w:tcPr>
          <w:p>
            <w:r>
              <w:rPr>
                <w:b/>
              </w:rPr>
              <w:t>Impact</w:t>
            </w:r>
          </w:p>
        </w:tc>
      </w:tr>
      <w:tr>
        <w:tc>
          <w:tcPr>
            <w:tcW w:type="dxa" w:w="3120"/>
          </w:tcPr>
          <w:p>
            <w:r>
              <w:t>Revenue Growth YoY (%)</w:t>
            </w:r>
          </w:p>
        </w:tc>
        <w:tc>
          <w:tcPr>
            <w:tcW w:type="dxa" w:w="3120"/>
          </w:tcPr>
          <w:p>
            <w:r>
              <w:t>-1.9921</w:t>
            </w:r>
          </w:p>
        </w:tc>
        <w:tc>
          <w:tcPr>
            <w:tcW w:type="dxa" w:w="3120"/>
          </w:tcPr>
          <w:p>
            <w:r>
              <w:t>[-] Supports Rejection</w:t>
            </w:r>
          </w:p>
        </w:tc>
      </w:tr>
      <w:tr>
        <w:tc>
          <w:tcPr>
            <w:tcW w:type="dxa" w:w="3120"/>
          </w:tcPr>
          <w:p>
            <w:r>
              <w:t>Debt Service Coverage Ratio</w:t>
            </w:r>
          </w:p>
        </w:tc>
        <w:tc>
          <w:tcPr>
            <w:tcW w:type="dxa" w:w="3120"/>
          </w:tcPr>
          <w:p>
            <w:r>
              <w:t>+1.7596</w:t>
            </w:r>
          </w:p>
        </w:tc>
        <w:tc>
          <w:tcPr>
            <w:tcW w:type="dxa" w:w="3120"/>
          </w:tcPr>
          <w:p>
            <w:r>
              <w:t>[+] Supports Approval</w:t>
            </w:r>
          </w:p>
        </w:tc>
      </w:tr>
      <w:tr>
        <w:tc>
          <w:tcPr>
            <w:tcW w:type="dxa" w:w="3120"/>
          </w:tcPr>
          <w:p>
            <w:r>
              <w:t>GSTR 2A-3B Mismatch (%)</w:t>
            </w:r>
          </w:p>
        </w:tc>
        <w:tc>
          <w:tcPr>
            <w:tcW w:type="dxa" w:w="3120"/>
          </w:tcPr>
          <w:p>
            <w:r>
              <w:t>-1.1692</w:t>
            </w:r>
          </w:p>
        </w:tc>
        <w:tc>
          <w:tcPr>
            <w:tcW w:type="dxa" w:w="3120"/>
          </w:tcPr>
          <w:p>
            <w:r>
              <w:t>[-] Supports Rejection</w:t>
            </w:r>
          </w:p>
        </w:tc>
      </w:tr>
      <w:tr>
        <w:tc>
          <w:tcPr>
            <w:tcW w:type="dxa" w:w="3120"/>
          </w:tcPr>
          <w:p>
            <w:r>
              <w:t>Debt/Equity Ratio</w:t>
            </w:r>
          </w:p>
        </w:tc>
        <w:tc>
          <w:tcPr>
            <w:tcW w:type="dxa" w:w="3120"/>
          </w:tcPr>
          <w:p>
            <w:r>
              <w:t>-1.0469</w:t>
            </w:r>
          </w:p>
        </w:tc>
        <w:tc>
          <w:tcPr>
            <w:tcW w:type="dxa" w:w="3120"/>
          </w:tcPr>
          <w:p>
            <w:r>
              <w:t>[-] Supports Rejection</w:t>
            </w:r>
          </w:p>
        </w:tc>
      </w:tr>
      <w:tr>
        <w:tc>
          <w:tcPr>
            <w:tcW w:type="dxa" w:w="3120"/>
          </w:tcPr>
          <w:p>
            <w:r>
              <w:t>Operating Margin (%)</w:t>
            </w:r>
          </w:p>
        </w:tc>
        <w:tc>
          <w:tcPr>
            <w:tcW w:type="dxa" w:w="3120"/>
          </w:tcPr>
          <w:p>
            <w:r>
              <w:t>+0.9280</w:t>
            </w:r>
          </w:p>
        </w:tc>
        <w:tc>
          <w:tcPr>
            <w:tcW w:type="dxa" w:w="3120"/>
          </w:tcPr>
          <w:p>
            <w:r>
              <w:t>[+] Supports Approval</w:t>
            </w:r>
          </w:p>
        </w:tc>
      </w:tr>
      <w:tr>
        <w:tc>
          <w:tcPr>
            <w:tcW w:type="dxa" w:w="3120"/>
          </w:tcPr>
          <w:p>
            <w:r>
              <w:t>DPD 90+ Accounts</w:t>
            </w:r>
          </w:p>
        </w:tc>
        <w:tc>
          <w:tcPr>
            <w:tcW w:type="dxa" w:w="3120"/>
          </w:tcPr>
          <w:p>
            <w:r>
              <w:t>-0.7543</w:t>
            </w:r>
          </w:p>
        </w:tc>
        <w:tc>
          <w:tcPr>
            <w:tcW w:type="dxa" w:w="3120"/>
          </w:tcPr>
          <w:p>
            <w:r>
              <w:t>[-] Supports Rejection</w:t>
            </w:r>
          </w:p>
        </w:tc>
      </w:tr>
      <w:tr>
        <w:tc>
          <w:tcPr>
            <w:tcW w:type="dxa" w:w="3120"/>
          </w:tcPr>
          <w:p>
            <w:r>
              <w:t>Interest Coverage Ratio</w:t>
            </w:r>
          </w:p>
        </w:tc>
        <w:tc>
          <w:tcPr>
            <w:tcW w:type="dxa" w:w="3120"/>
          </w:tcPr>
          <w:p>
            <w:r>
              <w:t>+0.6897</w:t>
            </w:r>
          </w:p>
        </w:tc>
        <w:tc>
          <w:tcPr>
            <w:tcW w:type="dxa" w:w="3120"/>
          </w:tcPr>
          <w:p>
            <w:r>
              <w:t>[+] Supports Approval</w:t>
            </w:r>
          </w:p>
        </w:tc>
      </w:tr>
      <w:tr>
        <w:tc>
          <w:tcPr>
            <w:tcW w:type="dxa" w:w="3120"/>
          </w:tcPr>
          <w:p>
            <w:r>
              <w:t>Overdue Accounts</w:t>
            </w:r>
          </w:p>
        </w:tc>
        <w:tc>
          <w:tcPr>
            <w:tcW w:type="dxa" w:w="3120"/>
          </w:tcPr>
          <w:p>
            <w:r>
              <w:t>-0.6758</w:t>
            </w:r>
          </w:p>
        </w:tc>
        <w:tc>
          <w:tcPr>
            <w:tcW w:type="dxa" w:w="3120"/>
          </w:tcPr>
          <w:p>
            <w:r>
              <w:t>[-] Supports Rejection</w:t>
            </w:r>
          </w:p>
        </w:tc>
      </w:tr>
      <w:tr>
        <w:tc>
          <w:tcPr>
            <w:tcW w:type="dxa" w:w="3120"/>
          </w:tcPr>
          <w:p>
            <w:r>
              <w:t>Officer Severity Score</w:t>
            </w:r>
          </w:p>
        </w:tc>
        <w:tc>
          <w:tcPr>
            <w:tcW w:type="dxa" w:w="3120"/>
          </w:tcPr>
          <w:p>
            <w:r>
              <w:t>-0.6324</w:t>
            </w:r>
          </w:p>
        </w:tc>
        <w:tc>
          <w:tcPr>
            <w:tcW w:type="dxa" w:w="3120"/>
          </w:tcPr>
          <w:p>
            <w:r>
              <w:t>[-] Supports Rejection</w:t>
            </w:r>
          </w:p>
        </w:tc>
      </w:tr>
      <w:tr>
        <w:tc>
          <w:tcPr>
            <w:tcW w:type="dxa" w:w="3120"/>
          </w:tcPr>
          <w:p>
            <w:r>
              <w:t>Positive News Count</w:t>
            </w:r>
          </w:p>
        </w:tc>
        <w:tc>
          <w:tcPr>
            <w:tcW w:type="dxa" w:w="3120"/>
          </w:tcPr>
          <w:p>
            <w:r>
              <w:t>-0.5382</w:t>
            </w:r>
          </w:p>
        </w:tc>
        <w:tc>
          <w:tcPr>
            <w:tcW w:type="dxa" w:w="3120"/>
          </w:tcPr>
          <w:p>
            <w:r>
              <w:t>[-] Supports Rejection</w:t>
            </w:r>
          </w:p>
        </w:tc>
      </w:tr>
      <w:tr>
        <w:tc>
          <w:tcPr>
            <w:tcW w:type="dxa" w:w="3120"/>
          </w:tcPr>
          <w:p>
            <w:r>
              <w:t>Negative News Count</w:t>
            </w:r>
          </w:p>
        </w:tc>
        <w:tc>
          <w:tcPr>
            <w:tcW w:type="dxa" w:w="3120"/>
          </w:tcPr>
          <w:p>
            <w:r>
              <w:t>-0.5026</w:t>
            </w:r>
          </w:p>
        </w:tc>
        <w:tc>
          <w:tcPr>
            <w:tcW w:type="dxa" w:w="3120"/>
          </w:tcPr>
          <w:p>
            <w:r>
              <w:t>[-] Supports Rejection</w:t>
            </w:r>
          </w:p>
        </w:tc>
      </w:tr>
      <w:tr>
        <w:tc>
          <w:tcPr>
            <w:tcW w:type="dxa" w:w="3120"/>
          </w:tcPr>
          <w:p>
            <w:r>
              <w:t>Credit Utilization (%)</w:t>
            </w:r>
          </w:p>
        </w:tc>
        <w:tc>
          <w:tcPr>
            <w:tcW w:type="dxa" w:w="3120"/>
          </w:tcPr>
          <w:p>
            <w:r>
              <w:t>-0.3687</w:t>
            </w:r>
          </w:p>
        </w:tc>
        <w:tc>
          <w:tcPr>
            <w:tcW w:type="dxa" w:w="3120"/>
          </w:tcPr>
          <w:p>
            <w:r>
              <w:t>[-] Supports Rejection</w:t>
            </w:r>
          </w:p>
        </w:tc>
      </w:tr>
      <w:tr>
        <w:tc>
          <w:tcPr>
            <w:tcW w:type="dxa" w:w="3120"/>
          </w:tcPr>
          <w:p>
            <w:r>
              <w:t>Circular Trading Risk Score</w:t>
            </w:r>
          </w:p>
        </w:tc>
        <w:tc>
          <w:tcPr>
            <w:tcW w:type="dxa" w:w="3120"/>
          </w:tcPr>
          <w:p>
            <w:r>
              <w:t>-0.3118</w:t>
            </w:r>
          </w:p>
        </w:tc>
        <w:tc>
          <w:tcPr>
            <w:tcW w:type="dxa" w:w="3120"/>
          </w:tcPr>
          <w:p>
            <w:r>
              <w:t>[-] Supports Rejection</w:t>
            </w:r>
          </w:p>
        </w:tc>
      </w:tr>
      <w:tr>
        <w:tc>
          <w:tcPr>
            <w:tcW w:type="dxa" w:w="3120"/>
          </w:tcPr>
          <w:p>
            <w:r>
              <w:t>Total Debt</w:t>
            </w:r>
          </w:p>
        </w:tc>
        <w:tc>
          <w:tcPr>
            <w:tcW w:type="dxa" w:w="3120"/>
          </w:tcPr>
          <w:p>
            <w:r>
              <w:t>-0.2606</w:t>
            </w:r>
          </w:p>
        </w:tc>
        <w:tc>
          <w:tcPr>
            <w:tcW w:type="dxa" w:w="3120"/>
          </w:tcPr>
          <w:p>
            <w:r>
              <w:t>[-] Supports Rejection</w:t>
            </w:r>
          </w:p>
        </w:tc>
      </w:tr>
      <w:tr>
        <w:tc>
          <w:tcPr>
            <w:tcW w:type="dxa" w:w="3120"/>
          </w:tcPr>
          <w:p>
            <w:r>
              <w:t>Suit Filed Accounts</w:t>
            </w:r>
          </w:p>
        </w:tc>
        <w:tc>
          <w:tcPr>
            <w:tcW w:type="dxa" w:w="3120"/>
          </w:tcPr>
          <w:p>
            <w:r>
              <w:t>-0.2590</w:t>
            </w:r>
          </w:p>
        </w:tc>
        <w:tc>
          <w:tcPr>
            <w:tcW w:type="dxa" w:w="3120"/>
          </w:tcPr>
          <w:p>
            <w:r>
              <w:t>[-] Supports Rejection</w:t>
            </w:r>
          </w:p>
        </w:tc>
      </w:tr>
    </w:tbl>
    <w:p>
      <w:r>
        <w:br w:type="page"/>
      </w:r>
    </w:p>
    <w:p>
      <w:pPr>
        <w:pStyle w:val="Heading1"/>
      </w:pPr>
      <w:r>
        <w:t>11. Final Recommendation</w:t>
      </w:r>
    </w:p>
    <w:p>
      <w:r>
        <w:rPr>
          <w:b/>
          <w:color w:val="008000"/>
          <w:sz w:val="36"/>
        </w:rPr>
        <w:br/>
        <w:t>RECOMMENDATION: APPROVED</w:t>
        <w:br/>
      </w:r>
    </w:p>
    <w:tbl>
      <w:tblPr>
        <w:tblStyle w:val="LightGrid-Accent1"/>
        <w:tblW w:type="auto" w:w="0"/>
        <w:tblLook w:firstColumn="1" w:firstRow="1" w:lastColumn="0" w:lastRow="0" w:noHBand="0" w:noVBand="1" w:val="04A0"/>
      </w:tblPr>
      <w:tblGrid>
        <w:gridCol w:w="4680"/>
        <w:gridCol w:w="4680"/>
      </w:tblGrid>
      <w:tr>
        <w:tc>
          <w:tcPr>
            <w:tcW w:type="dxa" w:w="4680"/>
          </w:tcPr>
          <w:p>
            <w:r>
              <w:rPr>
                <w:b/>
              </w:rPr>
              <w:t>Recommended Loan Amount</w:t>
            </w:r>
          </w:p>
        </w:tc>
        <w:tc>
          <w:tcPr>
            <w:tcW w:type="dxa" w:w="4680"/>
          </w:tcPr>
          <w:p>
            <w:r>
              <w:t>₹12,000,000</w:t>
            </w:r>
          </w:p>
        </w:tc>
      </w:tr>
      <w:tr>
        <w:tc>
          <w:tcPr>
            <w:tcW w:type="dxa" w:w="4680"/>
          </w:tcPr>
          <w:p>
            <w:r>
              <w:rPr>
                <w:b/>
              </w:rPr>
              <w:t>Recommended Interest Rate</w:t>
            </w:r>
          </w:p>
        </w:tc>
        <w:tc>
          <w:tcPr>
            <w:tcW w:type="dxa" w:w="4680"/>
          </w:tcPr>
          <w:p>
            <w:r>
              <w:t>10.45%</w:t>
            </w:r>
          </w:p>
        </w:tc>
      </w:tr>
      <w:tr>
        <w:tc>
          <w:tcPr>
            <w:tcW w:type="dxa" w:w="4680"/>
          </w:tcPr>
          <w:p>
            <w:r>
              <w:rPr>
                <w:b/>
              </w:rPr>
              <w:t>Risk Score</w:t>
            </w:r>
          </w:p>
        </w:tc>
        <w:tc>
          <w:tcPr>
            <w:tcW w:type="dxa" w:w="4680"/>
          </w:tcPr>
          <w:p>
            <w:r>
              <w:t>24.2/100</w:t>
            </w:r>
          </w:p>
        </w:tc>
      </w:tr>
    </w:tbl>
    <w:p/>
    <w:p>
      <w:pPr>
        <w:pStyle w:val="Heading2"/>
      </w:pPr>
      <w:r>
        <w:t>Decision Rationale</w:t>
      </w:r>
    </w:p>
    <w:p>
      <w:pPr>
        <w:pStyle w:val="ListBullet"/>
      </w:pPr>
      <w:r>
        <w:t>[GREEN] Revenue Growth YoY (%): 40.00 reduces risk</w:t>
      </w:r>
    </w:p>
    <w:p>
      <w:pPr>
        <w:pStyle w:val="ListBullet"/>
      </w:pPr>
      <w:r>
        <w:t>[RED] Inadequate debt service capacity (DSCR: -10.00x)</w:t>
      </w:r>
    </w:p>
    <w:p>
      <w:pPr>
        <w:pStyle w:val="ListBullet"/>
      </w:pPr>
      <w:r>
        <w:t>[GREEN] GST filings consistent (5.3% mismatch)</w:t>
      </w:r>
    </w:p>
    <w:p>
      <w:pPr>
        <w:pStyle w:val="ListBullet"/>
      </w:pPr>
      <w:r>
        <w:t>[GREEN] Conservative leverage (D/E: 0.25x)</w:t>
      </w:r>
    </w:p>
    <w:p>
      <w:pPr>
        <w:pStyle w:val="ListBullet"/>
      </w:pPr>
      <w:r>
        <w:t>[RED] Very thin operating margin (-21.1%)</w:t>
      </w:r>
    </w:p>
    <w:p>
      <w:pPr>
        <w:pStyle w:val="ListBullet"/>
      </w:pPr>
      <w:r>
        <w:t>[RED] Interest Coverage Ratio: -20.00 increases risk</w:t>
      </w:r>
    </w:p>
    <w:p>
      <w:pPr>
        <w:pStyle w:val="ListBullet"/>
      </w:pPr>
      <w:r>
        <w:t>[GREEN] Overdue Accounts: 0.00 reduces risk</w:t>
      </w:r>
    </w:p>
    <w:p/>
    <w:p>
      <w:r>
        <w:rPr>
          <w:i/>
          <w:color w:val="646464"/>
          <w:sz w:val="16"/>
        </w:rPr>
        <w:t>DISCLAIMER: This Credit Appraisal Memo is generated by the Intelli-Credit AI Engine using XGBoost machine learning with SHAP explainability. While the model provides data-driven recommendations, final lending decisions should be made by authorized credit officers in compliance with institutional policies and RBI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