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2A44"/>
          <w:sz w:val="34"/>
          <w:szCs w:val="34"/>
        </w:rPr>
        <w:t xml:space="preserve">E-Commerce Orders — Dashboard Insights Summary</w:t>
      </w:r>
    </w:p>
    <w:p>
      <w:pPr>
        <w:spacing w:after="200"/>
        <w:jc w:val="center"/>
      </w:pPr>
      <w:r>
        <w:rPr>
          <w:i/>
          <w:iCs/>
          <w:color w:val="6B7280"/>
          <w:sz w:val="19"/>
          <w:szCs w:val="19"/>
        </w:rPr>
        <w:t xml:space="preserve">Project 4: Data Visualization &amp; Dashboard Design  |  Dataset_for_Data_Analytics.xlsx  |  1,200 orders, Jan 2023 – Jun 2025</w:t>
      </w:r>
    </w:p>
    <w:p>
      <w:pPr>
        <w:pStyle w:val="Heading1"/>
        <w:spacing w:after="120" w:before="200"/>
      </w:pPr>
      <w:r>
        <w:rPr>
          <w:b/>
          <w:bCs/>
          <w:color w:val="1F2A44"/>
          <w:sz w:val="26"/>
          <w:szCs w:val="26"/>
        </w:rPr>
        <w:t xml:space="preserve">1. Goal &amp; Approach</w:t>
      </w:r>
    </w:p>
    <w:p>
      <w:pPr>
        <w:spacing w:after="120"/>
      </w:pPr>
      <w:r>
        <w:rPr>
          <w:sz w:val="21"/>
          <w:szCs w:val="21"/>
        </w:rPr>
        <w:t xml:space="preserve">This project turns the 1,200-order e-commerce dataset into an interactive dashboard covering sales trends, product performance, payment behavior, fulfillment status, marketing channels, and customer segments. Two dashboard deliverables were produced: an interactive HTML dashboard (Chart.js, filterable by year, product, payment method, order status, and referral source) and an Excel workbook with native PivotChart-style visuals and a filterable order table. This document summarizes the headline findings.</w:t>
      </w:r>
    </w:p>
    <w:p>
      <w:pPr>
        <w:spacing w:after="120"/>
      </w:pPr>
      <w:r>
        <w:rPr>
          <w:i/>
          <w:iCs/>
          <w:color w:val="6B7280"/>
          <w:sz w:val="19"/>
          <w:szCs w:val="19"/>
        </w:rPr>
        <w:t xml:space="preserve">Note on scope: the dataset does not include a city/region field (ShippingAddress contains only street-level values with no city or state), so "regional distribution" was substituted with Referral Source and Customer Segment (new vs. returning) breakdowns, which are the closest available dimensions for slicing performance beyond product and payment.</w:t>
      </w:r>
    </w:p>
    <w:p>
      <w:pPr>
        <w:pStyle w:val="Heading1"/>
        <w:spacing w:after="120" w:before="200"/>
      </w:pPr>
      <w:r>
        <w:rPr>
          <w:b/>
          <w:bCs/>
          <w:color w:val="1F2A44"/>
          <w:sz w:val="26"/>
          <w:szCs w:val="26"/>
        </w:rPr>
        <w:t xml:space="preserve">2. Key Insights</w:t>
      </w:r>
    </w:p>
    <w:tbl>
      <w:tblPr>
        <w:tblW w:type="dxa" w:w="9350"/>
        <w:tblBorders>
          <w:top w:val="none"/>
          <w:left w:val="none"/>
          <w:bottom w:val="none"/>
          <w:right w:val="none"/>
          <w:insideH w:val="none"/>
          <w:insideV w:val="none"/>
        </w:tblBorders>
      </w:tblPr>
      <w:tblGrid>
        <w:gridCol w:w="700"/>
        <w:gridCol w:w="8650"/>
      </w:tblGrid>
      <w:tr>
        <w:tc>
          <w:tcPr>
            <w:tcW w:type="dxa" w:w="700"/>
            <w:shd w:fill="2563EB" w:val="clear"/>
            <w:vAlign w:val="center"/>
          </w:tcPr>
          <w:p>
            <w:pPr>
              <w:jc w:val="center"/>
            </w:pPr>
            <w:r>
              <w:rPr>
                <w:b/>
                <w:bCs/>
                <w:color w:val="FFFFFF"/>
                <w:sz w:val="22"/>
                <w:szCs w:val="22"/>
              </w:rPr>
              <w:t xml:space="preserve">1</w:t>
            </w:r>
          </w:p>
        </w:tc>
        <w:tc>
          <w:tcPr>
            <w:tcW w:type="dxa" w:w="8650"/>
            <w:shd w:fill="F2F4F7" w:val="clear"/>
            <w:tcMar>
              <w:top w:type="dxa" w:w="100"/>
              <w:left w:type="dxa" w:w="150"/>
              <w:bottom w:type="dxa" w:w="100"/>
              <w:right w:type="dxa" w:w="150"/>
            </w:tcMar>
          </w:tcPr>
          <w:p>
            <w:pPr>
              <w:spacing w:after="40"/>
            </w:pPr>
            <w:r>
              <w:rPr>
                <w:b/>
                <w:bCs/>
                <w:color w:val="1F2A44"/>
                <w:sz w:val="21"/>
                <w:szCs w:val="21"/>
              </w:rPr>
              <w:t xml:space="preserve">Revenue softened from 2023 to 2024</w:t>
            </w:r>
          </w:p>
          <w:p>
            <w:r>
              <w:rPr>
                <w:color w:val="374151"/>
                <w:sz w:val="20"/>
                <w:szCs w:val="20"/>
              </w:rPr>
              <w:t xml:space="preserve">Full-year revenue fell from $552,643 (2023) to $480,236 (2024), a decline of about 13%. June 2024 was the single strongest month on record ($68,069), but the year overall trended down, suggesting the June spike was an outlier rather than a sustained recovery.</w:t>
            </w:r>
          </w:p>
        </w:tc>
      </w:tr>
    </w:tbl>
    <w:p>
      <w:pPr>
        <w:spacing w:after="120"/>
      </w:pPr>
    </w:p>
    <w:tbl>
      <w:tblPr>
        <w:tblW w:type="dxa" w:w="9350"/>
        <w:tblBorders>
          <w:top w:val="none"/>
          <w:left w:val="none"/>
          <w:bottom w:val="none"/>
          <w:right w:val="none"/>
          <w:insideH w:val="none"/>
          <w:insideV w:val="none"/>
        </w:tblBorders>
      </w:tblPr>
      <w:tblGrid>
        <w:gridCol w:w="700"/>
        <w:gridCol w:w="8650"/>
      </w:tblGrid>
      <w:tr>
        <w:tc>
          <w:tcPr>
            <w:tcW w:type="dxa" w:w="700"/>
            <w:shd w:fill="2563EB" w:val="clear"/>
            <w:vAlign w:val="center"/>
          </w:tcPr>
          <w:p>
            <w:pPr>
              <w:jc w:val="center"/>
            </w:pPr>
            <w:r>
              <w:rPr>
                <w:b/>
                <w:bCs/>
                <w:color w:val="FFFFFF"/>
                <w:sz w:val="22"/>
                <w:szCs w:val="22"/>
              </w:rPr>
              <w:t xml:space="preserve">2</w:t>
            </w:r>
          </w:p>
        </w:tc>
        <w:tc>
          <w:tcPr>
            <w:tcW w:type="dxa" w:w="8650"/>
            <w:shd w:fill="F2F4F7" w:val="clear"/>
            <w:tcMar>
              <w:top w:type="dxa" w:w="100"/>
              <w:left w:type="dxa" w:w="150"/>
              <w:bottom w:type="dxa" w:w="100"/>
              <w:right w:type="dxa" w:w="150"/>
            </w:tcMar>
          </w:tcPr>
          <w:p>
            <w:pPr>
              <w:spacing w:after="40"/>
            </w:pPr>
            <w:r>
              <w:rPr>
                <w:b/>
                <w:bCs/>
                <w:color w:val="1F2A44"/>
                <w:sz w:val="21"/>
                <w:szCs w:val="21"/>
              </w:rPr>
              <w:t xml:space="preserve">Cancellations and returns consume 41% of orders</w:t>
            </w:r>
          </w:p>
          <w:p>
            <w:r>
              <w:rPr>
                <w:color w:val="374151"/>
                <w:sz w:val="20"/>
                <w:szCs w:val="20"/>
              </w:rPr>
              <w:t xml:space="preserve">Cancelled (20.8%) and Returned (20.6%) orders together account for 41.4% of all 1,200 orders — nearly matching the 39% that were Shipped or Delivered. This is the single largest efficiency issue in the funnel and the first place to investigate root causes (payment failures, fulfillment delays, product fit).</w:t>
            </w:r>
          </w:p>
        </w:tc>
      </w:tr>
    </w:tbl>
    <w:p>
      <w:pPr>
        <w:spacing w:after="120"/>
      </w:pPr>
    </w:p>
    <w:tbl>
      <w:tblPr>
        <w:tblW w:type="dxa" w:w="9350"/>
        <w:tblBorders>
          <w:top w:val="none"/>
          <w:left w:val="none"/>
          <w:bottom w:val="none"/>
          <w:right w:val="none"/>
          <w:insideH w:val="none"/>
          <w:insideV w:val="none"/>
        </w:tblBorders>
      </w:tblPr>
      <w:tblGrid>
        <w:gridCol w:w="700"/>
        <w:gridCol w:w="8650"/>
      </w:tblGrid>
      <w:tr>
        <w:tc>
          <w:tcPr>
            <w:tcW w:type="dxa" w:w="700"/>
            <w:shd w:fill="2563EB" w:val="clear"/>
            <w:vAlign w:val="center"/>
          </w:tcPr>
          <w:p>
            <w:pPr>
              <w:jc w:val="center"/>
            </w:pPr>
            <w:r>
              <w:rPr>
                <w:b/>
                <w:bCs/>
                <w:color w:val="FFFFFF"/>
                <w:sz w:val="22"/>
                <w:szCs w:val="22"/>
              </w:rPr>
              <w:t xml:space="preserve">3</w:t>
            </w:r>
          </w:p>
        </w:tc>
        <w:tc>
          <w:tcPr>
            <w:tcW w:type="dxa" w:w="8650"/>
            <w:shd w:fill="F2F4F7" w:val="clear"/>
            <w:tcMar>
              <w:top w:type="dxa" w:w="100"/>
              <w:left w:type="dxa" w:w="150"/>
              <w:bottom w:type="dxa" w:w="100"/>
              <w:right w:type="dxa" w:w="150"/>
            </w:tcMar>
          </w:tcPr>
          <w:p>
            <w:pPr>
              <w:spacing w:after="40"/>
            </w:pPr>
            <w:r>
              <w:rPr>
                <w:b/>
                <w:bCs/>
                <w:color w:val="1F2A44"/>
                <w:sz w:val="21"/>
                <w:szCs w:val="21"/>
              </w:rPr>
              <w:t xml:space="preserve">Product and payment revenue are evenly spread — no single driver</w:t>
            </w:r>
          </w:p>
          <w:p>
            <w:r>
              <w:rPr>
                <w:color w:val="374151"/>
                <w:sz w:val="20"/>
                <w:szCs w:val="20"/>
              </w:rPr>
              <w:t xml:space="preserve">Across the 7 product categories, revenue ranges narrowly from $151,722 (Phone) to $195,620 (Chair) — no product contributes more than 16% of revenue. The same pattern holds for payment methods (Cash to Online span just $232K–$264K), indicating a balanced but undifferentiated catalog with no standout growth lever.</w:t>
            </w:r>
          </w:p>
        </w:tc>
      </w:tr>
    </w:tbl>
    <w:p>
      <w:pPr>
        <w:spacing w:after="120"/>
      </w:pPr>
    </w:p>
    <w:tbl>
      <w:tblPr>
        <w:tblW w:type="dxa" w:w="9350"/>
        <w:tblBorders>
          <w:top w:val="none"/>
          <w:left w:val="none"/>
          <w:bottom w:val="none"/>
          <w:right w:val="none"/>
          <w:insideH w:val="none"/>
          <w:insideV w:val="none"/>
        </w:tblBorders>
      </w:tblPr>
      <w:tblGrid>
        <w:gridCol w:w="700"/>
        <w:gridCol w:w="8650"/>
      </w:tblGrid>
      <w:tr>
        <w:tc>
          <w:tcPr>
            <w:tcW w:type="dxa" w:w="700"/>
            <w:shd w:fill="2563EB" w:val="clear"/>
            <w:vAlign w:val="center"/>
          </w:tcPr>
          <w:p>
            <w:pPr>
              <w:jc w:val="center"/>
            </w:pPr>
            <w:r>
              <w:rPr>
                <w:b/>
                <w:bCs/>
                <w:color w:val="FFFFFF"/>
                <w:sz w:val="22"/>
                <w:szCs w:val="22"/>
              </w:rPr>
              <w:t xml:space="preserve">4</w:t>
            </w:r>
          </w:p>
        </w:tc>
        <w:tc>
          <w:tcPr>
            <w:tcW w:type="dxa" w:w="8650"/>
            <w:shd w:fill="F2F4F7" w:val="clear"/>
            <w:tcMar>
              <w:top w:type="dxa" w:w="100"/>
              <w:left w:type="dxa" w:w="150"/>
              <w:bottom w:type="dxa" w:w="100"/>
              <w:right w:type="dxa" w:w="150"/>
            </w:tcMar>
          </w:tcPr>
          <w:p>
            <w:pPr>
              <w:spacing w:after="40"/>
            </w:pPr>
            <w:r>
              <w:rPr>
                <w:b/>
                <w:bCs/>
                <w:color w:val="1F2A44"/>
                <w:sz w:val="21"/>
                <w:szCs w:val="21"/>
              </w:rPr>
              <w:t xml:space="preserve">Coupons are used on 3 out of 4 orders, with a small basket lift</w:t>
            </w:r>
          </w:p>
          <w:p>
            <w:r>
              <w:rPr>
                <w:color w:val="374151"/>
                <w:sz w:val="20"/>
                <w:szCs w:val="20"/>
              </w:rPr>
              <w:t xml:space="preserve">74.3% of orders included a coupon code (SAVE10, FREESHIP, or WINTER15), and average order value with a coupon ($1,058) was marginally higher than without ($1,043). Coupons are not currently a strong AOV lever here — worth testing higher-value or targeted offers instead of blanket usage.</w:t>
            </w:r>
          </w:p>
        </w:tc>
      </w:tr>
    </w:tbl>
    <w:p>
      <w:pPr>
        <w:spacing w:after="120"/>
      </w:pPr>
    </w:p>
    <w:tbl>
      <w:tblPr>
        <w:tblW w:type="dxa" w:w="9350"/>
        <w:tblBorders>
          <w:top w:val="none"/>
          <w:left w:val="none"/>
          <w:bottom w:val="none"/>
          <w:right w:val="none"/>
          <w:insideH w:val="none"/>
          <w:insideV w:val="none"/>
        </w:tblBorders>
      </w:tblPr>
      <w:tblGrid>
        <w:gridCol w:w="700"/>
        <w:gridCol w:w="8650"/>
      </w:tblGrid>
      <w:tr>
        <w:tc>
          <w:tcPr>
            <w:tcW w:type="dxa" w:w="700"/>
            <w:shd w:fill="2563EB" w:val="clear"/>
            <w:vAlign w:val="center"/>
          </w:tcPr>
          <w:p>
            <w:pPr>
              <w:jc w:val="center"/>
            </w:pPr>
            <w:r>
              <w:rPr>
                <w:b/>
                <w:bCs/>
                <w:color w:val="FFFFFF"/>
                <w:sz w:val="22"/>
                <w:szCs w:val="22"/>
              </w:rPr>
              <w:t xml:space="preserve">5</w:t>
            </w:r>
          </w:p>
        </w:tc>
        <w:tc>
          <w:tcPr>
            <w:tcW w:type="dxa" w:w="8650"/>
            <w:shd w:fill="F2F4F7" w:val="clear"/>
            <w:tcMar>
              <w:top w:type="dxa" w:w="100"/>
              <w:left w:type="dxa" w:w="150"/>
              <w:bottom w:type="dxa" w:w="100"/>
              <w:right w:type="dxa" w:w="150"/>
            </w:tcMar>
          </w:tcPr>
          <w:p>
            <w:pPr>
              <w:spacing w:after="40"/>
            </w:pPr>
            <w:r>
              <w:rPr>
                <w:b/>
                <w:bCs/>
                <w:color w:val="1F2A44"/>
                <w:sz w:val="21"/>
                <w:szCs w:val="21"/>
              </w:rPr>
              <w:t xml:space="preserve">Repeat purchasing is nearly absent</w:t>
            </w:r>
          </w:p>
          <w:p>
            <w:r>
              <w:rPr>
                <w:color w:val="374151"/>
                <w:sz w:val="20"/>
                <w:szCs w:val="20"/>
              </w:rPr>
              <w:t xml:space="preserve">Of 1,189 unique customers, only 11 (0.9%) placed more than one order, contributing just $19,536 (1.5%) of total revenue. The business is almost entirely acquisition-driven today — a retention or loyalty program represents a largely untapped growth opportunity.</w:t>
            </w:r>
          </w:p>
        </w:tc>
      </w:tr>
    </w:tbl>
    <w:p>
      <w:pPr>
        <w:spacing w:after="120"/>
      </w:pPr>
    </w:p>
    <w:tbl>
      <w:tblPr>
        <w:tblW w:type="dxa" w:w="9350"/>
        <w:tblBorders>
          <w:top w:val="none"/>
          <w:left w:val="none"/>
          <w:bottom w:val="none"/>
          <w:right w:val="none"/>
          <w:insideH w:val="none"/>
          <w:insideV w:val="none"/>
        </w:tblBorders>
      </w:tblPr>
      <w:tblGrid>
        <w:gridCol w:w="700"/>
        <w:gridCol w:w="8650"/>
      </w:tblGrid>
      <w:tr>
        <w:tc>
          <w:tcPr>
            <w:tcW w:type="dxa" w:w="700"/>
            <w:shd w:fill="2563EB" w:val="clear"/>
            <w:vAlign w:val="center"/>
          </w:tcPr>
          <w:p>
            <w:pPr>
              <w:jc w:val="center"/>
            </w:pPr>
            <w:r>
              <w:rPr>
                <w:b/>
                <w:bCs/>
                <w:color w:val="FFFFFF"/>
                <w:sz w:val="22"/>
                <w:szCs w:val="22"/>
              </w:rPr>
              <w:t xml:space="preserve">6</w:t>
            </w:r>
          </w:p>
        </w:tc>
        <w:tc>
          <w:tcPr>
            <w:tcW w:type="dxa" w:w="8650"/>
            <w:shd w:fill="F2F4F7" w:val="clear"/>
            <w:tcMar>
              <w:top w:type="dxa" w:w="100"/>
              <w:left w:type="dxa" w:w="150"/>
              <w:bottom w:type="dxa" w:w="100"/>
              <w:right w:type="dxa" w:w="150"/>
            </w:tcMar>
          </w:tcPr>
          <w:p>
            <w:pPr>
              <w:spacing w:after="40"/>
            </w:pPr>
            <w:r>
              <w:rPr>
                <w:b/>
                <w:bCs/>
                <w:color w:val="1F2A44"/>
                <w:sz w:val="21"/>
                <w:szCs w:val="21"/>
              </w:rPr>
              <w:t xml:space="preserve">Instagram is the strongest referral channel</w:t>
            </w:r>
          </w:p>
          <w:p>
            <w:r>
              <w:rPr>
                <w:color w:val="374151"/>
                <w:sz w:val="20"/>
                <w:szCs w:val="20"/>
              </w:rPr>
              <w:t xml:space="preserve">Instagram drove $275,285 (21.8% of revenue), ahead of Email (20.7%), Google (19.8%), Facebook (19.8%), and direct Referral (17.9%). The spread between channels is modest, but Instagram's lead is consistent and is the best candidate for incremental marketing spend.</w:t>
            </w:r>
          </w:p>
        </w:tc>
      </w:tr>
    </w:tbl>
    <w:p>
      <w:r>
        <w:br/>
        <w:t xml:space="preserve"/>
      </w:r>
    </w:p>
    <w:p>
      <w:pPr>
        <w:pStyle w:val="Heading1"/>
        <w:spacing w:after="120" w:before="200"/>
      </w:pPr>
      <w:r>
        <w:rPr>
          <w:b/>
          <w:bCs/>
          <w:color w:val="1F2A44"/>
          <w:sz w:val="26"/>
          <w:szCs w:val="26"/>
        </w:rPr>
        <w:t xml:space="preserve">3. Dashboard Preview</w:t>
      </w:r>
    </w:p>
    <w:p>
      <w:pPr>
        <w:spacing w:after="120"/>
      </w:pPr>
      <w:r>
        <w:rPr>
          <w:sz w:val="21"/>
          <w:szCs w:val="21"/>
        </w:rPr>
        <w:t xml:space="preserve">Static export of the interactive dashboard (see accompanying .html and .xlsx files for full interactivity with filters).</w:t>
      </w:r>
    </w:p>
    <w:p>
      <w:pPr>
        <w:jc w:val="center"/>
      </w:pPr>
      <w:r>
        <w:drawing>
          <wp:inline distT="0" distB="0" distL="0" distR="0">
            <wp:extent cx="533400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6667500"/>
                    </a:xfrm>
                    <a:prstGeom prst="rect">
                      <a:avLst/>
                    </a:prstGeom>
                  </pic:spPr>
                </pic:pic>
              </a:graphicData>
            </a:graphic>
          </wp:inline>
        </w:drawing>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DecodeLabs Industrial Training Kit — Project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181a63f031cd0591e69abeb15aa9d476e5afaf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2026-07-19T08:19:31.705Z</dcterms:created>
  <dcterms:modified xsi:type="dcterms:W3CDTF">2026-07-19T08:19:31.716Z</dcterms:modified>
</cp:coreProperties>
</file>

<file path=docProps/custom.xml><?xml version="1.0" encoding="utf-8"?>
<Properties xmlns="http://schemas.openxmlformats.org/officeDocument/2006/custom-properties" xmlns:vt="http://schemas.openxmlformats.org/officeDocument/2006/docPropsVTypes"/>
</file>