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" w:hAnsi="Aptos"/>
          <w:b/>
          <w:color w:val="117A65"/>
          <w:sz w:val="22"/>
        </w:rPr>
        <w:t>IMPLEMENTATION &amp; PRESENTATION GUIDE</w:t>
      </w:r>
    </w:p>
    <w:p>
      <w:pPr>
        <w:pStyle w:val="Title"/>
        <w:jc w:val="center"/>
      </w:pPr>
      <w:r>
        <w:t>AI SalesGenie</w:t>
        <w:br/>
        <w:t>Operational Workflow Guide</w:t>
      </w:r>
    </w:p>
    <w:p>
      <w:pPr>
        <w:pStyle w:val="Subtitle"/>
        <w:jc w:val="center"/>
      </w:pPr>
      <w:r>
        <w:t>Purpose, components, connections, decision rules, operating considerations, and demonstration guidance</w:t>
      </w:r>
    </w:p>
    <w:p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tblHeader w:val="true"/>
        </w:trPr>
        <w:tc>
          <w:tcPr>
            <w:tcW w:type="dxa" w:w="9792"/>
            <w:shd w:fill="EEF3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17A65"/>
              </w:rPr>
              <w:t xml:space="preserve">Audience: </w:t>
            </w:r>
            <w:r>
              <w:rPr>
                <w:rFonts w:ascii="Aptos" w:hAnsi="Aptos"/>
                <w:color w:val="12263A"/>
              </w:rPr>
              <w:t>Project evaluators, sales operations stakeholders, developers, and future maintainers.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tblHeader w:val="true"/>
        </w:trPr>
        <w:tc>
          <w:tcPr>
            <w:tcW w:type="dxa" w:w="9792"/>
            <w:shd w:fill="DDF3E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t>Scope: Inquiry Processing Workflow; Weekly Sales Summary Workflow.</w:t>
            </w:r>
          </w:p>
        </w:tc>
      </w:tr>
    </w:tbl>
    <w:p>
      <w:pPr>
        <w:spacing w:after="0"/>
      </w:pPr>
    </w:p>
    <w:p>
      <w:pPr>
        <w:spacing w:before="1400"/>
        <w:jc w:val="center"/>
      </w:pPr>
      <w:r>
        <w:rPr>
          <w:b/>
          <w:color w:val="12263A"/>
        </w:rPr>
        <w:t>Oak &amp; Ember Interiors  |  Langflow + OpenAI + Langfuse</w:t>
      </w:r>
    </w:p>
    <w:p>
      <w:pPr>
        <w:jc w:val="center"/>
      </w:pPr>
      <w:r>
        <w:rPr>
          <w:i/>
        </w:rPr>
        <w:t>Prepared September 2026</w:t>
      </w:r>
    </w:p>
    <w:p>
      <w:r>
        <w:br w:type="page"/>
      </w:r>
    </w:p>
    <w:p>
      <w:pPr>
        <w:pStyle w:val="Heading1"/>
      </w:pPr>
      <w:r>
        <w:t>How to use this guide</w:t>
      </w:r>
    </w:p>
    <w:p>
      <w:pPr/>
      <w:r>
        <w:t>This document explains the two operational workflows as one coherent sales-assistance system. Use it as a presentation script, implementation reference, or reviewer handout. Each workflow chapter describes what it does, why each component exists, how components connect, what assumptions are enforced, and how to demonstrate success.</w:t>
      </w:r>
    </w:p>
    <w:p>
      <w:pPr>
        <w:pStyle w:val="Heading2"/>
      </w:pPr>
      <w:r>
        <w:t>Contents</w:t>
      </w:r>
    </w:p>
    <w:p>
      <w:pPr>
        <w:pStyle w:val="ListBullet"/>
        <w:spacing w:after="60"/>
        <w:ind w:left="360" w:hanging="259"/>
      </w:pPr>
      <w:r>
        <w:t>1. System overview and cross-workflow design</w:t>
      </w:r>
    </w:p>
    <w:p>
      <w:pPr>
        <w:pStyle w:val="ListBullet"/>
        <w:spacing w:after="60"/>
        <w:ind w:left="360" w:hanging="259"/>
      </w:pPr>
      <w:r>
        <w:t>2. Inquiry Processing Workflow</w:t>
      </w:r>
    </w:p>
    <w:p>
      <w:pPr>
        <w:pStyle w:val="ListBullet"/>
        <w:spacing w:after="60"/>
        <w:ind w:left="360" w:hanging="259"/>
      </w:pPr>
      <w:r>
        <w:t>3. Weekly Sales Summary Workflow</w:t>
      </w:r>
    </w:p>
    <w:p>
      <w:pPr>
        <w:pStyle w:val="ListBullet"/>
        <w:spacing w:after="60"/>
        <w:ind w:left="360" w:hanging="259"/>
      </w:pPr>
      <w:r>
        <w:t>4. Shared considerations: security, quality, cost, and operations</w:t>
      </w:r>
    </w:p>
    <w:p>
      <w:pPr>
        <w:pStyle w:val="ListBullet"/>
        <w:spacing w:after="60"/>
        <w:ind w:left="360" w:hanging="259"/>
      </w:pPr>
      <w:r>
        <w:t>5. Demonstration plan and acceptance checklist</w:t>
      </w:r>
    </w:p>
    <w:p>
      <w:pPr>
        <w:pStyle w:val="ListBullet"/>
        <w:spacing w:after="60"/>
        <w:ind w:left="360" w:hanging="259"/>
      </w:pPr>
      <w:r>
        <w:t>Appendix A - Structured fields and schemas</w:t>
      </w:r>
    </w:p>
    <w:p>
      <w:pPr>
        <w:pStyle w:val="ListBullet"/>
        <w:spacing w:after="60"/>
        <w:ind w:left="360" w:hanging="259"/>
      </w:pPr>
      <w:r>
        <w:t>Appendix B - Test coverage</w:t>
      </w:r>
    </w:p>
    <w:p>
      <w:pPr>
        <w:pStyle w:val="Heading2"/>
      </w:pPr>
      <w:r>
        <w:t>The two-workflow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5112"/>
        <w:gridCol w:w="2477"/>
      </w:tblGrid>
      <w:tr>
        <w:trPr>
          <w:tblHeader w:val="true"/>
        </w:trP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26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26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job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26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Output consumer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>
              <w:t>Inquiry Processing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Recommend only eligible catalog products, validate facts deterministically, then draft a personalized email.</w:t>
            </w:r>
          </w:p>
        </w:tc>
        <w:tc>
          <w:tcPr>
            <w:tcW w:type="dxa" w:w="24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Sales representative and customer response workflow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Weekly Summary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Aggregate stored leads into tier, category, and budget insights.</w:t>
            </w:r>
          </w:p>
        </w:tc>
        <w:tc>
          <w:tcPr>
            <w:tcW w:type="dxa" w:w="24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Sales manager and weekly review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tblHeader w:val="true"/>
        </w:trPr>
        <w:tc>
          <w:tcPr>
            <w:tcW w:type="dxa" w:w="9792"/>
            <w:shd w:fill="DDF3E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17A65"/>
              </w:rPr>
              <w:t xml:space="preserve">Key architectural decision: </w:t>
            </w:r>
            <w:r>
              <w:rPr>
                <w:rFonts w:ascii="Aptos" w:hAnsi="Aptos"/>
                <w:color w:val="12263A"/>
              </w:rPr>
              <w:t>Use the language model for interpretation and drafting, while custom Python components enforce catalog and aggregation rules deterministically.</w:t>
            </w:r>
          </w:p>
        </w:tc>
      </w:tr>
    </w:tbl>
    <w:p>
      <w:pPr>
        <w:spacing w:after="0"/>
      </w:pPr>
    </w:p>
    <w:p>
      <w:pPr>
        <w:pStyle w:val="Heading1"/>
      </w:pPr>
      <w:r>
        <w:t>1. System overview and cross-workflow design</w:t>
      </w:r>
    </w:p>
    <w:p>
      <w:pPr>
        <w:pStyle w:val="Heading2"/>
      </w:pPr>
      <w:r>
        <w:t>End-to-end information flow</w:t>
      </w:r>
    </w:p>
    <w:p>
      <w:pPr>
        <w:pStyle w:val="ListNumber"/>
        <w:spacing w:after="80"/>
        <w:ind w:left="461" w:hanging="288"/>
      </w:pPr>
      <w:r>
        <w:t>A customer submits an unstructured message.</w:t>
      </w:r>
    </w:p>
    <w:p>
      <w:pPr>
        <w:pStyle w:val="ListNumber"/>
        <w:spacing w:after="80"/>
        <w:ind w:left="461" w:hanging="288"/>
      </w:pPr>
      <w:r>
        <w:t>The inquiry workflow classifies the message, extracts structured sales fields, validates catalog recommendations, and prepares a follow-up draft.</w:t>
      </w:r>
    </w:p>
    <w:p>
      <w:pPr>
        <w:pStyle w:val="ListNumber"/>
        <w:spacing w:after="80"/>
        <w:ind w:left="461" w:hanging="288"/>
      </w:pPr>
      <w:r>
        <w:t>Approved lead records are stored or exported to the CRM.</w:t>
      </w:r>
    </w:p>
    <w:p>
      <w:pPr>
        <w:pStyle w:val="ListNumber"/>
        <w:spacing w:after="80"/>
        <w:ind w:left="461" w:hanging="288"/>
      </w:pPr>
      <w:r>
        <w:t>The weekly summary workflow reads the CRM export and produces weekly management metrics.</w:t>
      </w:r>
    </w:p>
    <w:p>
      <w:pPr>
        <w:pStyle w:val="ListNumber"/>
        <w:spacing w:after="80"/>
        <w:ind w:left="461" w:hanging="288"/>
      </w:pPr>
      <w:r>
        <w:t>Langfuse records model calls, inputs, outputs, tokens, latency, cost, and manual scores.</w:t>
      </w:r>
    </w:p>
    <w:p>
      <w:pPr>
        <w:pStyle w:val="Heading2"/>
      </w:pPr>
      <w:r>
        <w:t>Shared design principles</w:t>
      </w:r>
    </w:p>
    <w:p>
      <w:pPr>
        <w:pStyle w:val="ListBullet"/>
        <w:spacing w:after="60"/>
        <w:ind w:left="360" w:hanging="259"/>
      </w:pPr>
      <w:r>
        <w:t>Structured contracts: downstream components receive named fields instead of relying on free-form prose.</w:t>
      </w:r>
    </w:p>
    <w:p>
      <w:pPr>
        <w:pStyle w:val="ListBullet"/>
        <w:spacing w:after="60"/>
        <w:ind w:left="360" w:hanging="259"/>
      </w:pPr>
      <w:r>
        <w:t>Grounding before communication: the Catalog Guard is the final authority for product facts.</w:t>
      </w:r>
    </w:p>
    <w:p>
      <w:pPr>
        <w:pStyle w:val="ListBullet"/>
        <w:spacing w:after="60"/>
        <w:ind w:left="360" w:hanging="259"/>
      </w:pPr>
      <w:r>
        <w:t>Human review: follow-up email output is a draft and must not be sent automatically.</w:t>
      </w:r>
    </w:p>
    <w:p>
      <w:pPr>
        <w:pStyle w:val="ListBullet"/>
        <w:spacing w:after="60"/>
        <w:ind w:left="360" w:hanging="259"/>
      </w:pPr>
      <w:r>
        <w:t>Separation of concerns: operational lead processing and weekly reporting run as separate flows.</w:t>
      </w:r>
    </w:p>
    <w:p>
      <w:pPr>
        <w:pStyle w:val="ListBullet"/>
        <w:spacing w:after="60"/>
        <w:ind w:left="360" w:hanging="259"/>
      </w:pPr>
      <w:r>
        <w:t>Traceability: test outputs are linked to Langfuse traces and human pass/fail scores.</w:t>
      </w:r>
    </w:p>
    <w:p>
      <w:pPr>
        <w:pStyle w:val="ListBullet"/>
        <w:spacing w:after="60"/>
        <w:ind w:left="360" w:hanging="259"/>
      </w:pPr>
      <w:r>
        <w:t>Secret management: OpenAI and Langfuse credentials remain in environment variables or Langflow secrets.</w:t>
      </w:r>
    </w:p>
    <w:p>
      <w:r>
        <w:br w:type="page"/>
      </w:r>
    </w:p>
    <w:p>
      <w:pPr>
        <w:pStyle w:val="Heading1"/>
      </w:pPr>
      <w:r>
        <w:t>2. Inquiry Processing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tblHeader w:val="true"/>
        </w:trPr>
        <w:tc>
          <w:tcPr>
            <w:tcW w:type="dxa" w:w="9792"/>
            <w:shd w:fill="DDF3E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17A65"/>
              </w:rPr>
              <w:t xml:space="preserve">Purpose: </w:t>
            </w:r>
            <w:r>
              <w:rPr>
                <w:rFonts w:ascii="Aptos" w:hAnsi="Aptos"/>
                <w:color w:val="12263A"/>
              </w:rPr>
              <w:t>Turn an extracted inquiry into catalog-grounded recommendations and a personalized, review-ready response email.</w:t>
            </w:r>
          </w:p>
        </w:tc>
      </w:tr>
    </w:tbl>
    <w:p>
      <w:pPr>
        <w:spacing w:after="0"/>
      </w:pPr>
    </w:p>
    <w:p>
      <w:pPr>
        <w:pStyle w:val="Heading2"/>
      </w:pPr>
      <w:r>
        <w:t>Primary uses</w:t>
      </w:r>
    </w:p>
    <w:p>
      <w:pPr>
        <w:pStyle w:val="ListBullet"/>
        <w:spacing w:after="60"/>
        <w:ind w:left="360" w:hanging="259"/>
      </w:pPr>
      <w:r>
        <w:t>Find one to three products relevant to the stated need.</w:t>
      </w:r>
    </w:p>
    <w:p>
      <w:pPr>
        <w:pStyle w:val="ListBullet"/>
        <w:spacing w:after="60"/>
        <w:ind w:left="360" w:hanging="259"/>
      </w:pPr>
      <w:r>
        <w:t>Apply budget and stock constraints using catalog rows.</w:t>
      </w:r>
    </w:p>
    <w:p>
      <w:pPr>
        <w:pStyle w:val="ListBullet"/>
        <w:spacing w:after="60"/>
        <w:ind w:left="360" w:hanging="259"/>
      </w:pPr>
      <w:r>
        <w:t>Answer product and stock questions with exact catalog facts.</w:t>
      </w:r>
    </w:p>
    <w:p>
      <w:pPr>
        <w:pStyle w:val="ListBullet"/>
        <w:spacing w:after="60"/>
        <w:ind w:left="360" w:hanging="259"/>
      </w:pPr>
      <w:r>
        <w:t>Draft a customer-facing follow-up without automatically sending it.</w:t>
      </w:r>
    </w:p>
    <w:p>
      <w:pPr>
        <w:pStyle w:val="ListBullet"/>
        <w:spacing w:after="60"/>
        <w:ind w:left="360" w:hanging="259"/>
      </w:pPr>
      <w:r>
        <w:t>Explain why suggestions were removed through guard rejection messages.</w:t>
      </w:r>
    </w:p>
    <w:p>
      <w:pPr>
        <w:pStyle w:val="Heading2"/>
      </w:pPr>
      <w:r>
        <w:t>Component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355"/>
        <w:gridCol w:w="4464"/>
      </w:tblGrid>
      <w:tr>
        <w:trPr>
          <w:tblHeader w:val="true"/>
        </w:trP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26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26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26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Important configuration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Chat Input</w:t>
            </w:r>
          </w:p>
        </w:tc>
        <w:tc>
          <w:tcPr>
            <w:tcW w:type="dxa" w:w="33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Supplies the original inquiry.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Connect to the recommendation prompt, Catalog Guard, and follow-up prompt.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Read File</w:t>
            </w:r>
          </w:p>
        </w:tc>
        <w:tc>
          <w:tcPr>
            <w:tcW w:type="dxa" w:w="33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Loads `product_catalog.csv`.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Use Raw Content so headers, rows, quoted descriptions, and commas remain available as exact text.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Prompt Template</w:t>
            </w:r>
          </w:p>
        </w:tc>
        <w:tc>
          <w:tcPr>
            <w:tcW w:type="dxa" w:w="33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Combines inquiry and catalog context for recommendation/extraction.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Require catalog IDs, names, prices, stock, rationales, and structured lead fields.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OpenAI Model</w:t>
            </w:r>
          </w:p>
        </w:tc>
        <w:tc>
          <w:tcPr>
            <w:tcW w:type="dxa" w:w="33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Generates the candidate structured result.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gpt-4o-mini; temperature 0 for consistent extraction.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Structured Output</w:t>
            </w:r>
          </w:p>
        </w:tc>
        <w:tc>
          <w:tcPr>
            <w:tcW w:type="dxa" w:w="33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Returns a typed recommendation and lead record.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Schema must align with Catalog Guard input fields.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Catalog Guard</w:t>
            </w:r>
          </w:p>
        </w:tc>
        <w:tc>
          <w:tcPr>
            <w:tcW w:type="dxa" w:w="33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Revalidates every recommendation against exact catalog rows.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Receives Structured Result, Raw Catalog CSV, and Inbound Message.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Follow-Up Email Prompt</w:t>
            </w:r>
          </w:p>
        </w:tc>
        <w:tc>
          <w:tcPr>
            <w:tcW w:type="dxa" w:w="33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Combines validated result with original inquiry.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Ask for Subject + body only; forbid unsupported product claims.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Follow-Up Draft Model</w:t>
            </w:r>
          </w:p>
        </w:tc>
        <w:tc>
          <w:tcPr>
            <w:tcW w:type="dxa" w:w="33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Writes the personalized response.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Low temperature; no JSON or internal notes in output.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Chat Output</w:t>
            </w:r>
          </w:p>
        </w:tc>
        <w:tc>
          <w:tcPr>
            <w:tcW w:type="dxa" w:w="33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Displays the email draft.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Connect the model response message.</w:t>
            </w:r>
          </w:p>
        </w:tc>
      </w:tr>
    </w:tbl>
    <w:p>
      <w:pPr>
        <w:spacing w:after="20"/>
      </w:pPr>
    </w:p>
    <w:p>
      <w:pPr>
        <w:pStyle w:val="Heading2"/>
      </w:pPr>
      <w:r>
        <w:t>Connection order</w:t>
      </w:r>
    </w:p>
    <w:p>
      <w:pPr>
        <w:pStyle w:val="ListNumber"/>
        <w:spacing w:after="80"/>
        <w:ind w:left="461" w:hanging="288"/>
      </w:pPr>
      <w:r>
        <w:t>Read File Raw Content -&gt; recommendation Prompt Template `catalog_context`.</w:t>
      </w:r>
    </w:p>
    <w:p>
      <w:pPr>
        <w:pStyle w:val="ListNumber"/>
        <w:spacing w:after="80"/>
        <w:ind w:left="461" w:hanging="288"/>
      </w:pPr>
      <w:r>
        <w:t>Chat Input -&gt; recommendation Prompt Template `inbound_message`.</w:t>
      </w:r>
    </w:p>
    <w:p>
      <w:pPr>
        <w:pStyle w:val="ListNumber"/>
        <w:spacing w:after="80"/>
        <w:ind w:left="461" w:hanging="288"/>
      </w:pPr>
      <w:r>
        <w:t>Recommendation Prompt -&gt; Structured Output `Input Message`; OpenAI Model -&gt; Structured Output `Language Model`.</w:t>
      </w:r>
    </w:p>
    <w:p>
      <w:pPr>
        <w:pStyle w:val="ListNumber"/>
        <w:spacing w:after="80"/>
        <w:ind w:left="461" w:hanging="288"/>
      </w:pPr>
      <w:r>
        <w:t>Structured Output -&gt; Catalog Guard `Structured Result`.</w:t>
      </w:r>
    </w:p>
    <w:p>
      <w:pPr>
        <w:pStyle w:val="ListNumber"/>
        <w:spacing w:after="80"/>
        <w:ind w:left="461" w:hanging="288"/>
      </w:pPr>
      <w:r>
        <w:t>Read File Raw Content -&gt; Catalog Guard `Raw Catalog CSV`.</w:t>
      </w:r>
    </w:p>
    <w:p>
      <w:pPr>
        <w:pStyle w:val="ListNumber"/>
        <w:spacing w:after="80"/>
        <w:ind w:left="461" w:hanging="288"/>
      </w:pPr>
      <w:r>
        <w:t>Chat Input -&gt; Catalog Guard `Inbound Message`.</w:t>
      </w:r>
    </w:p>
    <w:p>
      <w:pPr>
        <w:pStyle w:val="ListNumber"/>
        <w:spacing w:after="80"/>
        <w:ind w:left="461" w:hanging="288"/>
      </w:pPr>
      <w:r>
        <w:t>Catalog Guard Validated Message -&gt; Follow-Up Email Prompt `validated_lead`.</w:t>
      </w:r>
    </w:p>
    <w:p>
      <w:pPr>
        <w:pStyle w:val="ListNumber"/>
        <w:spacing w:after="80"/>
        <w:ind w:left="461" w:hanging="288"/>
      </w:pPr>
      <w:r>
        <w:t>Chat Input -&gt; Follow-Up Email Prompt `original_inquiry`.</w:t>
      </w:r>
    </w:p>
    <w:p>
      <w:pPr>
        <w:pStyle w:val="ListNumber"/>
        <w:spacing w:after="80"/>
        <w:ind w:left="461" w:hanging="288"/>
      </w:pPr>
      <w:r>
        <w:t>Follow-Up Prompt -&gt; Follow-Up Draft Model Input -&gt; Chat Output.</w:t>
      </w:r>
    </w:p>
    <w:p>
      <w:pPr>
        <w:pStyle w:val="Heading2"/>
      </w:pPr>
      <w:r>
        <w:t>Why Raw Content is used</w:t>
      </w:r>
    </w:p>
    <w:p>
      <w:r>
        <w:t>The Catalog Guard needs the original CSV text so it can parse exact product rows and treat product ID, name, price, availability, material, dimensions, and description as one authoritative record. A transformed table or summarized document can change quoting, flatten columns, or lose row boundaries. Raw Content therefore supports deterministic row-level comparison. The guard still performs its own CSV parsing; raw text is not trusted without parsing and validation.</w:t>
      </w:r>
    </w:p>
    <w:p>
      <w:pPr>
        <w:pStyle w:val="Heading2"/>
      </w:pPr>
      <w:r>
        <w:t>Catalog Guard decision sequence</w:t>
      </w:r>
    </w:p>
    <w:p>
      <w:pPr>
        <w:pStyle w:val="ListNumber"/>
        <w:spacing w:after="80"/>
        <w:ind w:left="461" w:hanging="288"/>
      </w:pPr>
      <w:r>
        <w:t>Parse the catalog CSV into normalized rows.</w:t>
      </w:r>
    </w:p>
    <w:p>
      <w:pPr>
        <w:pStyle w:val="ListNumber"/>
        <w:spacing w:after="80"/>
        <w:ind w:left="461" w:hanging="288"/>
      </w:pPr>
      <w:r>
        <w:t>Read candidate recommendation arrays from the structured result.</w:t>
      </w:r>
    </w:p>
    <w:p>
      <w:pPr>
        <w:pStyle w:val="ListNumber"/>
        <w:spacing w:after="80"/>
        <w:ind w:left="461" w:hanging="288"/>
      </w:pPr>
      <w:r>
        <w:t>Match candidate IDs or names to exact catalog rows.</w:t>
      </w:r>
    </w:p>
    <w:p>
      <w:pPr>
        <w:pStyle w:val="ListNumber"/>
        <w:spacing w:after="80"/>
        <w:ind w:left="461" w:hanging="288"/>
      </w:pPr>
      <w:r>
        <w:t>Confirm category relevance to avoid accessory false matches.</w:t>
      </w:r>
    </w:p>
    <w:p>
      <w:pPr>
        <w:pStyle w:val="ListNumber"/>
        <w:spacing w:after="80"/>
        <w:ind w:left="461" w:hanging="288"/>
      </w:pPr>
      <w:r>
        <w:t>Reject products that are unavailable.</w:t>
      </w:r>
    </w:p>
    <w:p>
      <w:pPr>
        <w:pStyle w:val="ListNumber"/>
        <w:spacing w:after="80"/>
        <w:ind w:left="461" w:hanging="288"/>
      </w:pPr>
      <w:r>
        <w:t>Apply total-budget or per-unit-budget limits.</w:t>
      </w:r>
    </w:p>
    <w:p>
      <w:pPr>
        <w:pStyle w:val="ListNumber"/>
        <w:spacing w:after="80"/>
        <w:ind w:left="461" w:hanging="288"/>
      </w:pPr>
      <w:r>
        <w:t>Rebuild names, prices, availability, and descriptions from the matched catalog row.</w:t>
      </w:r>
    </w:p>
    <w:p>
      <w:pPr>
        <w:pStyle w:val="ListNumber"/>
        <w:spacing w:after="80"/>
        <w:ind w:left="461" w:hanging="288"/>
      </w:pPr>
      <w:r>
        <w:t>Generate a grounded response and retain rejection reasons for audit.</w:t>
      </w:r>
    </w:p>
    <w:p>
      <w:pPr>
        <w:pStyle w:val="Heading2"/>
      </w:pPr>
      <w:r>
        <w:t>Hard rules and expected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579"/>
        <w:gridCol w:w="3355"/>
      </w:tblGrid>
      <w:tr>
        <w:trPr>
          <w:tblHeader w:val="true"/>
        </w:trP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26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26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Required behavior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26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Unknown product</w:t>
            </w:r>
          </w:p>
        </w:tc>
        <w:tc>
          <w:tcPr>
            <w:tcW w:type="dxa" w:w="45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Remove it; never retain model-generated facts.</w:t>
            </w:r>
          </w:p>
        </w:tc>
        <w:tc>
          <w:tcPr>
            <w:tcW w:type="dxa" w:w="33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Unrecognized product ID is rejected.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Over budget</w:t>
            </w:r>
          </w:p>
        </w:tc>
        <w:tc>
          <w:tcPr>
            <w:tcW w:type="dxa" w:w="45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Remove it and record the price rule.</w:t>
            </w:r>
          </w:p>
        </w:tc>
        <w:tc>
          <w:tcPr>
            <w:tcW w:type="dxa" w:w="33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P004 at $899 rejected for an $800 budget.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Out of stock</w:t>
            </w:r>
          </w:p>
        </w:tc>
        <w:tc>
          <w:tcPr>
            <w:tcW w:type="dxa" w:w="45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Do not recommend it as purchasable.</w:t>
            </w:r>
          </w:p>
        </w:tc>
        <w:tc>
          <w:tcPr>
            <w:tcW w:type="dxa" w:w="33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P001 reported as Out of Stock with no invented restock date.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Unconfirmed finish</w:t>
            </w:r>
          </w:p>
        </w:tc>
        <w:tc>
          <w:tcPr>
            <w:tcW w:type="dxa" w:w="45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Keep an otherwise eligible product but state that the finish is unconfirmed.</w:t>
            </w:r>
          </w:p>
        </w:tc>
        <w:tc>
          <w:tcPr>
            <w:tcW w:type="dxa" w:w="33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Dark walnut preference is surfaced as a limitation.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Product question</w:t>
            </w:r>
          </w:p>
        </w:tc>
        <w:tc>
          <w:tcPr>
            <w:tcW w:type="dxa" w:w="45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Return catalog information without forcing a lead tier.</w:t>
            </w:r>
          </w:p>
        </w:tc>
        <w:tc>
          <w:tcPr>
            <w:tcW w:type="dxa" w:w="33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P004 finishes: Natural Oak and Dark Walnut.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Spam</w:t>
            </w:r>
          </w:p>
        </w:tc>
        <w:tc>
          <w:tcPr>
            <w:tcW w:type="dxa" w:w="45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Return no products and no sales action.</w:t>
            </w:r>
          </w:p>
        </w:tc>
        <w:tc>
          <w:tcPr>
            <w:tcW w:type="dxa" w:w="33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Recommendations and lead tier remain empty.</w:t>
            </w:r>
          </w:p>
        </w:tc>
      </w:tr>
    </w:tbl>
    <w:p>
      <w:pPr>
        <w:spacing w:after="20"/>
      </w:pPr>
    </w:p>
    <w:p>
      <w:pPr>
        <w:pStyle w:val="Heading2"/>
      </w:pPr>
      <w:r>
        <w:t>Follow-up drafting rules</w:t>
      </w:r>
    </w:p>
    <w:p>
      <w:pPr>
        <w:pStyle w:val="ListBullet"/>
        <w:spacing w:after="60"/>
        <w:ind w:left="360" w:hanging="259"/>
      </w:pPr>
      <w:r>
        <w:t>Use the customer's explicit name when available; otherwise use a neutral greeting.</w:t>
      </w:r>
    </w:p>
    <w:p>
      <w:pPr>
        <w:pStyle w:val="ListBullet"/>
        <w:spacing w:after="60"/>
        <w:ind w:left="360" w:hanging="259"/>
      </w:pPr>
      <w:r>
        <w:t>Include only validated products, prices, availability, and limitations.</w:t>
      </w:r>
    </w:p>
    <w:p>
      <w:pPr>
        <w:pStyle w:val="ListBullet"/>
        <w:spacing w:after="60"/>
        <w:ind w:left="360" w:hanging="259"/>
      </w:pPr>
      <w:r>
        <w:t>If information is missing, request it directly instead of inventing a recommendation.</w:t>
      </w:r>
    </w:p>
    <w:p>
      <w:pPr>
        <w:pStyle w:val="ListBullet"/>
        <w:spacing w:after="60"/>
        <w:ind w:left="360" w:hanging="259"/>
      </w:pPr>
      <w:r>
        <w:t>For spam, do not create a persuasive sales email.</w:t>
      </w:r>
    </w:p>
    <w:p>
      <w:pPr>
        <w:pStyle w:val="ListBullet"/>
        <w:spacing w:after="60"/>
        <w:ind w:left="360" w:hanging="259"/>
      </w:pPr>
      <w:r>
        <w:t>End with a clear next step and the Oak &amp; Ember Interiors Sales Team signature.</w:t>
      </w:r>
    </w:p>
    <w:p>
      <w:pPr>
        <w:pStyle w:val="ListBullet"/>
        <w:spacing w:after="60"/>
        <w:ind w:left="360" w:hanging="259"/>
      </w:pPr>
      <w:r>
        <w:t>Produce a draft only. Sending through Gmail requires separate OAuth, recipient controls, logging, and human approval.</w:t>
      </w:r>
    </w:p>
    <w:p>
      <w:pPr>
        <w:pStyle w:val="Heading2"/>
      </w:pPr>
      <w:r>
        <w:t>Inquiry workflow considerations</w:t>
      </w:r>
    </w:p>
    <w:p>
      <w:pPr>
        <w:pStyle w:val="ListBullet"/>
        <w:spacing w:after="60"/>
        <w:ind w:left="360" w:hanging="259"/>
      </w:pPr>
      <w:r>
        <w:t>Catalog freshness: prices and stock are only as current as the uploaded CSV.</w:t>
      </w:r>
    </w:p>
    <w:p>
      <w:pPr>
        <w:pStyle w:val="ListBullet"/>
        <w:spacing w:after="60"/>
        <w:ind w:left="360" w:hanging="259"/>
      </w:pPr>
      <w:r>
        <w:t>Category matching: distinguish primary products from accessories; a desk mat must not be recommended as a desk.</w:t>
      </w:r>
    </w:p>
    <w:p>
      <w:pPr>
        <w:pStyle w:val="ListBullet"/>
        <w:spacing w:after="60"/>
        <w:ind w:left="360" w:hanging="259"/>
      </w:pPr>
      <w:r>
        <w:t>Array alignment: product IDs, names, prices, availability, and rationales must remain the same length and order.</w:t>
      </w:r>
    </w:p>
    <w:p>
      <w:pPr>
        <w:pStyle w:val="ListBullet"/>
        <w:spacing w:after="60"/>
        <w:ind w:left="360" w:hanging="259"/>
      </w:pPr>
      <w:r>
        <w:t>Budget interpretation: for quantity purchases, prefer per-unit budget when supplied and verify total cost where appropriate.</w:t>
      </w:r>
    </w:p>
    <w:p>
      <w:pPr>
        <w:pStyle w:val="ListBullet"/>
        <w:spacing w:after="60"/>
        <w:ind w:left="360" w:hanging="259"/>
      </w:pPr>
      <w:r>
        <w:t>Formatting: Markdown may appear in Chat Output; email connectors may require plain text or HTML conversion.</w:t>
      </w:r>
    </w:p>
    <w:p>
      <w:pPr>
        <w:pStyle w:val="ListBullet"/>
        <w:spacing w:after="60"/>
        <w:ind w:left="360" w:hanging="259"/>
      </w:pPr>
      <w:r>
        <w:t>Failure handling: if no product passes, ask whether requirements or budget are flexible and expose guard rejections for reviewers.</w:t>
      </w:r>
    </w:p>
    <w:p>
      <w:pPr>
        <w:pStyle w:val="ListBullet"/>
        <w:spacing w:after="60"/>
        <w:ind w:left="360" w:hanging="259"/>
      </w:pPr>
      <w:r>
        <w:t>Security: never store API keys inside exported Langflow JSON files.</w:t>
      </w:r>
    </w:p>
    <w:p>
      <w:pPr>
        <w:pStyle w:val="Heading2"/>
      </w:pPr>
      <w:r>
        <w:t>Recommended demo</w:t>
      </w:r>
    </w:p>
    <w:p>
      <w:r>
        <w:t>Use the standing-desk inquiry with an $800 budget and dark walnut preference. Show P002 and P003 retained, P004 rejected, and the finish limitation stated. Continue to the follow-up draft, then open the Catalog Guard and Follow-Up Draft Model observations in Langfuse to show exact inputs, outputs, cost, and latency.</w:t>
      </w:r>
    </w:p>
    <w:p>
      <w:r>
        <w:br w:type="page"/>
      </w:r>
    </w:p>
    <w:p>
      <w:pPr>
        <w:pStyle w:val="Heading1"/>
      </w:pPr>
      <w:r>
        <w:t>3. Weekly Sales Summary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tblHeader w:val="true"/>
        </w:trPr>
        <w:tc>
          <w:tcPr>
            <w:tcW w:type="dxa" w:w="9792"/>
            <w:shd w:fill="DDF3E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17A65"/>
              </w:rPr>
              <w:t xml:space="preserve">Purpose: </w:t>
            </w:r>
            <w:r>
              <w:rPr>
                <w:rFonts w:ascii="Aptos" w:hAnsi="Aptos"/>
                <w:color w:val="12263A"/>
              </w:rPr>
              <w:t>Convert a CRM lead export into deterministic weekly management metrics without an additional language-model call.</w:t>
            </w:r>
          </w:p>
        </w:tc>
      </w:tr>
    </w:tbl>
    <w:p>
      <w:pPr>
        <w:spacing w:after="0"/>
      </w:pPr>
    </w:p>
    <w:p>
      <w:pPr>
        <w:pStyle w:val="Heading2"/>
      </w:pPr>
      <w:r>
        <w:t>Primary uses</w:t>
      </w:r>
    </w:p>
    <w:p>
      <w:pPr>
        <w:pStyle w:val="ListBullet"/>
        <w:spacing w:after="60"/>
        <w:ind w:left="360" w:hanging="259"/>
      </w:pPr>
      <w:r>
        <w:t>Count all source leads.</w:t>
      </w:r>
    </w:p>
    <w:p>
      <w:pPr>
        <w:pStyle w:val="ListBullet"/>
        <w:spacing w:after="60"/>
        <w:ind w:left="360" w:hanging="259"/>
      </w:pPr>
      <w:r>
        <w:t>Summarize Hot, Warm, and Cold lead tiers.</w:t>
      </w:r>
    </w:p>
    <w:p>
      <w:pPr>
        <w:pStyle w:val="ListBullet"/>
        <w:spacing w:after="60"/>
        <w:ind w:left="360" w:hanging="259"/>
      </w:pPr>
      <w:r>
        <w:t>Group demand by normalized product category.</w:t>
      </w:r>
    </w:p>
    <w:p>
      <w:pPr>
        <w:pStyle w:val="ListBullet"/>
        <w:spacing w:after="60"/>
        <w:ind w:left="360" w:hanging="259"/>
      </w:pPr>
      <w:r>
        <w:t>Identify top categories.</w:t>
      </w:r>
    </w:p>
    <w:p>
      <w:pPr>
        <w:pStyle w:val="ListBullet"/>
        <w:spacing w:after="60"/>
        <w:ind w:left="360" w:hanging="259"/>
      </w:pPr>
      <w:r>
        <w:t>Calculate average budget using known positive budgets only.</w:t>
      </w:r>
    </w:p>
    <w:p>
      <w:pPr>
        <w:pStyle w:val="ListBullet"/>
        <w:spacing w:after="60"/>
        <w:ind w:left="360" w:hanging="259"/>
      </w:pPr>
      <w:r>
        <w:t>Report known and missing budget counts and preserve source lead IDs for traceability.</w:t>
      </w:r>
    </w:p>
    <w:p>
      <w:pPr>
        <w:pStyle w:val="Heading2"/>
      </w:pPr>
      <w:r>
        <w:t>Component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672"/>
        <w:gridCol w:w="3931"/>
      </w:tblGrid>
      <w:tr>
        <w:trPr>
          <w:tblHeader w:val="true"/>
        </w:trP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26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26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26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Important configuration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Read File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Loads `crm_export_sample.csv`.</w:t>
            </w:r>
          </w:p>
        </w:tc>
        <w:tc>
          <w:tcPr>
            <w:tcW w:type="dxa" w:w="39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Keep headers and all rows; validate encoding and delimiters.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Weekly Sales Aggregator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Parses and aggregates lead records deterministically.</w:t>
            </w:r>
          </w:p>
        </w:tc>
        <w:tc>
          <w:tcPr>
            <w:tcW w:type="dxa" w:w="39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Normalizes tiers/categories, ignores unknown budgets in the average, retains source IDs.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Chat Output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Displays the weekly summary as a message.</w:t>
            </w:r>
          </w:p>
        </w:tc>
        <w:tc>
          <w:tcPr>
            <w:tcW w:type="dxa" w:w="39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The outer Message wrapper may repeat text metadata; the inner summary JSON is the business output.</w:t>
            </w:r>
          </w:p>
        </w:tc>
      </w:tr>
    </w:tbl>
    <w:p>
      <w:pPr>
        <w:spacing w:after="20"/>
      </w:pPr>
    </w:p>
    <w:p>
      <w:pPr>
        <w:pStyle w:val="Heading2"/>
      </w:pPr>
      <w:r>
        <w:t>Connection order</w:t>
      </w:r>
    </w:p>
    <w:p>
      <w:pPr>
        <w:pStyle w:val="ListNumber"/>
        <w:spacing w:after="80"/>
        <w:ind w:left="461" w:hanging="288"/>
      </w:pPr>
      <w:r>
        <w:t>Read File output -&gt; Weekly Sales Aggregator input.</w:t>
      </w:r>
    </w:p>
    <w:p>
      <w:pPr>
        <w:pStyle w:val="ListNumber"/>
        <w:spacing w:after="80"/>
        <w:ind w:left="461" w:hanging="288"/>
      </w:pPr>
      <w:r>
        <w:t>Weekly Sales Aggregator `weekly_summary` message -&gt; Chat Output.</w:t>
      </w:r>
    </w:p>
    <w:p>
      <w:pPr>
        <w:pStyle w:val="ListNumber"/>
        <w:spacing w:after="80"/>
        <w:ind w:left="461" w:hanging="288"/>
      </w:pPr>
      <w:r>
        <w:t>Run the flow after refreshing the CRM export for the reporting period.</w:t>
      </w:r>
    </w:p>
    <w:p>
      <w:pPr>
        <w:pStyle w:val="Heading2"/>
      </w:pPr>
      <w:r>
        <w:t>Metric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5155"/>
        <w:gridCol w:w="2448"/>
      </w:tblGrid>
      <w:tr>
        <w:trPr>
          <w:tblHeader w:val="true"/>
        </w:trP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26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26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26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Current sample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Total leads</w:t>
            </w:r>
          </w:p>
        </w:tc>
        <w:tc>
          <w:tcPr>
            <w:tcW w:type="dxa" w:w="51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Number of valid lead rows processed.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7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Tier breakdown</w:t>
            </w:r>
          </w:p>
        </w:tc>
        <w:tc>
          <w:tcPr>
            <w:tcW w:type="dxa" w:w="51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Counts by normalized Hot, Warm, and Cold values.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Hot 4; Warm 2; Cold 1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Category breakdown</w:t>
            </w:r>
          </w:p>
        </w:tc>
        <w:tc>
          <w:tcPr>
            <w:tcW w:type="dxa" w:w="51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Count by normalized product category.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Chair 1; Desk 2; Full Office Package 2; Table 1; Unknown 1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Top categories</w:t>
            </w:r>
          </w:p>
        </w:tc>
        <w:tc>
          <w:tcPr>
            <w:tcW w:type="dxa" w:w="51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Category or categories tied for highest count.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Desk; Full Office Package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Average budget</w:t>
            </w:r>
          </w:p>
        </w:tc>
        <w:tc>
          <w:tcPr>
            <w:tcW w:type="dxa" w:w="51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Mean of known positive budgets only.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$18,960 across 5 known budgets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Missing budget count</w:t>
            </w:r>
          </w:p>
        </w:tc>
        <w:tc>
          <w:tcPr>
            <w:tcW w:type="dxa" w:w="51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Rows with blank, invalid, or non-positive budget.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2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Source lead IDs</w:t>
            </w:r>
          </w:p>
        </w:tc>
        <w:tc>
          <w:tcPr>
            <w:tcW w:type="dxa" w:w="51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IDs of included records for auditability.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L001-L007</w:t>
            </w:r>
          </w:p>
        </w:tc>
      </w:tr>
    </w:tbl>
    <w:p>
      <w:pPr>
        <w:spacing w:after="20"/>
      </w:pPr>
    </w:p>
    <w:p>
      <w:pPr>
        <w:pStyle w:val="Heading2"/>
      </w:pPr>
      <w:r>
        <w:t>Weekly summary workflow considerations</w:t>
      </w:r>
    </w:p>
    <w:p>
      <w:pPr>
        <w:pStyle w:val="ListBullet"/>
        <w:spacing w:after="60"/>
        <w:ind w:left="360" w:hanging="259"/>
      </w:pPr>
      <w:r>
        <w:t>Reporting window: ensure the CSV contains only the intended week or add date filtering before aggregation.</w:t>
      </w:r>
    </w:p>
    <w:p>
      <w:pPr>
        <w:pStyle w:val="ListBullet"/>
        <w:spacing w:after="60"/>
        <w:ind w:left="360" w:hanging="259"/>
      </w:pPr>
      <w:r>
        <w:t>Duplicate leads: define whether repeat inquiries should be deduplicated by lead ID, email, or opportunity.</w:t>
      </w:r>
    </w:p>
    <w:p>
      <w:pPr>
        <w:pStyle w:val="ListBullet"/>
        <w:spacing w:after="60"/>
        <w:ind w:left="360" w:hanging="259"/>
      </w:pPr>
      <w:r>
        <w:t>Budget units: do not mix total and per-unit budgets in a single average without a documented rule.</w:t>
      </w:r>
    </w:p>
    <w:p>
      <w:pPr>
        <w:pStyle w:val="ListBullet"/>
        <w:spacing w:after="60"/>
        <w:ind w:left="360" w:hanging="259"/>
      </w:pPr>
      <w:r>
        <w:t>Unknown categories: retain an Unknown bucket so unclassified demand remains visible.</w:t>
      </w:r>
    </w:p>
    <w:p>
      <w:pPr>
        <w:pStyle w:val="ListBullet"/>
        <w:spacing w:after="60"/>
        <w:ind w:left="360" w:hanging="259"/>
      </w:pPr>
      <w:r>
        <w:t>Zero versus missing: a zero transport default should normally count as missing, not as a real budget.</w:t>
      </w:r>
    </w:p>
    <w:p>
      <w:pPr>
        <w:pStyle w:val="ListBullet"/>
        <w:spacing w:after="60"/>
        <w:ind w:left="360" w:hanging="259"/>
      </w:pPr>
      <w:r>
        <w:t>Currency: the current sample assumes one currency; multi-region use requires currency and conversion rules.</w:t>
      </w:r>
    </w:p>
    <w:p>
      <w:pPr>
        <w:pStyle w:val="ListBullet"/>
        <w:spacing w:after="60"/>
        <w:ind w:left="360" w:hanging="259"/>
      </w:pPr>
      <w:r>
        <w:t>Reconciliation: compare total rows, source IDs, and breakdown sums before publishing the summary.</w:t>
      </w:r>
    </w:p>
    <w:p>
      <w:pPr>
        <w:pStyle w:val="Heading2"/>
      </w:pPr>
      <w:r>
        <w:t>Recommended demo</w:t>
      </w:r>
    </w:p>
    <w:p>
      <w:r>
        <w:t>Upload the CRM sample, run the flow, and open Chat Output. Explain the nested Message wrapper, then point to the business JSON under `text`: 7 leads, 4 Hot, 2 Warm, 1 Cold, top categories Desk and Full Office Package, and a $18,960 average across five known budgets.</w:t>
      </w:r>
    </w:p>
    <w:p>
      <w:r>
        <w:br w:type="page"/>
      </w:r>
    </w:p>
    <w:p>
      <w:pPr>
        <w:pStyle w:val="Heading1"/>
      </w:pPr>
      <w:r>
        <w:t>4. Shared implementation considerations</w:t>
      </w:r>
    </w:p>
    <w:p>
      <w:pPr>
        <w:pStyle w:val="Heading2"/>
      </w:pPr>
      <w:r>
        <w:t>Data contracts</w:t>
      </w:r>
    </w:p>
    <w:p>
      <w:pPr>
        <w:pStyle w:val="ListBullet"/>
        <w:spacing w:after="60"/>
        <w:ind w:left="360" w:hanging="259"/>
      </w:pPr>
      <w:r>
        <w:t>Treat the Structured Output schema as a versioned interface.</w:t>
      </w:r>
    </w:p>
    <w:p>
      <w:pPr>
        <w:pStyle w:val="ListBullet"/>
        <w:spacing w:after="60"/>
        <w:ind w:left="360" w:hanging="259"/>
      </w:pPr>
      <w:r>
        <w:t>Use consistent casing for message types, urgency, and lead tiers.</w:t>
      </w:r>
    </w:p>
    <w:p>
      <w:pPr>
        <w:pStyle w:val="ListBullet"/>
        <w:spacing w:after="60"/>
        <w:ind w:left="360" w:hanging="259"/>
      </w:pPr>
      <w:r>
        <w:t>Keep numeric fields numeric; do not pass currency symbols in numeric values.</w:t>
      </w:r>
    </w:p>
    <w:p>
      <w:pPr>
        <w:pStyle w:val="ListBullet"/>
        <w:spacing w:after="60"/>
        <w:ind w:left="360" w:hanging="259"/>
      </w:pPr>
      <w:r>
        <w:t>Keep missing information as a list of customer-facing field labels.</w:t>
      </w:r>
    </w:p>
    <w:p>
      <w:pPr>
        <w:pStyle w:val="ListBullet"/>
        <w:spacing w:after="60"/>
        <w:ind w:left="360" w:hanging="259"/>
      </w:pPr>
      <w:r>
        <w:t>Remove unused schema fields such as `default_value` from the custom business schema; framework Message objects may still display their own `default_value` metadata.</w:t>
      </w:r>
    </w:p>
    <w:p>
      <w:pPr>
        <w:pStyle w:val="Heading2"/>
      </w:pPr>
      <w:r>
        <w:t>Model and prompt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427"/>
        <w:gridCol w:w="4824"/>
      </w:tblGrid>
      <w:tr>
        <w:trPr>
          <w:tblHeader w:val="true"/>
        </w:trP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26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26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26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Model</w:t>
            </w:r>
          </w:p>
        </w:tc>
        <w:tc>
          <w:tcPr>
            <w:tcW w:type="dxa" w:w="3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gpt-4o-mini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Good balance of structured extraction quality, latency, and cost for the prototype.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Extraction temperature</w:t>
            </w:r>
          </w:p>
        </w:tc>
        <w:tc>
          <w:tcPr>
            <w:tcW w:type="dxa" w:w="3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0.0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Reduces variation in classification and structured fields.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Drafting temperature</w:t>
            </w:r>
          </w:p>
        </w:tc>
        <w:tc>
          <w:tcPr>
            <w:tcW w:type="dxa" w:w="3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About 0.2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Allows natural language variation while keeping facts stable.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System message</w:t>
            </w:r>
          </w:p>
        </w:tc>
        <w:tc>
          <w:tcPr>
            <w:tcW w:type="dxa" w:w="3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Separate durable policies from the customer's content.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Prevents customer text from overriding business rules.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Output schema</w:t>
            </w:r>
          </w:p>
        </w:tc>
        <w:tc>
          <w:tcPr>
            <w:tcW w:type="dxa" w:w="3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Use explicit descriptions and types.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Improves model compliance and downstream validation.</w:t>
            </w:r>
          </w:p>
        </w:tc>
      </w:tr>
    </w:tbl>
    <w:p>
      <w:pPr>
        <w:spacing w:after="20"/>
      </w:pPr>
    </w:p>
    <w:p>
      <w:pPr>
        <w:pStyle w:val="Heading2"/>
      </w:pPr>
      <w:r>
        <w:t>Observability and evaluation</w:t>
      </w:r>
    </w:p>
    <w:p>
      <w:pPr>
        <w:pStyle w:val="ListBullet"/>
        <w:spacing w:after="60"/>
        <w:ind w:left="360" w:hanging="259"/>
      </w:pPr>
      <w:r>
        <w:t>Use a stable Langfuse base URL matching the region where the project and API keys were created.</w:t>
      </w:r>
    </w:p>
    <w:p>
      <w:pPr>
        <w:pStyle w:val="ListBullet"/>
        <w:spacing w:after="60"/>
        <w:ind w:left="360" w:hanging="259"/>
      </w:pPr>
      <w:r>
        <w:t>Restart Langflow after changing environment variables.</w:t>
      </w:r>
    </w:p>
    <w:p>
      <w:pPr>
        <w:pStyle w:val="ListBullet"/>
        <w:spacing w:after="60"/>
        <w:ind w:left="360" w:hanging="259"/>
      </w:pPr>
      <w:r>
        <w:t>Verify that the trace contains Structured Output, Catalog Guard, follow-up model, and final output observations.</w:t>
      </w:r>
    </w:p>
    <w:p>
      <w:pPr>
        <w:pStyle w:val="ListBullet"/>
        <w:spacing w:after="60"/>
        <w:ind w:left="360" w:hanging="259"/>
      </w:pPr>
      <w:r>
        <w:t>Record latency, token count, and cost at model observations; custom deterministic components may correctly show near-zero cost.</w:t>
      </w:r>
    </w:p>
    <w:p>
      <w:pPr>
        <w:pStyle w:val="ListBullet"/>
        <w:spacing w:after="60"/>
        <w:ind w:left="360" w:hanging="259"/>
      </w:pPr>
      <w:r>
        <w:t>Apply `overall_pass` at the root trace for end-to-end quality; add component-level scores only when diagnosing a specific step.</w:t>
      </w:r>
    </w:p>
    <w:p>
      <w:pPr>
        <w:pStyle w:val="ListBullet"/>
        <w:spacing w:after="60"/>
        <w:ind w:left="360" w:hanging="259"/>
      </w:pPr>
      <w:r>
        <w:t>Do not judge success from one trace. Retain T1-T11 results and representative edge-case evidence.</w:t>
      </w:r>
    </w:p>
    <w:p>
      <w:pPr>
        <w:pStyle w:val="Heading2"/>
      </w:pPr>
      <w:r>
        <w:t>Security and privacy</w:t>
      </w:r>
    </w:p>
    <w:p>
      <w:pPr>
        <w:pStyle w:val="ListBullet"/>
        <w:spacing w:after="60"/>
        <w:ind w:left="360" w:hanging="259"/>
      </w:pPr>
      <w:r>
        <w:t>Store credentials in environment variables or Langflow secrets; never in prompts, screenshots, flow exports, or GitHub.</w:t>
      </w:r>
    </w:p>
    <w:p>
      <w:pPr>
        <w:pStyle w:val="ListBullet"/>
        <w:spacing w:after="60"/>
        <w:ind w:left="360" w:hanging="259"/>
      </w:pPr>
      <w:r>
        <w:t>Use synthetic evaluation data in public repositories.</w:t>
      </w:r>
    </w:p>
    <w:p>
      <w:pPr>
        <w:pStyle w:val="ListBullet"/>
        <w:spacing w:after="60"/>
        <w:ind w:left="360" w:hanging="259"/>
      </w:pPr>
      <w:r>
        <w:t>Redact customer emails and personal data before sharing traces.</w:t>
      </w:r>
    </w:p>
    <w:p>
      <w:pPr>
        <w:pStyle w:val="ListBullet"/>
        <w:spacing w:after="60"/>
        <w:ind w:left="360" w:hanging="259"/>
      </w:pPr>
      <w:r>
        <w:t>Require OAuth and least-privilege scopes before adding Gmail or CRM write actions.</w:t>
      </w:r>
    </w:p>
    <w:p>
      <w:pPr>
        <w:pStyle w:val="ListBullet"/>
        <w:spacing w:after="60"/>
        <w:ind w:left="360" w:hanging="259"/>
      </w:pPr>
      <w:r>
        <w:t>Log who approved and sent each follow-up draft.</w:t>
      </w:r>
    </w:p>
    <w:p>
      <w:pPr>
        <w:pStyle w:val="ListBullet"/>
        <w:spacing w:after="60"/>
        <w:ind w:left="360" w:hanging="259"/>
      </w:pPr>
      <w:r>
        <w:t>Define trace and lead-data retention periods before production use.</w:t>
      </w:r>
    </w:p>
    <w:p>
      <w:pPr>
        <w:pStyle w:val="Heading2"/>
      </w:pPr>
      <w:r>
        <w:t>Reliability and operations</w:t>
      </w:r>
    </w:p>
    <w:p>
      <w:pPr>
        <w:pStyle w:val="ListBullet"/>
        <w:spacing w:after="60"/>
        <w:ind w:left="360" w:hanging="259"/>
      </w:pPr>
      <w:r>
        <w:t>Display a helpful response when the catalog file is missing, empty, or malformed.</w:t>
      </w:r>
    </w:p>
    <w:p>
      <w:pPr>
        <w:pStyle w:val="ListBullet"/>
        <w:spacing w:after="60"/>
        <w:ind w:left="360" w:hanging="259"/>
      </w:pPr>
      <w:r>
        <w:t>Fail closed when catalog rows cannot be parsed; do not fall back to unvalidated recommendations.</w:t>
      </w:r>
    </w:p>
    <w:p>
      <w:pPr>
        <w:pStyle w:val="ListBullet"/>
        <w:spacing w:after="60"/>
        <w:ind w:left="360" w:hanging="259"/>
      </w:pPr>
      <w:r>
        <w:t>Version flow JSON, prompts, schemas, custom components, and test results together.</w:t>
      </w:r>
    </w:p>
    <w:p>
      <w:pPr>
        <w:pStyle w:val="ListBullet"/>
        <w:spacing w:after="60"/>
        <w:ind w:left="360" w:hanging="259"/>
      </w:pPr>
      <w:r>
        <w:t>Re-run baseline tests whenever the catalog, prompt, schema, or component code changes.</w:t>
      </w:r>
    </w:p>
    <w:p>
      <w:pPr>
        <w:pStyle w:val="ListBullet"/>
        <w:spacing w:after="60"/>
        <w:ind w:left="360" w:hanging="259"/>
      </w:pPr>
      <w:r>
        <w:t>Monitor model latency and cost separately from full flow duration.</w:t>
      </w:r>
    </w:p>
    <w:p>
      <w:pPr>
        <w:pStyle w:val="ListBullet"/>
        <w:spacing w:after="60"/>
        <w:ind w:left="360" w:hanging="259"/>
      </w:pPr>
      <w:r>
        <w:t>Use human review during the pilot and sample audits after scale-up.</w:t>
      </w:r>
    </w:p>
    <w:p>
      <w:r>
        <w:br w:type="page"/>
      </w:r>
    </w:p>
    <w:p>
      <w:pPr>
        <w:pStyle w:val="Heading1"/>
      </w:pPr>
      <w:r>
        <w:t>5. Demonstration plan</w:t>
      </w:r>
    </w:p>
    <w:p>
      <w:r>
        <w:t>A concise demonstration should prove the business story and the control design. The following sequence fits an approximately eight-to-ten-minute presentation.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3787"/>
        <w:gridCol w:w="5040"/>
      </w:tblGrid>
      <w:tr>
        <w:trPr>
          <w:tblHeader w:val="true"/>
        </w:trP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26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26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26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to show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0:00-1:00</w:t>
            </w:r>
          </w:p>
        </w:tc>
        <w:tc>
          <w:tcPr>
            <w:tcW w:type="dxa" w:w="37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Explain the business problem and the two-workflow architecture.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Presentation architecture slide or Langflow canvas.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1:00-2:30</w:t>
            </w:r>
          </w:p>
        </w:tc>
        <w:tc>
          <w:tcPr>
            <w:tcW w:type="dxa" w:w="37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>
              <w:t>Run the Inquiry Processing Workflow with a detailed standing-desk inquiry.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Structured message type, budget, interest, and tier.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2:30-4:30</w:t>
            </w:r>
          </w:p>
        </w:tc>
        <w:tc>
          <w:tcPr>
            <w:tcW w:type="dxa" w:w="37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Show the catalog validation and follow-up stages.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P002/P003 retained; P004 rejected; finish limitation; email draft.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4:30-5:30</w:t>
            </w:r>
          </w:p>
        </w:tc>
        <w:tc>
          <w:tcPr>
            <w:tcW w:type="dxa" w:w="37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Run a spam or out-of-stock edge case.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No recommendations or false availability claims.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5:30-6:30</w:t>
            </w:r>
          </w:p>
        </w:tc>
        <w:tc>
          <w:tcPr>
            <w:tcW w:type="dxa" w:w="37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Run the Weekly Summary Workflow.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Seven-lead summary and budget/category metrics.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6:30-8:00</w:t>
            </w:r>
          </w:p>
        </w:tc>
        <w:tc>
          <w:tcPr>
            <w:tcW w:type="dxa" w:w="37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Open Langfuse.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Trace tree, model, tokens, latency, cost, inputs/outputs, overall_pass score.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8:00-9:00</w:t>
            </w:r>
          </w:p>
        </w:tc>
        <w:tc>
          <w:tcPr>
            <w:tcW w:type="dxa" w:w="37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Close with guardrails and rollout.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Human review, secrets, pilot, evaluation loop.</w:t>
            </w:r>
          </w:p>
        </w:tc>
      </w:tr>
    </w:tbl>
    <w:p>
      <w:pPr>
        <w:spacing w:after="20"/>
      </w:pPr>
    </w:p>
    <w:p>
      <w:pPr>
        <w:pStyle w:val="Heading2"/>
      </w:pPr>
      <w:r>
        <w:t>Pre-submission checklist</w:t>
      </w:r>
    </w:p>
    <w:p>
      <w:pPr>
        <w:pStyle w:val="ListBullet"/>
        <w:spacing w:after="60"/>
        <w:ind w:left="360" w:hanging="259"/>
      </w:pPr>
      <w:r>
        <w:t>Both operational Langflow JSON files import successfully.</w:t>
      </w:r>
    </w:p>
    <w:p>
      <w:pPr>
        <w:pStyle w:val="ListBullet"/>
        <w:spacing w:after="60"/>
        <w:ind w:left="360" w:hanging="259"/>
      </w:pPr>
      <w:r>
        <w:t>Catalog and CRM sample files are included with clear paths.</w:t>
      </w:r>
    </w:p>
    <w:p>
      <w:pPr>
        <w:pStyle w:val="ListBullet"/>
        <w:spacing w:after="60"/>
        <w:ind w:left="360" w:hanging="259"/>
      </w:pPr>
      <w:r>
        <w:t>No OpenAI, Langfuse, Gmail, or GitHub credentials are committed.</w:t>
      </w:r>
    </w:p>
    <w:p>
      <w:pPr>
        <w:pStyle w:val="ListBullet"/>
        <w:spacing w:after="60"/>
        <w:ind w:left="360" w:hanging="259"/>
      </w:pPr>
      <w:r>
        <w:t>T1-T11 results are present and claims match retained evidence.</w:t>
      </w:r>
    </w:p>
    <w:p>
      <w:pPr>
        <w:pStyle w:val="ListBullet"/>
        <w:spacing w:after="60"/>
        <w:ind w:left="360" w:hanging="259"/>
      </w:pPr>
      <w:r>
        <w:t>Catalog Guard code parses the CSV and handles missing or malformed input.</w:t>
      </w:r>
    </w:p>
    <w:p>
      <w:pPr>
        <w:pStyle w:val="ListBullet"/>
        <w:spacing w:after="60"/>
        <w:ind w:left="360" w:hanging="259"/>
      </w:pPr>
      <w:r>
        <w:t>Follow-up output is explicitly draft-only.</w:t>
      </w:r>
    </w:p>
    <w:p>
      <w:pPr>
        <w:pStyle w:val="ListBullet"/>
        <w:spacing w:after="60"/>
        <w:ind w:left="360" w:hanging="259"/>
      </w:pPr>
      <w:r>
        <w:t>Langfuse screenshots show trace, model, input/output, usage, and manual score.</w:t>
      </w:r>
    </w:p>
    <w:p>
      <w:pPr>
        <w:pStyle w:val="ListBullet"/>
        <w:spacing w:after="60"/>
        <w:ind w:left="360" w:hanging="259"/>
      </w:pPr>
      <w:r>
        <w:t>BRD, PRD, workflow guide, and PowerPoint are included in `docs/` and `slides/`.</w:t>
      </w:r>
    </w:p>
    <w:p>
      <w:pPr>
        <w:pStyle w:val="ListBullet"/>
        <w:spacing w:after="60"/>
        <w:ind w:left="360" w:hanging="259"/>
      </w:pPr>
      <w:r>
        <w:t>README explains import, configuration, execution, and limitations.</w:t>
      </w:r>
    </w:p>
    <w:p>
      <w:r>
        <w:br w:type="page"/>
      </w:r>
    </w:p>
    <w:p>
      <w:pPr>
        <w:pStyle w:val="Heading1"/>
      </w:pPr>
      <w:r>
        <w:t>Appendix A - Structured record 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112"/>
        <w:gridCol w:w="3139"/>
      </w:tblGrid>
      <w:tr>
        <w:trPr>
          <w:tblHeader w:val="true"/>
        </w:trP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26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Field group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26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Fields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26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Recommendations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recommendation_product_ids, names, prices, availability, rationales</w:t>
            </w:r>
          </w:p>
        </w:tc>
        <w:tc>
          <w:tcPr>
            <w:tcW w:type="dxa" w:w="3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Parallel arrays rebuilt by the Catalog Guard.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Response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response_text, catalog_grounded, guard_rejections</w:t>
            </w:r>
          </w:p>
        </w:tc>
        <w:tc>
          <w:tcPr>
            <w:tcW w:type="dxa" w:w="3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Customer-safe result plus audit details.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Routing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message_type, classification_reason</w:t>
            </w:r>
          </w:p>
        </w:tc>
        <w:tc>
          <w:tcPr>
            <w:tcW w:type="dxa" w:w="3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Main intent and concise reason.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Identity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customer_name, email, company</w:t>
            </w:r>
          </w:p>
        </w:tc>
        <w:tc>
          <w:tcPr>
            <w:tcW w:type="dxa" w:w="3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Only explicit values; blank when absent.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Opportunity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product_interest, requirements, competitor_mentions</w:t>
            </w:r>
          </w:p>
        </w:tc>
        <w:tc>
          <w:tcPr>
            <w:tcW w:type="dxa" w:w="3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Lists support multiple values.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Commercial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budget_total, budget_per_unit, quantity</w:t>
            </w:r>
          </w:p>
        </w:tc>
        <w:tc>
          <w:tcPr>
            <w:tcW w:type="dxa" w:w="3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Numeric values; distinguish missing from real zero.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Timing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urgency, deadline_text</w:t>
            </w:r>
          </w:p>
        </w:tc>
        <w:tc>
          <w:tcPr>
            <w:tcW w:type="dxa" w:w="3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Use explicit deadlines where available.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Qualification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lead_tier, missing_information</w:t>
            </w:r>
          </w:p>
        </w:tc>
        <w:tc>
          <w:tcPr>
            <w:tcW w:type="dxa" w:w="3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Tier applies only to valid leads.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B - Baseline coverage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4392"/>
        <w:gridCol w:w="4867"/>
      </w:tblGrid>
      <w:tr>
        <w:trPr>
          <w:tblHeader w:val="true"/>
        </w:trP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26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26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26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control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T1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Standing desk under $800, dark walnut preference</w:t>
            </w:r>
          </w:p>
        </w:tc>
        <w:tc>
          <w:tcPr>
            <w:tcW w:type="dxa" w:w="48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Budget guard and unconfirmed-finish disclosure.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T2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Vague furniture inquiry</w:t>
            </w:r>
          </w:p>
        </w:tc>
        <w:tc>
          <w:tcPr>
            <w:tcW w:type="dxa" w:w="48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Cold lead; request type, budget, and quantity.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T3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Ten ergonomic chairs, $500 each, deadline</w:t>
            </w:r>
          </w:p>
        </w:tc>
        <w:tc>
          <w:tcPr>
            <w:tcW w:type="dxa" w:w="48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Quantity/per-unit budget/urgency extraction and grounded choices.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T4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Product finish question</w:t>
            </w:r>
          </w:p>
        </w:tc>
        <w:tc>
          <w:tcPr>
            <w:tcW w:type="dxa" w:w="48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Exact catalog answer; no forced tier.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T5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IKEA comparison</w:t>
            </w:r>
          </w:p>
        </w:tc>
        <w:tc>
          <w:tcPr>
            <w:tcW w:type="dxa" w:w="48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Competitor identified; no accessory false match.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T6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Something nice under $50</w:t>
            </w:r>
          </w:p>
        </w:tc>
        <w:tc>
          <w:tcPr>
            <w:tcW w:type="dxa" w:w="48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Only eligible low-cost in-stock product.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T7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Spam</w:t>
            </w:r>
          </w:p>
        </w:tc>
        <w:tc>
          <w:tcPr>
            <w:tcW w:type="dxa" w:w="48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No qualification, recommendation, or sales action.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T8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Conference table under $3,000</w:t>
            </w:r>
          </w:p>
        </w:tc>
        <w:tc>
          <w:tcPr>
            <w:tcW w:type="dxa" w:w="48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Eligible 12-person table; avoid invented person name.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T9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Minimal inquiry</w:t>
            </w:r>
          </w:p>
        </w:tc>
        <w:tc>
          <w:tcPr>
            <w:tcW w:type="dxa" w:w="48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Request missing details; no invented products.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T10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Out-of-stock question</w:t>
            </w:r>
          </w:p>
        </w:tc>
        <w:tc>
          <w:tcPr>
            <w:tcW w:type="dxa" w:w="48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Correct stock status; no restock-date invention.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T11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Weekly CRM summary</w:t>
            </w:r>
          </w:p>
        </w:tc>
        <w:tc>
          <w:tcPr>
            <w:tcW w:type="dxa" w:w="48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63A"/>
                <w:sz w:val="17"/>
              </w:rPr>
              <w:t>Counts, categories, budgets, and source IDs reconcile.</w:t>
            </w:r>
          </w:p>
        </w:tc>
      </w:tr>
    </w:tbl>
    <w:p>
      <w:pPr>
        <w:spacing w:after="20"/>
      </w:pPr>
    </w:p>
    <w:p>
      <w:pPr>
        <w:pStyle w:val="Heading2"/>
      </w:pPr>
      <w:r>
        <w:t>Source files</w:t>
      </w:r>
    </w:p>
    <w:p>
      <w:pPr>
        <w:pStyle w:val="ListBullet"/>
        <w:spacing w:after="60"/>
        <w:ind w:left="360" w:hanging="259"/>
      </w:pPr>
      <w:r>
        <w:t>langflow/02_catalog_recommender_followup.json</w:t>
      </w:r>
    </w:p>
    <w:p>
      <w:pPr>
        <w:pStyle w:val="ListBullet"/>
        <w:spacing w:after="60"/>
        <w:ind w:left="360" w:hanging="259"/>
      </w:pPr>
      <w:r>
        <w:t>langflow/03_weekly_summary.json</w:t>
      </w:r>
    </w:p>
    <w:p>
      <w:pPr>
        <w:pStyle w:val="ListBullet"/>
        <w:spacing w:after="60"/>
        <w:ind w:left="360" w:hanging="259"/>
      </w:pPr>
      <w:r>
        <w:t>langflow/catalog_guard_component.py</w:t>
      </w:r>
    </w:p>
    <w:p>
      <w:pPr>
        <w:pStyle w:val="ListBullet"/>
        <w:spacing w:after="60"/>
        <w:ind w:left="360" w:hanging="259"/>
      </w:pPr>
      <w:r>
        <w:t>langflow/weekly_aggregator_component.py</w:t>
      </w:r>
    </w:p>
    <w:p>
      <w:pPr>
        <w:pStyle w:val="ListBullet"/>
        <w:spacing w:after="60"/>
        <w:ind w:left="360" w:hanging="259"/>
      </w:pPr>
      <w:r>
        <w:t>evaluation/BASELINE_RESULTS.md and Langfuse evidence images</w:t>
      </w:r>
    </w:p>
    <w:p>
      <w:pPr>
        <w:pStyle w:val="ListBullet"/>
        <w:spacing w:after="60"/>
        <w:ind w:left="360" w:hanging="259"/>
      </w:pPr>
      <w:r>
        <w:t>docs/BRD_AI_SalesGenie.* and docs/PRD_AI_SalesGenie.*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ptos" w:hAnsi="Aptos"/>
        <w:b/>
        <w:color w:val="64748B"/>
        <w:sz w:val="16"/>
      </w:rPr>
      <w:t>AI SALESGENIE  |  WORKFLOW IMPLEMENTATION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1226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7A6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3267A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226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26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/>
      <w:b w:val="0"/>
      <w:i/>
      <w:iCs/>
      <w:color w:val="6474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40" w:after="180"/>
    </w:pPr>
    <w:rPr>
      <w:rFonts w:ascii="Aptos" w:hAnsi="Aptos"/>
      <w:b/>
      <w:color w:val="12263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SalesGenie - Three Workflow Implementation Guide</dc:title>
  <dc:subject>Langflow workflow purpose, components, considerations, testing, and demonstration</dc:subject>
  <dc:creator>Oak &amp; Ember Interiors - AI SalesGenie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