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
      </w:pPr>
      <w:r>
        <w:rPr>
          <w:rFonts w:ascii="Calibri" w:hAnsi="Calibri"/>
          <w:b/>
          <w:i w:val="0"/>
          <w:color w:val="111111"/>
          <w:sz w:val="48"/>
        </w:rPr>
        <w:t>PRODUCT REQUIREMENTS DOCUMENT</w:t>
      </w:r>
    </w:p>
    <w:p>
      <w:pPr>
        <w:spacing w:after="100"/>
      </w:pPr>
      <w:r>
        <w:rPr>
          <w:rFonts w:ascii="Calibri" w:hAnsi="Calibri"/>
          <w:b/>
          <w:i w:val="0"/>
          <w:color w:val="2E74B5"/>
          <w:sz w:val="38"/>
        </w:rPr>
        <w:t>AI SalesGenie</w:t>
      </w:r>
    </w:p>
    <w:p>
      <w:pPr>
        <w:spacing w:after="360"/>
      </w:pPr>
      <w:r>
        <w:rPr>
          <w:rFonts w:ascii="Calibri" w:hAnsi="Calibri"/>
          <w:b w:val="0"/>
          <w:i w:val="0"/>
          <w:color w:val="666666"/>
          <w:sz w:val="24"/>
        </w:rPr>
        <w:t>Functional and technical specification for the Langflow implementation</w:t>
      </w:r>
    </w:p>
    <w:tbl>
      <w:tblPr>
        <w:tblW w:type="auto" w:w="0"/>
        <w:jc w:val="left"/>
        <w:tblLayout w:type="fixed"/>
        <w:tblLook w:firstColumn="1" w:firstRow="1" w:lastColumn="0" w:lastRow="0" w:noHBand="0" w:noVBand="1" w:val="04A0"/>
      </w:tblPr>
      <w:tblGrid>
        <w:gridCol w:w="4824"/>
        <w:gridCol w:w="4824"/>
      </w:tblGrid>
      <w:tr>
        <w:tc>
          <w:tcPr>
            <w:tcW w:type="dxa" w:w="2160"/>
            <w:shd w:fill="E8EEF5"/>
            <w:vAlign w:val="center"/>
          </w:tcPr>
          <w:p>
            <w:pPr>
              <w:spacing w:after="0"/>
            </w:pPr>
            <w:r>
              <w:rPr>
                <w:rFonts w:ascii="Calibri" w:hAnsi="Calibri"/>
                <w:b/>
                <w:i w:val="0"/>
                <w:color w:val="1F4D78"/>
                <w:sz w:val="19"/>
              </w:rPr>
              <w:t>Organization</w:t>
            </w:r>
          </w:p>
        </w:tc>
        <w:tc>
          <w:tcPr>
            <w:tcW w:type="dxa" w:w="7200"/>
            <w:vAlign w:val="center"/>
          </w:tcPr>
          <w:p>
            <w:pPr>
              <w:spacing w:after="0"/>
            </w:pPr>
            <w:r>
              <w:rPr>
                <w:rFonts w:ascii="Calibri" w:hAnsi="Calibri"/>
                <w:b w:val="0"/>
                <w:i w:val="0"/>
                <w:color w:val="111111"/>
                <w:sz w:val="19"/>
              </w:rPr>
              <w:t>Oak &amp; Ember Interiors</w:t>
            </w:r>
          </w:p>
        </w:tc>
      </w:tr>
      <w:tr>
        <w:tc>
          <w:tcPr>
            <w:tcW w:type="dxa" w:w="2160"/>
            <w:shd w:fill="E8EEF5"/>
            <w:vAlign w:val="center"/>
          </w:tcPr>
          <w:p>
            <w:pPr>
              <w:spacing w:after="0"/>
            </w:pPr>
            <w:r>
              <w:rPr>
                <w:rFonts w:ascii="Calibri" w:hAnsi="Calibri"/>
                <w:b/>
                <w:i w:val="0"/>
                <w:color w:val="1F4D78"/>
                <w:sz w:val="19"/>
              </w:rPr>
              <w:t>Document owner</w:t>
            </w:r>
          </w:p>
        </w:tc>
        <w:tc>
          <w:tcPr>
            <w:tcW w:type="dxa" w:w="7200"/>
            <w:vAlign w:val="center"/>
          </w:tcPr>
          <w:p>
            <w:pPr>
              <w:spacing w:after="0"/>
            </w:pPr>
            <w:r>
              <w:rPr>
                <w:rFonts w:ascii="Calibri" w:hAnsi="Calibri"/>
                <w:b w:val="0"/>
                <w:i w:val="0"/>
                <w:color w:val="111111"/>
                <w:sz w:val="19"/>
              </w:rPr>
              <w:t>AI Product / Technical Program Management</w:t>
            </w:r>
          </w:p>
        </w:tc>
      </w:tr>
      <w:tr>
        <w:tc>
          <w:tcPr>
            <w:tcW w:type="dxa" w:w="2160"/>
            <w:shd w:fill="E8EEF5"/>
            <w:vAlign w:val="center"/>
          </w:tcPr>
          <w:p>
            <w:pPr>
              <w:spacing w:after="0"/>
            </w:pPr>
            <w:r>
              <w:rPr>
                <w:rFonts w:ascii="Calibri" w:hAnsi="Calibri"/>
                <w:b/>
                <w:i w:val="0"/>
                <w:color w:val="1F4D78"/>
                <w:sz w:val="19"/>
              </w:rPr>
              <w:t>Version</w:t>
            </w:r>
          </w:p>
        </w:tc>
        <w:tc>
          <w:tcPr>
            <w:tcW w:type="dxa" w:w="7200"/>
            <w:vAlign w:val="center"/>
          </w:tcPr>
          <w:p>
            <w:pPr>
              <w:spacing w:after="0"/>
            </w:pPr>
            <w:r>
              <w:rPr>
                <w:rFonts w:ascii="Calibri" w:hAnsi="Calibri"/>
                <w:b w:val="0"/>
                <w:i w:val="0"/>
                <w:color w:val="111111"/>
                <w:sz w:val="19"/>
              </w:rPr>
              <w:t>1.0</w:t>
            </w:r>
          </w:p>
        </w:tc>
      </w:tr>
      <w:tr>
        <w:tc>
          <w:tcPr>
            <w:tcW w:type="dxa" w:w="2160"/>
            <w:shd w:fill="E8EEF5"/>
            <w:vAlign w:val="center"/>
          </w:tcPr>
          <w:p>
            <w:pPr>
              <w:spacing w:after="0"/>
            </w:pPr>
            <w:r>
              <w:rPr>
                <w:rFonts w:ascii="Calibri" w:hAnsi="Calibri"/>
                <w:b/>
                <w:i w:val="0"/>
                <w:color w:val="1F4D78"/>
                <w:sz w:val="19"/>
              </w:rPr>
              <w:t>Date</w:t>
            </w:r>
          </w:p>
        </w:tc>
        <w:tc>
          <w:tcPr>
            <w:tcW w:type="dxa" w:w="7200"/>
            <w:vAlign w:val="center"/>
          </w:tcPr>
          <w:p>
            <w:pPr>
              <w:spacing w:after="0"/>
            </w:pPr>
            <w:r>
              <w:rPr>
                <w:rFonts w:ascii="Calibri" w:hAnsi="Calibri"/>
                <w:b w:val="0"/>
                <w:i w:val="0"/>
                <w:color w:val="111111"/>
                <w:sz w:val="19"/>
              </w:rPr>
              <w:t>September 4, 2026</w:t>
            </w:r>
          </w:p>
        </w:tc>
      </w:tr>
      <w:tr>
        <w:tc>
          <w:tcPr>
            <w:tcW w:type="dxa" w:w="2160"/>
            <w:shd w:fill="E8EEF5"/>
            <w:vAlign w:val="center"/>
          </w:tcPr>
          <w:p>
            <w:pPr>
              <w:spacing w:after="0"/>
            </w:pPr>
            <w:r>
              <w:rPr>
                <w:rFonts w:ascii="Calibri" w:hAnsi="Calibri"/>
                <w:b/>
                <w:i w:val="0"/>
                <w:color w:val="1F4D78"/>
                <w:sz w:val="19"/>
              </w:rPr>
              <w:t>Status</w:t>
            </w:r>
          </w:p>
        </w:tc>
        <w:tc>
          <w:tcPr>
            <w:tcW w:type="dxa" w:w="7200"/>
            <w:vAlign w:val="center"/>
          </w:tcPr>
          <w:p>
            <w:pPr>
              <w:spacing w:after="0"/>
            </w:pPr>
            <w:r>
              <w:rPr>
                <w:rFonts w:ascii="Calibri" w:hAnsi="Calibri"/>
                <w:b w:val="0"/>
                <w:i w:val="0"/>
                <w:color w:val="111111"/>
                <w:sz w:val="19"/>
              </w:rPr>
              <w:t>Final capstone submission</w:t>
            </w:r>
          </w:p>
        </w:tc>
      </w:tr>
    </w:tbl>
    <w:p/>
    <w:p>
      <w:pPr>
        <w:pStyle w:val="Heading1"/>
      </w:pPr>
      <w:r>
        <w:t>1. Product Overview</w:t>
      </w:r>
    </w:p>
    <w:p>
      <w:r>
        <w:rPr>
          <w:rFonts w:ascii="Calibri" w:hAnsi="Calibri"/>
          <w:b w:val="0"/>
          <w:i w:val="0"/>
          <w:color w:val="111111"/>
          <w:sz w:val="22"/>
        </w:rPr>
        <w:t>AI SalesGenie is a low-code, agentic sales assistant for Oak &amp; Ember Interiors. It processes inbound inquiry text through a router and structured extractor, grounds recommendations in a CSV catalog, validates proposed recommendations with deterministic Python logic, drafts a customer response, and separately summarizes CRM records. The implementation uses Langflow, OpenAI gpt-4o-mini, custom Python components, and Langfuse.</w:t>
      </w:r>
    </w:p>
    <w:p>
      <w:pPr>
        <w:pStyle w:val="Heading1"/>
      </w:pPr>
      <w:r>
        <w:t>2. Product Goals and Non-Goals</w:t>
      </w:r>
    </w:p>
    <w:p>
      <w:pPr>
        <w:pStyle w:val="Heading2"/>
      </w:pPr>
      <w:r>
        <w:t>2.1 Goals</w:t>
      </w:r>
    </w:p>
    <w:p>
      <w:pPr>
        <w:pStyle w:val="ListBullet"/>
        <w:spacing w:after="80"/>
        <w:ind w:left="720" w:hanging="360"/>
      </w:pPr>
      <w:r>
        <w:rPr>
          <w:rFonts w:ascii="Calibri" w:hAnsi="Calibri"/>
          <w:b w:val="0"/>
          <w:i w:val="0"/>
          <w:color w:val="111111"/>
          <w:sz w:val="22"/>
        </w:rPr>
        <w:t>Convert unstructured sales messages into consistent structured records.</w:t>
      </w:r>
    </w:p>
    <w:p>
      <w:pPr>
        <w:pStyle w:val="ListBullet"/>
        <w:spacing w:after="80"/>
        <w:ind w:left="720" w:hanging="360"/>
      </w:pPr>
      <w:r>
        <w:rPr>
          <w:rFonts w:ascii="Calibri" w:hAnsi="Calibri"/>
          <w:b w:val="0"/>
          <w:i w:val="0"/>
          <w:color w:val="111111"/>
          <w:sz w:val="22"/>
        </w:rPr>
        <w:t>Route inquiries safely and qualify only valid leads.</w:t>
      </w:r>
    </w:p>
    <w:p>
      <w:pPr>
        <w:pStyle w:val="ListBullet"/>
        <w:spacing w:after="80"/>
        <w:ind w:left="720" w:hanging="360"/>
      </w:pPr>
      <w:r>
        <w:rPr>
          <w:rFonts w:ascii="Calibri" w:hAnsi="Calibri"/>
          <w:b w:val="0"/>
          <w:i w:val="0"/>
          <w:color w:val="111111"/>
          <w:sz w:val="22"/>
        </w:rPr>
        <w:t>Return catalog-grounded and budget-compliant recommendations.</w:t>
      </w:r>
    </w:p>
    <w:p>
      <w:pPr>
        <w:pStyle w:val="ListBullet"/>
        <w:spacing w:after="80"/>
        <w:ind w:left="720" w:hanging="360"/>
      </w:pPr>
      <w:r>
        <w:rPr>
          <w:rFonts w:ascii="Calibri" w:hAnsi="Calibri"/>
          <w:b w:val="0"/>
          <w:i w:val="0"/>
          <w:color w:val="111111"/>
          <w:sz w:val="22"/>
        </w:rPr>
        <w:t>Draft useful follow-up emails with transparent limitations.</w:t>
      </w:r>
    </w:p>
    <w:p>
      <w:pPr>
        <w:pStyle w:val="ListBullet"/>
        <w:spacing w:after="80"/>
        <w:ind w:left="720" w:hanging="360"/>
      </w:pPr>
      <w:r>
        <w:rPr>
          <w:rFonts w:ascii="Calibri" w:hAnsi="Calibri"/>
          <w:b w:val="0"/>
          <w:i w:val="0"/>
          <w:color w:val="111111"/>
          <w:sz w:val="22"/>
        </w:rPr>
        <w:t>Produce deterministic weekly metrics from source CRM rows.</w:t>
      </w:r>
    </w:p>
    <w:p>
      <w:pPr>
        <w:pStyle w:val="ListBullet"/>
        <w:spacing w:after="80"/>
        <w:ind w:left="720" w:hanging="360"/>
      </w:pPr>
      <w:r>
        <w:rPr>
          <w:rFonts w:ascii="Calibri" w:hAnsi="Calibri"/>
          <w:b w:val="0"/>
          <w:i w:val="0"/>
          <w:color w:val="111111"/>
          <w:sz w:val="22"/>
        </w:rPr>
        <w:t>Make execution quality, latency, tokens, and cost observable.</w:t>
      </w:r>
    </w:p>
    <w:p>
      <w:pPr>
        <w:pStyle w:val="Heading2"/>
      </w:pPr>
      <w:r>
        <w:t>2.2 Non-goals</w:t>
      </w:r>
    </w:p>
    <w:p>
      <w:pPr>
        <w:pStyle w:val="ListBullet"/>
        <w:spacing w:after="80"/>
        <w:ind w:left="720" w:hanging="360"/>
      </w:pPr>
      <w:r>
        <w:rPr>
          <w:rFonts w:ascii="Calibri" w:hAnsi="Calibri"/>
          <w:b w:val="0"/>
          <w:i w:val="0"/>
          <w:color w:val="111111"/>
          <w:sz w:val="22"/>
        </w:rPr>
        <w:t>Direct production email delivery or autonomous CRM mutation.</w:t>
      </w:r>
    </w:p>
    <w:p>
      <w:pPr>
        <w:pStyle w:val="ListBullet"/>
        <w:spacing w:after="80"/>
        <w:ind w:left="720" w:hanging="360"/>
      </w:pPr>
      <w:r>
        <w:rPr>
          <w:rFonts w:ascii="Calibri" w:hAnsi="Calibri"/>
          <w:b w:val="0"/>
          <w:i w:val="0"/>
          <w:color w:val="111111"/>
          <w:sz w:val="22"/>
        </w:rPr>
        <w:t>Order management, inventory reservation, payment, or fulfillment.</w:t>
      </w:r>
    </w:p>
    <w:p>
      <w:pPr>
        <w:pStyle w:val="ListBullet"/>
        <w:spacing w:after="80"/>
        <w:ind w:left="720" w:hanging="360"/>
      </w:pPr>
      <w:r>
        <w:rPr>
          <w:rFonts w:ascii="Calibri" w:hAnsi="Calibri"/>
          <w:b w:val="0"/>
          <w:i w:val="0"/>
          <w:color w:val="111111"/>
          <w:sz w:val="22"/>
        </w:rPr>
        <w:t>Open-web product research or unsupported competitor claims.</w:t>
      </w:r>
    </w:p>
    <w:p>
      <w:pPr>
        <w:pStyle w:val="ListBullet"/>
        <w:spacing w:after="80"/>
        <w:ind w:left="720" w:hanging="360"/>
      </w:pPr>
      <w:r>
        <w:rPr>
          <w:rFonts w:ascii="Calibri" w:hAnsi="Calibri"/>
          <w:b w:val="0"/>
          <w:i w:val="0"/>
          <w:color w:val="111111"/>
          <w:sz w:val="22"/>
        </w:rPr>
        <w:t>Fine-tuning or production-scale retrieval infrastructure in the initial release.</w:t>
      </w:r>
    </w:p>
    <w:p>
      <w:pPr>
        <w:pStyle w:val="Heading1"/>
      </w:pPr>
      <w:r>
        <w:t>3. Users and Key Journeys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200"/>
            <w:shd w:fill="1F4D78"/>
          </w:tcPr>
          <w:p>
            <w:pPr>
              <w:spacing w:after="0"/>
            </w:pPr>
            <w:r>
              <w:rPr>
                <w:rFonts w:ascii="Calibri" w:hAnsi="Calibri"/>
                <w:b/>
                <w:i w:val="0"/>
                <w:color w:val="FFFFFF"/>
                <w:sz w:val="18"/>
              </w:rPr>
              <w:t>Persona</w:t>
            </w:r>
          </w:p>
        </w:tc>
        <w:tc>
          <w:tcPr>
            <w:tcW w:type="dxa" w:w="3300"/>
            <w:shd w:fill="1F4D78"/>
          </w:tcPr>
          <w:p>
            <w:pPr>
              <w:spacing w:after="0"/>
            </w:pPr>
            <w:r>
              <w:rPr>
                <w:rFonts w:ascii="Calibri" w:hAnsi="Calibri"/>
                <w:b/>
                <w:i w:val="0"/>
                <w:color w:val="FFFFFF"/>
                <w:sz w:val="18"/>
              </w:rPr>
              <w:t>Need</w:t>
            </w:r>
          </w:p>
        </w:tc>
        <w:tc>
          <w:tcPr>
            <w:tcW w:type="dxa" w:w="3860"/>
            <w:shd w:fill="1F4D78"/>
          </w:tcPr>
          <w:p>
            <w:pPr>
              <w:spacing w:after="0"/>
            </w:pPr>
            <w:r>
              <w:rPr>
                <w:rFonts w:ascii="Calibri" w:hAnsi="Calibri"/>
                <w:b/>
                <w:i w:val="0"/>
                <w:color w:val="FFFFFF"/>
                <w:sz w:val="18"/>
              </w:rPr>
              <w:t>Primary journey</w:t>
            </w:r>
          </w:p>
        </w:tc>
      </w:tr>
      <w:tr>
        <w:tc>
          <w:tcPr>
            <w:tcW w:type="dxa" w:w="2200"/>
            <w:vAlign w:val="top"/>
          </w:tcPr>
          <w:p>
            <w:pPr>
              <w:spacing w:after="0"/>
            </w:pPr>
            <w:r>
              <w:rPr>
                <w:rFonts w:ascii="Calibri" w:hAnsi="Calibri"/>
                <w:b w:val="0"/>
                <w:i w:val="0"/>
                <w:color w:val="111111"/>
                <w:sz w:val="17"/>
              </w:rPr>
              <w:t>Sales representative</w:t>
            </w:r>
          </w:p>
        </w:tc>
        <w:tc>
          <w:tcPr>
            <w:tcW w:type="dxa" w:w="3300"/>
            <w:vAlign w:val="top"/>
          </w:tcPr>
          <w:p>
            <w:pPr>
              <w:spacing w:after="0"/>
            </w:pPr>
            <w:r>
              <w:rPr>
                <w:rFonts w:ascii="Calibri" w:hAnsi="Calibri"/>
                <w:b w:val="0"/>
                <w:i w:val="0"/>
                <w:color w:val="111111"/>
                <w:sz w:val="17"/>
              </w:rPr>
              <w:t>Quickly understand and respond to inquiries</w:t>
            </w:r>
          </w:p>
        </w:tc>
        <w:tc>
          <w:tcPr>
            <w:tcW w:type="dxa" w:w="3860"/>
            <w:vAlign w:val="top"/>
          </w:tcPr>
          <w:p>
            <w:pPr>
              <w:spacing w:after="0"/>
            </w:pPr>
            <w:r>
              <w:rPr>
                <w:rFonts w:ascii="Calibri" w:hAnsi="Calibri"/>
                <w:b w:val="0"/>
                <w:i w:val="0"/>
                <w:color w:val="111111"/>
                <w:sz w:val="17"/>
              </w:rPr>
              <w:t>Submit message, review qualification/recommendations, approve draft</w:t>
            </w:r>
          </w:p>
        </w:tc>
      </w:tr>
      <w:tr>
        <w:tc>
          <w:tcPr>
            <w:tcW w:type="dxa" w:w="2200"/>
            <w:vAlign w:val="top"/>
          </w:tcPr>
          <w:p>
            <w:pPr>
              <w:spacing w:after="0"/>
            </w:pPr>
            <w:r>
              <w:rPr>
                <w:rFonts w:ascii="Calibri" w:hAnsi="Calibri"/>
                <w:b w:val="0"/>
                <w:i w:val="0"/>
                <w:color w:val="111111"/>
                <w:sz w:val="17"/>
              </w:rPr>
              <w:t>Sales manager</w:t>
            </w:r>
          </w:p>
        </w:tc>
        <w:tc>
          <w:tcPr>
            <w:tcW w:type="dxa" w:w="3300"/>
            <w:vAlign w:val="top"/>
          </w:tcPr>
          <w:p>
            <w:pPr>
              <w:spacing w:after="0"/>
            </w:pPr>
            <w:r>
              <w:rPr>
                <w:rFonts w:ascii="Calibri" w:hAnsi="Calibri"/>
                <w:b w:val="0"/>
                <w:i w:val="0"/>
                <w:color w:val="111111"/>
                <w:sz w:val="17"/>
              </w:rPr>
              <w:t>Consistent pipeline insight</w:t>
            </w:r>
          </w:p>
        </w:tc>
        <w:tc>
          <w:tcPr>
            <w:tcW w:type="dxa" w:w="3860"/>
            <w:vAlign w:val="top"/>
          </w:tcPr>
          <w:p>
            <w:pPr>
              <w:spacing w:after="0"/>
            </w:pPr>
            <w:r>
              <w:rPr>
                <w:rFonts w:ascii="Calibri" w:hAnsi="Calibri"/>
                <w:b w:val="0"/>
                <w:i w:val="0"/>
                <w:color w:val="111111"/>
                <w:sz w:val="17"/>
              </w:rPr>
              <w:t>Review weekly summary and quality/cost metrics</w:t>
            </w:r>
          </w:p>
        </w:tc>
      </w:tr>
      <w:tr>
        <w:tc>
          <w:tcPr>
            <w:tcW w:type="dxa" w:w="2200"/>
            <w:vAlign w:val="top"/>
          </w:tcPr>
          <w:p>
            <w:pPr>
              <w:spacing w:after="0"/>
            </w:pPr>
            <w:r>
              <w:rPr>
                <w:rFonts w:ascii="Calibri" w:hAnsi="Calibri"/>
                <w:b w:val="0"/>
                <w:i w:val="0"/>
                <w:color w:val="111111"/>
                <w:sz w:val="17"/>
              </w:rPr>
              <w:t>Sales operations</w:t>
            </w:r>
          </w:p>
        </w:tc>
        <w:tc>
          <w:tcPr>
            <w:tcW w:type="dxa" w:w="3300"/>
            <w:vAlign w:val="top"/>
          </w:tcPr>
          <w:p>
            <w:pPr>
              <w:spacing w:after="0"/>
            </w:pPr>
            <w:r>
              <w:rPr>
                <w:rFonts w:ascii="Calibri" w:hAnsi="Calibri"/>
                <w:b w:val="0"/>
                <w:i w:val="0"/>
                <w:color w:val="111111"/>
                <w:sz w:val="17"/>
              </w:rPr>
              <w:t>Structured and traceable records</w:t>
            </w:r>
          </w:p>
        </w:tc>
        <w:tc>
          <w:tcPr>
            <w:tcW w:type="dxa" w:w="3860"/>
            <w:vAlign w:val="top"/>
          </w:tcPr>
          <w:p>
            <w:pPr>
              <w:spacing w:after="0"/>
            </w:pPr>
            <w:r>
              <w:rPr>
                <w:rFonts w:ascii="Calibri" w:hAnsi="Calibri"/>
                <w:b w:val="0"/>
                <w:i w:val="0"/>
                <w:color w:val="111111"/>
                <w:sz w:val="17"/>
              </w:rPr>
              <w:t>Validate schemas, exports, and source traceability</w:t>
            </w:r>
          </w:p>
        </w:tc>
      </w:tr>
      <w:tr>
        <w:tc>
          <w:tcPr>
            <w:tcW w:type="dxa" w:w="2200"/>
            <w:vAlign w:val="top"/>
          </w:tcPr>
          <w:p>
            <w:pPr>
              <w:spacing w:after="0"/>
            </w:pPr>
            <w:r>
              <w:rPr>
                <w:rFonts w:ascii="Calibri" w:hAnsi="Calibri"/>
                <w:b w:val="0"/>
                <w:i w:val="0"/>
                <w:color w:val="111111"/>
                <w:sz w:val="17"/>
              </w:rPr>
              <w:t>AI PM/TPM</w:t>
            </w:r>
          </w:p>
        </w:tc>
        <w:tc>
          <w:tcPr>
            <w:tcW w:type="dxa" w:w="3300"/>
            <w:vAlign w:val="top"/>
          </w:tcPr>
          <w:p>
            <w:pPr>
              <w:spacing w:after="0"/>
            </w:pPr>
            <w:r>
              <w:rPr>
                <w:rFonts w:ascii="Calibri" w:hAnsi="Calibri"/>
                <w:b w:val="0"/>
                <w:i w:val="0"/>
                <w:color w:val="111111"/>
                <w:sz w:val="17"/>
              </w:rPr>
              <w:t>Reliable and governable workflow</w:t>
            </w:r>
          </w:p>
        </w:tc>
        <w:tc>
          <w:tcPr>
            <w:tcW w:type="dxa" w:w="3860"/>
            <w:vAlign w:val="top"/>
          </w:tcPr>
          <w:p>
            <w:pPr>
              <w:spacing w:after="0"/>
            </w:pPr>
            <w:r>
              <w:rPr>
                <w:rFonts w:ascii="Calibri" w:hAnsi="Calibri"/>
                <w:b w:val="0"/>
                <w:i w:val="0"/>
                <w:color w:val="111111"/>
                <w:sz w:val="17"/>
              </w:rPr>
              <w:t>Evaluate traces, scores, failures, cost, and regressions</w:t>
            </w:r>
          </w:p>
        </w:tc>
      </w:tr>
    </w:tbl>
    <w:p>
      <w:pPr>
        <w:spacing w:after="20"/>
      </w:pPr>
    </w:p>
    <w:p>
      <w:pPr>
        <w:pStyle w:val="Heading1"/>
      </w:pPr>
      <w:r>
        <w:t>4. Architecture and Orchestration</w:t>
      </w:r>
    </w:p>
    <w:p>
      <w:r>
        <w:rPr>
          <w:rFonts w:ascii="Calibri" w:hAnsi="Calibri"/>
          <w:b w:val="0"/>
          <w:i w:val="0"/>
          <w:color w:val="111111"/>
          <w:sz w:val="22"/>
        </w:rPr>
        <w:t>The product uses a sequential pipeline with routing decisions embedded at the extraction stage. Every customer message follows a predictable path, while non-sales routes receive deterministic handling. Weekly aggregation runs as a separate flow because it uses batch CRM records rather than a single inquiry.</w:t>
      </w:r>
    </w:p>
    <w:p>
      <w:pPr>
        <w:pStyle w:val="ListNumber"/>
        <w:spacing w:after="80"/>
        <w:ind w:left="720" w:hanging="360"/>
      </w:pPr>
      <w:r>
        <w:rPr>
          <w:rFonts w:ascii="Calibri" w:hAnsi="Calibri"/>
          <w:b w:val="0"/>
          <w:i w:val="0"/>
          <w:color w:val="111111"/>
          <w:sz w:val="22"/>
        </w:rPr>
        <w:t>Chat Input captures the inquiry.</w:t>
      </w:r>
    </w:p>
    <w:p>
      <w:pPr>
        <w:pStyle w:val="ListNumber"/>
        <w:spacing w:after="80"/>
        <w:ind w:left="720" w:hanging="360"/>
      </w:pPr>
      <w:r>
        <w:rPr>
          <w:rFonts w:ascii="Calibri" w:hAnsi="Calibri"/>
          <w:b w:val="0"/>
          <w:i w:val="0"/>
          <w:color w:val="111111"/>
          <w:sz w:val="22"/>
        </w:rPr>
        <w:t>Prompt Template combines routing/extraction rules, catalog context, and inbound text.</w:t>
      </w:r>
    </w:p>
    <w:p>
      <w:pPr>
        <w:pStyle w:val="ListNumber"/>
        <w:spacing w:after="80"/>
        <w:ind w:left="720" w:hanging="360"/>
      </w:pPr>
      <w:r>
        <w:rPr>
          <w:rFonts w:ascii="Calibri" w:hAnsi="Calibri"/>
          <w:b w:val="0"/>
          <w:i w:val="0"/>
          <w:color w:val="111111"/>
          <w:sz w:val="22"/>
        </w:rPr>
        <w:t>Structured Output uses gpt-4o-mini at temperature 0 to produce the typed record.</w:t>
      </w:r>
    </w:p>
    <w:p>
      <w:pPr>
        <w:pStyle w:val="ListNumber"/>
        <w:spacing w:after="80"/>
        <w:ind w:left="720" w:hanging="360"/>
      </w:pPr>
      <w:r>
        <w:rPr>
          <w:rFonts w:ascii="Calibri" w:hAnsi="Calibri"/>
          <w:b w:val="0"/>
          <w:i w:val="0"/>
          <w:color w:val="111111"/>
          <w:sz w:val="22"/>
        </w:rPr>
        <w:t>Catalog Guard validates the result against raw CSV, enforces budget and stock rules, and rebuilds factual claims.</w:t>
      </w:r>
    </w:p>
    <w:p>
      <w:pPr>
        <w:pStyle w:val="ListNumber"/>
        <w:spacing w:after="80"/>
        <w:ind w:left="720" w:hanging="360"/>
      </w:pPr>
      <w:r>
        <w:rPr>
          <w:rFonts w:ascii="Calibri" w:hAnsi="Calibri"/>
          <w:b w:val="0"/>
          <w:i w:val="0"/>
          <w:color w:val="111111"/>
          <w:sz w:val="22"/>
        </w:rPr>
        <w:t>Follow-Up Email Prompt combines the validated record with the original inquiry.</w:t>
      </w:r>
    </w:p>
    <w:p>
      <w:pPr>
        <w:pStyle w:val="ListNumber"/>
        <w:spacing w:after="80"/>
        <w:ind w:left="720" w:hanging="360"/>
      </w:pPr>
      <w:r>
        <w:rPr>
          <w:rFonts w:ascii="Calibri" w:hAnsi="Calibri"/>
          <w:b w:val="0"/>
          <w:i w:val="0"/>
          <w:color w:val="111111"/>
          <w:sz w:val="22"/>
        </w:rPr>
        <w:t>Follow-Up Draft Model uses gpt-4o-mini at temperature 0.2 to produce a draft-only response.</w:t>
      </w:r>
    </w:p>
    <w:p>
      <w:pPr>
        <w:pStyle w:val="ListNumber"/>
        <w:spacing w:after="80"/>
        <w:ind w:left="720" w:hanging="360"/>
      </w:pPr>
      <w:r>
        <w:rPr>
          <w:rFonts w:ascii="Calibri" w:hAnsi="Calibri"/>
          <w:b w:val="0"/>
          <w:i w:val="0"/>
          <w:color w:val="111111"/>
          <w:sz w:val="22"/>
        </w:rPr>
        <w:t>Chat Output displays the result.</w:t>
      </w:r>
    </w:p>
    <w:p>
      <w:pPr>
        <w:pStyle w:val="ListNumber"/>
        <w:spacing w:after="80"/>
        <w:ind w:left="720" w:hanging="360"/>
      </w:pPr>
      <w:r>
        <w:rPr>
          <w:rFonts w:ascii="Calibri" w:hAnsi="Calibri"/>
          <w:b w:val="0"/>
          <w:i w:val="0"/>
          <w:color w:val="111111"/>
          <w:sz w:val="22"/>
        </w:rPr>
        <w:t>The separate Weekly Sales Aggregator calculates deterministic summary statistics from CRM CSV rows.</w:t>
      </w:r>
    </w:p>
    <w:p>
      <w:pPr>
        <w:pStyle w:val="Heading1"/>
      </w:pPr>
      <w:r>
        <w:t>5. Functional Requirements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900"/>
            <w:shd w:fill="1F4D78"/>
          </w:tcPr>
          <w:p>
            <w:pPr>
              <w:spacing w:after="0"/>
            </w:pPr>
            <w:r>
              <w:rPr>
                <w:rFonts w:ascii="Calibri" w:hAnsi="Calibri"/>
                <w:b/>
                <w:i w:val="0"/>
                <w:color w:val="FFFFFF"/>
                <w:sz w:val="18"/>
              </w:rPr>
              <w:t>ID</w:t>
            </w:r>
          </w:p>
        </w:tc>
        <w:tc>
          <w:tcPr>
            <w:tcW w:type="dxa" w:w="6000"/>
            <w:shd w:fill="1F4D78"/>
          </w:tcPr>
          <w:p>
            <w:pPr>
              <w:spacing w:after="0"/>
            </w:pPr>
            <w:r>
              <w:rPr>
                <w:rFonts w:ascii="Calibri" w:hAnsi="Calibri"/>
                <w:b/>
                <w:i w:val="0"/>
                <w:color w:val="FFFFFF"/>
                <w:sz w:val="18"/>
              </w:rPr>
              <w:t>Requirement</w:t>
            </w:r>
          </w:p>
        </w:tc>
        <w:tc>
          <w:tcPr>
            <w:tcW w:type="dxa" w:w="2460"/>
            <w:shd w:fill="1F4D78"/>
          </w:tcPr>
          <w:p>
            <w:pPr>
              <w:spacing w:after="0"/>
            </w:pPr>
            <w:r>
              <w:rPr>
                <w:rFonts w:ascii="Calibri" w:hAnsi="Calibri"/>
                <w:b/>
                <w:i w:val="0"/>
                <w:color w:val="FFFFFF"/>
                <w:sz w:val="18"/>
              </w:rPr>
              <w:t>Acceptance evidence</w:t>
            </w:r>
          </w:p>
        </w:tc>
      </w:tr>
      <w:tr>
        <w:tc>
          <w:tcPr>
            <w:tcW w:type="dxa" w:w="900"/>
            <w:vAlign w:val="top"/>
          </w:tcPr>
          <w:p>
            <w:pPr>
              <w:spacing w:after="0"/>
            </w:pPr>
            <w:r>
              <w:rPr>
                <w:rFonts w:ascii="Calibri" w:hAnsi="Calibri"/>
                <w:b w:val="0"/>
                <w:i w:val="0"/>
                <w:color w:val="111111"/>
                <w:sz w:val="17"/>
              </w:rPr>
              <w:t>FR-01</w:t>
            </w:r>
          </w:p>
        </w:tc>
        <w:tc>
          <w:tcPr>
            <w:tcW w:type="dxa" w:w="6000"/>
            <w:vAlign w:val="top"/>
          </w:tcPr>
          <w:p>
            <w:pPr>
              <w:spacing w:after="0"/>
            </w:pPr>
            <w:r>
              <w:rPr>
                <w:rFonts w:ascii="Calibri" w:hAnsi="Calibri"/>
                <w:b w:val="0"/>
                <w:i w:val="0"/>
                <w:color w:val="111111"/>
                <w:sz w:val="17"/>
              </w:rPr>
              <w:t>Accept inquiry text through Langflow Chat Input.</w:t>
            </w:r>
          </w:p>
        </w:tc>
        <w:tc>
          <w:tcPr>
            <w:tcW w:type="dxa" w:w="2460"/>
            <w:vAlign w:val="top"/>
          </w:tcPr>
          <w:p>
            <w:pPr>
              <w:spacing w:after="0"/>
            </w:pPr>
            <w:r>
              <w:rPr>
                <w:rFonts w:ascii="Calibri" w:hAnsi="Calibri"/>
                <w:b w:val="0"/>
                <w:i w:val="0"/>
                <w:color w:val="111111"/>
                <w:sz w:val="17"/>
              </w:rPr>
              <w:t>All inquiry tests</w:t>
            </w:r>
          </w:p>
        </w:tc>
      </w:tr>
      <w:tr>
        <w:tc>
          <w:tcPr>
            <w:tcW w:type="dxa" w:w="900"/>
            <w:vAlign w:val="top"/>
          </w:tcPr>
          <w:p>
            <w:pPr>
              <w:spacing w:after="0"/>
            </w:pPr>
            <w:r>
              <w:rPr>
                <w:rFonts w:ascii="Calibri" w:hAnsi="Calibri"/>
                <w:b w:val="0"/>
                <w:i w:val="0"/>
                <w:color w:val="111111"/>
                <w:sz w:val="17"/>
              </w:rPr>
              <w:t>FR-02</w:t>
            </w:r>
          </w:p>
        </w:tc>
        <w:tc>
          <w:tcPr>
            <w:tcW w:type="dxa" w:w="6000"/>
            <w:vAlign w:val="top"/>
          </w:tcPr>
          <w:p>
            <w:pPr>
              <w:spacing w:after="0"/>
            </w:pPr>
            <w:r>
              <w:rPr>
                <w:rFonts w:ascii="Calibri" w:hAnsi="Calibri"/>
                <w:b w:val="0"/>
                <w:i w:val="0"/>
                <w:color w:val="111111"/>
                <w:sz w:val="17"/>
              </w:rPr>
              <w:t>Classify message_type as sales inquiry, product question, stock question, competitor comparison, complaint, spam, or weekly-summary request.</w:t>
            </w:r>
          </w:p>
        </w:tc>
        <w:tc>
          <w:tcPr>
            <w:tcW w:type="dxa" w:w="2460"/>
            <w:vAlign w:val="top"/>
          </w:tcPr>
          <w:p>
            <w:pPr>
              <w:spacing w:after="0"/>
            </w:pPr>
            <w:r>
              <w:rPr>
                <w:rFonts w:ascii="Calibri" w:hAnsi="Calibri"/>
                <w:b w:val="0"/>
                <w:i w:val="0"/>
                <w:color w:val="111111"/>
                <w:sz w:val="17"/>
              </w:rPr>
              <w:t>T1-T11 routing expectations</w:t>
            </w:r>
          </w:p>
        </w:tc>
      </w:tr>
      <w:tr>
        <w:tc>
          <w:tcPr>
            <w:tcW w:type="dxa" w:w="900"/>
            <w:vAlign w:val="top"/>
          </w:tcPr>
          <w:p>
            <w:pPr>
              <w:spacing w:after="0"/>
            </w:pPr>
            <w:r>
              <w:rPr>
                <w:rFonts w:ascii="Calibri" w:hAnsi="Calibri"/>
                <w:b w:val="0"/>
                <w:i w:val="0"/>
                <w:color w:val="111111"/>
                <w:sz w:val="17"/>
              </w:rPr>
              <w:t>FR-03</w:t>
            </w:r>
          </w:p>
        </w:tc>
        <w:tc>
          <w:tcPr>
            <w:tcW w:type="dxa" w:w="6000"/>
            <w:vAlign w:val="top"/>
          </w:tcPr>
          <w:p>
            <w:pPr>
              <w:spacing w:after="0"/>
            </w:pPr>
            <w:r>
              <w:rPr>
                <w:rFonts w:ascii="Calibri" w:hAnsi="Calibri"/>
                <w:b w:val="0"/>
                <w:i w:val="0"/>
                <w:color w:val="111111"/>
                <w:sz w:val="17"/>
              </w:rPr>
              <w:t>Extract customer name, email, company, product interest, budgets, quantity, urgency, deadline, requirements, and competitor mentions.</w:t>
            </w:r>
          </w:p>
        </w:tc>
        <w:tc>
          <w:tcPr>
            <w:tcW w:type="dxa" w:w="2460"/>
            <w:vAlign w:val="top"/>
          </w:tcPr>
          <w:p>
            <w:pPr>
              <w:spacing w:after="0"/>
            </w:pPr>
            <w:r>
              <w:rPr>
                <w:rFonts w:ascii="Calibri" w:hAnsi="Calibri"/>
                <w:b w:val="0"/>
                <w:i w:val="0"/>
                <w:color w:val="111111"/>
                <w:sz w:val="17"/>
              </w:rPr>
              <w:t>Structured fields match explicit evidence</w:t>
            </w:r>
          </w:p>
        </w:tc>
      </w:tr>
      <w:tr>
        <w:tc>
          <w:tcPr>
            <w:tcW w:type="dxa" w:w="900"/>
            <w:vAlign w:val="top"/>
          </w:tcPr>
          <w:p>
            <w:pPr>
              <w:spacing w:after="0"/>
            </w:pPr>
            <w:r>
              <w:rPr>
                <w:rFonts w:ascii="Calibri" w:hAnsi="Calibri"/>
                <w:b w:val="0"/>
                <w:i w:val="0"/>
                <w:color w:val="111111"/>
                <w:sz w:val="17"/>
              </w:rPr>
              <w:t>FR-04</w:t>
            </w:r>
          </w:p>
        </w:tc>
        <w:tc>
          <w:tcPr>
            <w:tcW w:type="dxa" w:w="6000"/>
            <w:vAlign w:val="top"/>
          </w:tcPr>
          <w:p>
            <w:pPr>
              <w:spacing w:after="0"/>
            </w:pPr>
            <w:r>
              <w:rPr>
                <w:rFonts w:ascii="Calibri" w:hAnsi="Calibri"/>
                <w:b w:val="0"/>
                <w:i w:val="0"/>
                <w:color w:val="111111"/>
                <w:sz w:val="17"/>
              </w:rPr>
              <w:t>Assign Hot/Warm/Cold only to sales inquiries.</w:t>
            </w:r>
          </w:p>
        </w:tc>
        <w:tc>
          <w:tcPr>
            <w:tcW w:type="dxa" w:w="2460"/>
            <w:vAlign w:val="top"/>
          </w:tcPr>
          <w:p>
            <w:pPr>
              <w:spacing w:after="0"/>
            </w:pPr>
            <w:r>
              <w:rPr>
                <w:rFonts w:ascii="Calibri" w:hAnsi="Calibri"/>
                <w:b w:val="0"/>
                <w:i w:val="0"/>
                <w:color w:val="111111"/>
                <w:sz w:val="17"/>
              </w:rPr>
              <w:t>T1/T3/T5/T8 and vague cases</w:t>
            </w:r>
          </w:p>
        </w:tc>
      </w:tr>
      <w:tr>
        <w:tc>
          <w:tcPr>
            <w:tcW w:type="dxa" w:w="900"/>
            <w:vAlign w:val="top"/>
          </w:tcPr>
          <w:p>
            <w:pPr>
              <w:spacing w:after="0"/>
            </w:pPr>
            <w:r>
              <w:rPr>
                <w:rFonts w:ascii="Calibri" w:hAnsi="Calibri"/>
                <w:b w:val="0"/>
                <w:i w:val="0"/>
                <w:color w:val="111111"/>
                <w:sz w:val="17"/>
              </w:rPr>
              <w:t>FR-05</w:t>
            </w:r>
          </w:p>
        </w:tc>
        <w:tc>
          <w:tcPr>
            <w:tcW w:type="dxa" w:w="6000"/>
            <w:vAlign w:val="top"/>
          </w:tcPr>
          <w:p>
            <w:pPr>
              <w:spacing w:after="0"/>
            </w:pPr>
            <w:r>
              <w:rPr>
                <w:rFonts w:ascii="Calibri" w:hAnsi="Calibri"/>
                <w:b w:val="0"/>
                <w:i w:val="0"/>
                <w:color w:val="111111"/>
                <w:sz w:val="17"/>
              </w:rPr>
              <w:t>Return aligned arrays for recommendation IDs, names, prices, availability, and rationales.</w:t>
            </w:r>
          </w:p>
        </w:tc>
        <w:tc>
          <w:tcPr>
            <w:tcW w:type="dxa" w:w="2460"/>
            <w:vAlign w:val="top"/>
          </w:tcPr>
          <w:p>
            <w:pPr>
              <w:spacing w:after="0"/>
            </w:pPr>
            <w:r>
              <w:rPr>
                <w:rFonts w:ascii="Calibri" w:hAnsi="Calibri"/>
                <w:b w:val="0"/>
                <w:i w:val="0"/>
                <w:color w:val="111111"/>
                <w:sz w:val="17"/>
              </w:rPr>
              <w:t>Array lengths match and values are typed</w:t>
            </w:r>
          </w:p>
        </w:tc>
      </w:tr>
      <w:tr>
        <w:tc>
          <w:tcPr>
            <w:tcW w:type="dxa" w:w="900"/>
            <w:vAlign w:val="top"/>
          </w:tcPr>
          <w:p>
            <w:pPr>
              <w:spacing w:after="0"/>
            </w:pPr>
            <w:r>
              <w:rPr>
                <w:rFonts w:ascii="Calibri" w:hAnsi="Calibri"/>
                <w:b w:val="0"/>
                <w:i w:val="0"/>
                <w:color w:val="111111"/>
                <w:sz w:val="17"/>
              </w:rPr>
              <w:t>FR-06</w:t>
            </w:r>
          </w:p>
        </w:tc>
        <w:tc>
          <w:tcPr>
            <w:tcW w:type="dxa" w:w="6000"/>
            <w:vAlign w:val="top"/>
          </w:tcPr>
          <w:p>
            <w:pPr>
              <w:spacing w:after="0"/>
            </w:pPr>
            <w:r>
              <w:rPr>
                <w:rFonts w:ascii="Calibri" w:hAnsi="Calibri"/>
                <w:b w:val="0"/>
                <w:i w:val="0"/>
                <w:color w:val="111111"/>
                <w:sz w:val="17"/>
              </w:rPr>
              <w:t>Validate every recommendation against the exact catalog row.</w:t>
            </w:r>
          </w:p>
        </w:tc>
        <w:tc>
          <w:tcPr>
            <w:tcW w:type="dxa" w:w="2460"/>
            <w:vAlign w:val="top"/>
          </w:tcPr>
          <w:p>
            <w:pPr>
              <w:spacing w:after="0"/>
            </w:pPr>
            <w:r>
              <w:rPr>
                <w:rFonts w:ascii="Calibri" w:hAnsi="Calibri"/>
                <w:b w:val="0"/>
                <w:i w:val="0"/>
                <w:color w:val="111111"/>
                <w:sz w:val="17"/>
              </w:rPr>
              <w:t>No unknown ID/name or cross-row feature attribution</w:t>
            </w:r>
          </w:p>
        </w:tc>
      </w:tr>
      <w:tr>
        <w:tc>
          <w:tcPr>
            <w:tcW w:type="dxa" w:w="900"/>
            <w:vAlign w:val="top"/>
          </w:tcPr>
          <w:p>
            <w:pPr>
              <w:spacing w:after="0"/>
            </w:pPr>
            <w:r>
              <w:rPr>
                <w:rFonts w:ascii="Calibri" w:hAnsi="Calibri"/>
                <w:b w:val="0"/>
                <w:i w:val="0"/>
                <w:color w:val="111111"/>
                <w:sz w:val="17"/>
              </w:rPr>
              <w:t>FR-07</w:t>
            </w:r>
          </w:p>
        </w:tc>
        <w:tc>
          <w:tcPr>
            <w:tcW w:type="dxa" w:w="6000"/>
            <w:vAlign w:val="top"/>
          </w:tcPr>
          <w:p>
            <w:pPr>
              <w:spacing w:after="0"/>
            </w:pPr>
            <w:r>
              <w:rPr>
                <w:rFonts w:ascii="Calibri" w:hAnsi="Calibri"/>
                <w:b w:val="0"/>
                <w:i w:val="0"/>
                <w:color w:val="111111"/>
                <w:sz w:val="17"/>
              </w:rPr>
              <w:t>Reject products over budget or unavailable for recommendation.</w:t>
            </w:r>
          </w:p>
        </w:tc>
        <w:tc>
          <w:tcPr>
            <w:tcW w:type="dxa" w:w="2460"/>
            <w:vAlign w:val="top"/>
          </w:tcPr>
          <w:p>
            <w:pPr>
              <w:spacing w:after="0"/>
            </w:pPr>
            <w:r>
              <w:rPr>
                <w:rFonts w:ascii="Calibri" w:hAnsi="Calibri"/>
                <w:b w:val="0"/>
                <w:i w:val="0"/>
                <w:color w:val="111111"/>
                <w:sz w:val="17"/>
              </w:rPr>
              <w:t>guard_rejections records the reason</w:t>
            </w:r>
          </w:p>
        </w:tc>
      </w:tr>
      <w:tr>
        <w:tc>
          <w:tcPr>
            <w:tcW w:type="dxa" w:w="900"/>
            <w:vAlign w:val="top"/>
          </w:tcPr>
          <w:p>
            <w:pPr>
              <w:spacing w:after="0"/>
            </w:pPr>
            <w:r>
              <w:rPr>
                <w:rFonts w:ascii="Calibri" w:hAnsi="Calibri"/>
                <w:b w:val="0"/>
                <w:i w:val="0"/>
                <w:color w:val="111111"/>
                <w:sz w:val="17"/>
              </w:rPr>
              <w:t>FR-08</w:t>
            </w:r>
          </w:p>
        </w:tc>
        <w:tc>
          <w:tcPr>
            <w:tcW w:type="dxa" w:w="6000"/>
            <w:vAlign w:val="top"/>
          </w:tcPr>
          <w:p>
            <w:pPr>
              <w:spacing w:after="0"/>
            </w:pPr>
            <w:r>
              <w:rPr>
                <w:rFonts w:ascii="Calibri" w:hAnsi="Calibri"/>
                <w:b w:val="0"/>
                <w:i w:val="0"/>
                <w:color w:val="111111"/>
                <w:sz w:val="17"/>
              </w:rPr>
              <w:t>Answer named product and stock questions from exact catalog data.</w:t>
            </w:r>
          </w:p>
        </w:tc>
        <w:tc>
          <w:tcPr>
            <w:tcW w:type="dxa" w:w="2460"/>
            <w:vAlign w:val="top"/>
          </w:tcPr>
          <w:p>
            <w:pPr>
              <w:spacing w:after="0"/>
            </w:pPr>
            <w:r>
              <w:rPr>
                <w:rFonts w:ascii="Calibri" w:hAnsi="Calibri"/>
                <w:b w:val="0"/>
                <w:i w:val="0"/>
                <w:color w:val="111111"/>
                <w:sz w:val="17"/>
              </w:rPr>
              <w:t>T4 and T10</w:t>
            </w:r>
          </w:p>
        </w:tc>
      </w:tr>
      <w:tr>
        <w:tc>
          <w:tcPr>
            <w:tcW w:type="dxa" w:w="900"/>
            <w:vAlign w:val="top"/>
          </w:tcPr>
          <w:p>
            <w:pPr>
              <w:spacing w:after="0"/>
            </w:pPr>
            <w:r>
              <w:rPr>
                <w:rFonts w:ascii="Calibri" w:hAnsi="Calibri"/>
                <w:b w:val="0"/>
                <w:i w:val="0"/>
                <w:color w:val="111111"/>
                <w:sz w:val="17"/>
              </w:rPr>
              <w:t>FR-09</w:t>
            </w:r>
          </w:p>
        </w:tc>
        <w:tc>
          <w:tcPr>
            <w:tcW w:type="dxa" w:w="6000"/>
            <w:vAlign w:val="top"/>
          </w:tcPr>
          <w:p>
            <w:pPr>
              <w:spacing w:after="0"/>
            </w:pPr>
            <w:r>
              <w:rPr>
                <w:rFonts w:ascii="Calibri" w:hAnsi="Calibri"/>
                <w:b w:val="0"/>
                <w:i w:val="0"/>
                <w:color w:val="111111"/>
                <w:sz w:val="17"/>
              </w:rPr>
              <w:t>Generate no recommendations for spam and vague inquiries lacking essential information.</w:t>
            </w:r>
          </w:p>
        </w:tc>
        <w:tc>
          <w:tcPr>
            <w:tcW w:type="dxa" w:w="2460"/>
            <w:vAlign w:val="top"/>
          </w:tcPr>
          <w:p>
            <w:pPr>
              <w:spacing w:after="0"/>
            </w:pPr>
            <w:r>
              <w:rPr>
                <w:rFonts w:ascii="Calibri" w:hAnsi="Calibri"/>
                <w:b w:val="0"/>
                <w:i w:val="0"/>
                <w:color w:val="111111"/>
                <w:sz w:val="17"/>
              </w:rPr>
              <w:t>T2/T7/T9</w:t>
            </w:r>
          </w:p>
        </w:tc>
      </w:tr>
      <w:tr>
        <w:tc>
          <w:tcPr>
            <w:tcW w:type="dxa" w:w="900"/>
            <w:vAlign w:val="top"/>
          </w:tcPr>
          <w:p>
            <w:pPr>
              <w:spacing w:after="0"/>
            </w:pPr>
            <w:r>
              <w:rPr>
                <w:rFonts w:ascii="Calibri" w:hAnsi="Calibri"/>
                <w:b w:val="0"/>
                <w:i w:val="0"/>
                <w:color w:val="111111"/>
                <w:sz w:val="17"/>
              </w:rPr>
              <w:t>FR-10</w:t>
            </w:r>
          </w:p>
        </w:tc>
        <w:tc>
          <w:tcPr>
            <w:tcW w:type="dxa" w:w="6000"/>
            <w:vAlign w:val="top"/>
          </w:tcPr>
          <w:p>
            <w:pPr>
              <w:spacing w:after="0"/>
            </w:pPr>
            <w:r>
              <w:rPr>
                <w:rFonts w:ascii="Calibri" w:hAnsi="Calibri"/>
                <w:b w:val="0"/>
                <w:i w:val="0"/>
                <w:color w:val="111111"/>
                <w:sz w:val="17"/>
              </w:rPr>
              <w:t>Draft a response using only validated product facts and original customer requirements.</w:t>
            </w:r>
          </w:p>
        </w:tc>
        <w:tc>
          <w:tcPr>
            <w:tcW w:type="dxa" w:w="2460"/>
            <w:vAlign w:val="top"/>
          </w:tcPr>
          <w:p>
            <w:pPr>
              <w:spacing w:after="0"/>
            </w:pPr>
            <w:r>
              <w:rPr>
                <w:rFonts w:ascii="Calibri" w:hAnsi="Calibri"/>
                <w:b w:val="0"/>
                <w:i w:val="0"/>
                <w:color w:val="111111"/>
                <w:sz w:val="17"/>
              </w:rPr>
              <w:t>Extended-capability tests</w:t>
            </w:r>
          </w:p>
        </w:tc>
      </w:tr>
      <w:tr>
        <w:tc>
          <w:tcPr>
            <w:tcW w:type="dxa" w:w="900"/>
            <w:vAlign w:val="top"/>
          </w:tcPr>
          <w:p>
            <w:pPr>
              <w:spacing w:after="0"/>
            </w:pPr>
            <w:r>
              <w:rPr>
                <w:rFonts w:ascii="Calibri" w:hAnsi="Calibri"/>
                <w:b w:val="0"/>
                <w:i w:val="0"/>
                <w:color w:val="111111"/>
                <w:sz w:val="17"/>
              </w:rPr>
              <w:t>FR-11</w:t>
            </w:r>
          </w:p>
        </w:tc>
        <w:tc>
          <w:tcPr>
            <w:tcW w:type="dxa" w:w="6000"/>
            <w:vAlign w:val="top"/>
          </w:tcPr>
          <w:p>
            <w:pPr>
              <w:spacing w:after="0"/>
            </w:pPr>
            <w:r>
              <w:rPr>
                <w:rFonts w:ascii="Calibri" w:hAnsi="Calibri"/>
                <w:b w:val="0"/>
                <w:i w:val="0"/>
                <w:color w:val="111111"/>
                <w:sz w:val="17"/>
              </w:rPr>
              <w:t>Calculate weekly totals, tier/category breakdowns, top categories, average known budget, and source IDs.</w:t>
            </w:r>
          </w:p>
        </w:tc>
        <w:tc>
          <w:tcPr>
            <w:tcW w:type="dxa" w:w="2460"/>
            <w:vAlign w:val="top"/>
          </w:tcPr>
          <w:p>
            <w:pPr>
              <w:spacing w:after="0"/>
            </w:pPr>
            <w:r>
              <w:rPr>
                <w:rFonts w:ascii="Calibri" w:hAnsi="Calibri"/>
                <w:b w:val="0"/>
                <w:i w:val="0"/>
                <w:color w:val="111111"/>
                <w:sz w:val="17"/>
              </w:rPr>
              <w:t>T11</w:t>
            </w:r>
          </w:p>
        </w:tc>
      </w:tr>
      <w:tr>
        <w:tc>
          <w:tcPr>
            <w:tcW w:type="dxa" w:w="900"/>
            <w:vAlign w:val="top"/>
          </w:tcPr>
          <w:p>
            <w:pPr>
              <w:spacing w:after="0"/>
            </w:pPr>
            <w:r>
              <w:rPr>
                <w:rFonts w:ascii="Calibri" w:hAnsi="Calibri"/>
                <w:b w:val="0"/>
                <w:i w:val="0"/>
                <w:color w:val="111111"/>
                <w:sz w:val="17"/>
              </w:rPr>
              <w:t>FR-12</w:t>
            </w:r>
          </w:p>
        </w:tc>
        <w:tc>
          <w:tcPr>
            <w:tcW w:type="dxa" w:w="6000"/>
            <w:vAlign w:val="top"/>
          </w:tcPr>
          <w:p>
            <w:pPr>
              <w:spacing w:after="0"/>
            </w:pPr>
            <w:r>
              <w:rPr>
                <w:rFonts w:ascii="Calibri" w:hAnsi="Calibri"/>
                <w:b w:val="0"/>
                <w:i w:val="0"/>
                <w:color w:val="111111"/>
                <w:sz w:val="17"/>
              </w:rPr>
              <w:t>Emit Langfuse traces for model and component observations.</w:t>
            </w:r>
          </w:p>
        </w:tc>
        <w:tc>
          <w:tcPr>
            <w:tcW w:type="dxa" w:w="2460"/>
            <w:vAlign w:val="top"/>
          </w:tcPr>
          <w:p>
            <w:pPr>
              <w:spacing w:after="0"/>
            </w:pPr>
            <w:r>
              <w:rPr>
                <w:rFonts w:ascii="Calibri" w:hAnsi="Calibri"/>
                <w:b w:val="0"/>
                <w:i w:val="0"/>
                <w:color w:val="111111"/>
                <w:sz w:val="17"/>
              </w:rPr>
              <w:t>Trace and score evidence</w:t>
            </w:r>
          </w:p>
        </w:tc>
      </w:tr>
    </w:tbl>
    <w:p>
      <w:pPr>
        <w:spacing w:after="20"/>
      </w:pPr>
    </w:p>
    <w:p>
      <w:r>
        <w:br w:type="page"/>
      </w:r>
    </w:p>
    <w:p>
      <w:pPr>
        <w:pStyle w:val="Heading1"/>
      </w:pPr>
      <w:r>
        <w:t>6. Data Contract</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900"/>
            <w:shd w:fill="1F4D78"/>
          </w:tcPr>
          <w:p>
            <w:pPr>
              <w:spacing w:after="0"/>
            </w:pPr>
            <w:r>
              <w:rPr>
                <w:rFonts w:ascii="Calibri" w:hAnsi="Calibri"/>
                <w:b/>
                <w:i w:val="0"/>
                <w:color w:val="FFFFFF"/>
                <w:sz w:val="18"/>
              </w:rPr>
              <w:t>Field group</w:t>
            </w:r>
          </w:p>
        </w:tc>
        <w:tc>
          <w:tcPr>
            <w:tcW w:type="dxa" w:w="3500"/>
            <w:shd w:fill="1F4D78"/>
          </w:tcPr>
          <w:p>
            <w:pPr>
              <w:spacing w:after="0"/>
            </w:pPr>
            <w:r>
              <w:rPr>
                <w:rFonts w:ascii="Calibri" w:hAnsi="Calibri"/>
                <w:b/>
                <w:i w:val="0"/>
                <w:color w:val="FFFFFF"/>
                <w:sz w:val="18"/>
              </w:rPr>
              <w:t>Representative fields</w:t>
            </w:r>
          </w:p>
        </w:tc>
        <w:tc>
          <w:tcPr>
            <w:tcW w:type="dxa" w:w="3960"/>
            <w:shd w:fill="1F4D78"/>
          </w:tcPr>
          <w:p>
            <w:pPr>
              <w:spacing w:after="0"/>
            </w:pPr>
            <w:r>
              <w:rPr>
                <w:rFonts w:ascii="Calibri" w:hAnsi="Calibri"/>
                <w:b/>
                <w:i w:val="0"/>
                <w:color w:val="FFFFFF"/>
                <w:sz w:val="18"/>
              </w:rPr>
              <w:t>Rules</w:t>
            </w:r>
          </w:p>
        </w:tc>
      </w:tr>
      <w:tr>
        <w:tc>
          <w:tcPr>
            <w:tcW w:type="dxa" w:w="1900"/>
            <w:vAlign w:val="top"/>
          </w:tcPr>
          <w:p>
            <w:pPr>
              <w:spacing w:after="0"/>
            </w:pPr>
            <w:r>
              <w:rPr>
                <w:rFonts w:ascii="Calibri" w:hAnsi="Calibri"/>
                <w:b w:val="0"/>
                <w:i w:val="0"/>
                <w:color w:val="111111"/>
                <w:sz w:val="17"/>
              </w:rPr>
              <w:t>Routing</w:t>
            </w:r>
          </w:p>
        </w:tc>
        <w:tc>
          <w:tcPr>
            <w:tcW w:type="dxa" w:w="3500"/>
            <w:vAlign w:val="top"/>
          </w:tcPr>
          <w:p>
            <w:pPr>
              <w:spacing w:after="0"/>
            </w:pPr>
            <w:r>
              <w:rPr>
                <w:rFonts w:ascii="Calibri" w:hAnsi="Calibri"/>
                <w:b w:val="0"/>
                <w:i w:val="0"/>
                <w:color w:val="111111"/>
                <w:sz w:val="17"/>
              </w:rPr>
              <w:t>message_type, classification_reason</w:t>
            </w:r>
          </w:p>
        </w:tc>
        <w:tc>
          <w:tcPr>
            <w:tcW w:type="dxa" w:w="3960"/>
            <w:vAlign w:val="top"/>
          </w:tcPr>
          <w:p>
            <w:pPr>
              <w:spacing w:after="0"/>
            </w:pPr>
            <w:r>
              <w:rPr>
                <w:rFonts w:ascii="Calibri" w:hAnsi="Calibri"/>
                <w:b w:val="0"/>
                <w:i w:val="0"/>
                <w:color w:val="111111"/>
                <w:sz w:val="17"/>
              </w:rPr>
              <w:t>Use allowed route values; state evidence concisely</w:t>
            </w:r>
          </w:p>
        </w:tc>
      </w:tr>
      <w:tr>
        <w:tc>
          <w:tcPr>
            <w:tcW w:type="dxa" w:w="1900"/>
            <w:vAlign w:val="top"/>
          </w:tcPr>
          <w:p>
            <w:pPr>
              <w:spacing w:after="0"/>
            </w:pPr>
            <w:r>
              <w:rPr>
                <w:rFonts w:ascii="Calibri" w:hAnsi="Calibri"/>
                <w:b w:val="0"/>
                <w:i w:val="0"/>
                <w:color w:val="111111"/>
                <w:sz w:val="17"/>
              </w:rPr>
              <w:t>Identity</w:t>
            </w:r>
          </w:p>
        </w:tc>
        <w:tc>
          <w:tcPr>
            <w:tcW w:type="dxa" w:w="3500"/>
            <w:vAlign w:val="top"/>
          </w:tcPr>
          <w:p>
            <w:pPr>
              <w:spacing w:after="0"/>
            </w:pPr>
            <w:r>
              <w:rPr>
                <w:rFonts w:ascii="Calibri" w:hAnsi="Calibri"/>
                <w:b w:val="0"/>
                <w:i w:val="0"/>
                <w:color w:val="111111"/>
                <w:sz w:val="17"/>
              </w:rPr>
              <w:t>customer_name, email, company</w:t>
            </w:r>
          </w:p>
        </w:tc>
        <w:tc>
          <w:tcPr>
            <w:tcW w:type="dxa" w:w="3960"/>
            <w:vAlign w:val="top"/>
          </w:tcPr>
          <w:p>
            <w:pPr>
              <w:spacing w:after="0"/>
            </w:pPr>
            <w:r>
              <w:rPr>
                <w:rFonts w:ascii="Calibri" w:hAnsi="Calibri"/>
                <w:b w:val="0"/>
                <w:i w:val="0"/>
                <w:color w:val="111111"/>
                <w:sz w:val="17"/>
              </w:rPr>
              <w:t>Extract only explicit identity; normalize formatted email</w:t>
            </w:r>
          </w:p>
        </w:tc>
      </w:tr>
      <w:tr>
        <w:tc>
          <w:tcPr>
            <w:tcW w:type="dxa" w:w="1900"/>
            <w:vAlign w:val="top"/>
          </w:tcPr>
          <w:p>
            <w:pPr>
              <w:spacing w:after="0"/>
            </w:pPr>
            <w:r>
              <w:rPr>
                <w:rFonts w:ascii="Calibri" w:hAnsi="Calibri"/>
                <w:b w:val="0"/>
                <w:i w:val="0"/>
                <w:color w:val="111111"/>
                <w:sz w:val="17"/>
              </w:rPr>
              <w:t>Commercial</w:t>
            </w:r>
          </w:p>
        </w:tc>
        <w:tc>
          <w:tcPr>
            <w:tcW w:type="dxa" w:w="3500"/>
            <w:vAlign w:val="top"/>
          </w:tcPr>
          <w:p>
            <w:pPr>
              <w:spacing w:after="0"/>
            </w:pPr>
            <w:r>
              <w:rPr>
                <w:rFonts w:ascii="Calibri" w:hAnsi="Calibri"/>
                <w:b w:val="0"/>
                <w:i w:val="0"/>
                <w:color w:val="111111"/>
                <w:sz w:val="17"/>
              </w:rPr>
              <w:t>product_interest, budget_total, budget_per_unit, quantity</w:t>
            </w:r>
          </w:p>
        </w:tc>
        <w:tc>
          <w:tcPr>
            <w:tcW w:type="dxa" w:w="3960"/>
            <w:vAlign w:val="top"/>
          </w:tcPr>
          <w:p>
            <w:pPr>
              <w:spacing w:after="0"/>
            </w:pPr>
            <w:r>
              <w:rPr>
                <w:rFonts w:ascii="Calibri" w:hAnsi="Calibri"/>
                <w:b w:val="0"/>
                <w:i w:val="0"/>
                <w:color w:val="111111"/>
                <w:sz w:val="17"/>
              </w:rPr>
              <w:t>Use numeric zero only when unknown; do not infer unsupported values</w:t>
            </w:r>
          </w:p>
        </w:tc>
      </w:tr>
      <w:tr>
        <w:tc>
          <w:tcPr>
            <w:tcW w:type="dxa" w:w="1900"/>
            <w:vAlign w:val="top"/>
          </w:tcPr>
          <w:p>
            <w:pPr>
              <w:spacing w:after="0"/>
            </w:pPr>
            <w:r>
              <w:rPr>
                <w:rFonts w:ascii="Calibri" w:hAnsi="Calibri"/>
                <w:b w:val="0"/>
                <w:i w:val="0"/>
                <w:color w:val="111111"/>
                <w:sz w:val="17"/>
              </w:rPr>
              <w:t>Qualification</w:t>
            </w:r>
          </w:p>
        </w:tc>
        <w:tc>
          <w:tcPr>
            <w:tcW w:type="dxa" w:w="3500"/>
            <w:vAlign w:val="top"/>
          </w:tcPr>
          <w:p>
            <w:pPr>
              <w:spacing w:after="0"/>
            </w:pPr>
            <w:r>
              <w:rPr>
                <w:rFonts w:ascii="Calibri" w:hAnsi="Calibri"/>
                <w:b w:val="0"/>
                <w:i w:val="0"/>
                <w:color w:val="111111"/>
                <w:sz w:val="17"/>
              </w:rPr>
              <w:t>urgency, deadline_text, lead_tier, missing_information</w:t>
            </w:r>
          </w:p>
        </w:tc>
        <w:tc>
          <w:tcPr>
            <w:tcW w:type="dxa" w:w="3960"/>
            <w:vAlign w:val="top"/>
          </w:tcPr>
          <w:p>
            <w:pPr>
              <w:spacing w:after="0"/>
            </w:pPr>
            <w:r>
              <w:rPr>
                <w:rFonts w:ascii="Calibri" w:hAnsi="Calibri"/>
                <w:b w:val="0"/>
                <w:i w:val="0"/>
                <w:color w:val="111111"/>
                <w:sz w:val="17"/>
              </w:rPr>
              <w:t>No tier for non-leads; list actionable missing fields</w:t>
            </w:r>
          </w:p>
        </w:tc>
      </w:tr>
      <w:tr>
        <w:tc>
          <w:tcPr>
            <w:tcW w:type="dxa" w:w="1900"/>
            <w:vAlign w:val="top"/>
          </w:tcPr>
          <w:p>
            <w:pPr>
              <w:spacing w:after="0"/>
            </w:pPr>
            <w:r>
              <w:rPr>
                <w:rFonts w:ascii="Calibri" w:hAnsi="Calibri"/>
                <w:b w:val="0"/>
                <w:i w:val="0"/>
                <w:color w:val="111111"/>
                <w:sz w:val="17"/>
              </w:rPr>
              <w:t>Recommendations</w:t>
            </w:r>
          </w:p>
        </w:tc>
        <w:tc>
          <w:tcPr>
            <w:tcW w:type="dxa" w:w="3500"/>
            <w:vAlign w:val="top"/>
          </w:tcPr>
          <w:p>
            <w:pPr>
              <w:spacing w:after="0"/>
            </w:pPr>
            <w:r>
              <w:rPr>
                <w:rFonts w:ascii="Calibri" w:hAnsi="Calibri"/>
                <w:b w:val="0"/>
                <w:i w:val="0"/>
                <w:color w:val="111111"/>
                <w:sz w:val="17"/>
              </w:rPr>
              <w:t>IDs, names, prices, availability, rationales</w:t>
            </w:r>
          </w:p>
        </w:tc>
        <w:tc>
          <w:tcPr>
            <w:tcW w:type="dxa" w:w="3960"/>
            <w:vAlign w:val="top"/>
          </w:tcPr>
          <w:p>
            <w:pPr>
              <w:spacing w:after="0"/>
            </w:pPr>
            <w:r>
              <w:rPr>
                <w:rFonts w:ascii="Calibri" w:hAnsi="Calibri"/>
                <w:b w:val="0"/>
                <w:i w:val="0"/>
                <w:color w:val="111111"/>
                <w:sz w:val="17"/>
              </w:rPr>
              <w:t>Aligned arrays; exact catalog values; one to three products</w:t>
            </w:r>
          </w:p>
        </w:tc>
      </w:tr>
      <w:tr>
        <w:tc>
          <w:tcPr>
            <w:tcW w:type="dxa" w:w="1900"/>
            <w:vAlign w:val="top"/>
          </w:tcPr>
          <w:p>
            <w:pPr>
              <w:spacing w:after="0"/>
            </w:pPr>
            <w:r>
              <w:rPr>
                <w:rFonts w:ascii="Calibri" w:hAnsi="Calibri"/>
                <w:b w:val="0"/>
                <w:i w:val="0"/>
                <w:color w:val="111111"/>
                <w:sz w:val="17"/>
              </w:rPr>
              <w:t>Response</w:t>
            </w:r>
          </w:p>
        </w:tc>
        <w:tc>
          <w:tcPr>
            <w:tcW w:type="dxa" w:w="3500"/>
            <w:vAlign w:val="top"/>
          </w:tcPr>
          <w:p>
            <w:pPr>
              <w:spacing w:after="0"/>
            </w:pPr>
            <w:r>
              <w:rPr>
                <w:rFonts w:ascii="Calibri" w:hAnsi="Calibri"/>
                <w:b w:val="0"/>
                <w:i w:val="0"/>
                <w:color w:val="111111"/>
                <w:sz w:val="17"/>
              </w:rPr>
              <w:t>response_text, catalog_grounded, guard_rejections</w:t>
            </w:r>
          </w:p>
        </w:tc>
        <w:tc>
          <w:tcPr>
            <w:tcW w:type="dxa" w:w="3960"/>
            <w:vAlign w:val="top"/>
          </w:tcPr>
          <w:p>
            <w:pPr>
              <w:spacing w:after="0"/>
            </w:pPr>
            <w:r>
              <w:rPr>
                <w:rFonts w:ascii="Calibri" w:hAnsi="Calibri"/>
                <w:b w:val="0"/>
                <w:i w:val="0"/>
                <w:color w:val="111111"/>
                <w:sz w:val="17"/>
              </w:rPr>
              <w:t>Transparent response and deterministic validation audit trail</w:t>
            </w:r>
          </w:p>
        </w:tc>
      </w:tr>
    </w:tbl>
    <w:p>
      <w:pPr>
        <w:spacing w:after="20"/>
      </w:pPr>
    </w:p>
    <w:p>
      <w:pPr>
        <w:pStyle w:val="Heading1"/>
      </w:pPr>
      <w:r>
        <w:t>7. Product and Validation Rules</w:t>
      </w:r>
    </w:p>
    <w:p>
      <w:pPr>
        <w:pStyle w:val="ListBullet"/>
        <w:spacing w:after="80"/>
        <w:ind w:left="720" w:hanging="360"/>
      </w:pPr>
      <w:r>
        <w:rPr>
          <w:rFonts w:ascii="Calibri" w:hAnsi="Calibri"/>
          <w:b w:val="0"/>
          <w:i w:val="0"/>
          <w:color w:val="111111"/>
          <w:sz w:val="22"/>
        </w:rPr>
        <w:t>Catalog Guard is authoritative for recommendation IDs, names, prices, availability, and descriptions.</w:t>
      </w:r>
    </w:p>
    <w:p>
      <w:pPr>
        <w:pStyle w:val="ListBullet"/>
        <w:spacing w:after="80"/>
        <w:ind w:left="720" w:hanging="360"/>
      </w:pPr>
      <w:r>
        <w:rPr>
          <w:rFonts w:ascii="Calibri" w:hAnsi="Calibri"/>
          <w:b w:val="0"/>
          <w:i w:val="0"/>
          <w:color w:val="111111"/>
          <w:sz w:val="22"/>
        </w:rPr>
        <w:t>A total budget with quantity is converted to a per-unit ceiling for product selection.</w:t>
      </w:r>
    </w:p>
    <w:p>
      <w:pPr>
        <w:pStyle w:val="ListBullet"/>
        <w:spacing w:after="80"/>
        <w:ind w:left="720" w:hanging="360"/>
      </w:pPr>
      <w:r>
        <w:rPr>
          <w:rFonts w:ascii="Calibri" w:hAnsi="Calibri"/>
          <w:b w:val="0"/>
          <w:i w:val="0"/>
          <w:color w:val="111111"/>
          <w:sz w:val="22"/>
        </w:rPr>
        <w:t>A standing-desk request matches desk-category products and excludes accessories such as standing mats.</w:t>
      </w:r>
    </w:p>
    <w:p>
      <w:pPr>
        <w:pStyle w:val="ListBullet"/>
        <w:spacing w:after="80"/>
        <w:ind w:left="720" w:hanging="360"/>
      </w:pPr>
      <w:r>
        <w:rPr>
          <w:rFonts w:ascii="Calibri" w:hAnsi="Calibri"/>
          <w:b w:val="0"/>
          <w:i w:val="0"/>
          <w:color w:val="111111"/>
          <w:sz w:val="22"/>
        </w:rPr>
        <w:t>Product questions may return a factual response without recommendation arrays.</w:t>
      </w:r>
    </w:p>
    <w:p>
      <w:pPr>
        <w:pStyle w:val="ListBullet"/>
        <w:spacing w:after="80"/>
        <w:ind w:left="720" w:hanging="360"/>
      </w:pPr>
      <w:r>
        <w:rPr>
          <w:rFonts w:ascii="Calibri" w:hAnsi="Calibri"/>
          <w:b w:val="0"/>
          <w:i w:val="0"/>
          <w:color w:val="111111"/>
          <w:sz w:val="22"/>
        </w:rPr>
        <w:t>Stock questions report catalog status and never fabricate a restock date.</w:t>
      </w:r>
    </w:p>
    <w:p>
      <w:pPr>
        <w:pStyle w:val="ListBullet"/>
        <w:spacing w:after="80"/>
        <w:ind w:left="720" w:hanging="360"/>
      </w:pPr>
      <w:r>
        <w:rPr>
          <w:rFonts w:ascii="Calibri" w:hAnsi="Calibri"/>
          <w:b w:val="0"/>
          <w:i w:val="0"/>
          <w:color w:val="111111"/>
          <w:sz w:val="22"/>
        </w:rPr>
        <w:t>Cold vague inquiries return direct clarification questions.</w:t>
      </w:r>
    </w:p>
    <w:p>
      <w:pPr>
        <w:pStyle w:val="ListBullet"/>
        <w:spacing w:after="80"/>
        <w:ind w:left="720" w:hanging="360"/>
      </w:pPr>
      <w:r>
        <w:rPr>
          <w:rFonts w:ascii="Calibri" w:hAnsi="Calibri"/>
          <w:b w:val="0"/>
          <w:i w:val="0"/>
          <w:color w:val="111111"/>
          <w:sz w:val="22"/>
        </w:rPr>
        <w:t>Spam returns no products and an explicit no-sales-action message.</w:t>
      </w:r>
    </w:p>
    <w:p>
      <w:pPr>
        <w:pStyle w:val="ListBullet"/>
        <w:spacing w:after="80"/>
        <w:ind w:left="720" w:hanging="360"/>
      </w:pPr>
      <w:r>
        <w:rPr>
          <w:rFonts w:ascii="Calibri" w:hAnsi="Calibri"/>
          <w:b w:val="0"/>
          <w:i w:val="0"/>
          <w:color w:val="111111"/>
          <w:sz w:val="22"/>
        </w:rPr>
        <w:t>The follow-up model must not add marketing superlatives, warranties, discounts, delivery commitments, or feature claims not present in validated data.</w:t>
      </w:r>
    </w:p>
    <w:p>
      <w:pPr>
        <w:pStyle w:val="Heading1"/>
      </w:pPr>
      <w:r>
        <w:t>8. Non-Functional Requirements</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200"/>
            <w:shd w:fill="1F4D78"/>
          </w:tcPr>
          <w:p>
            <w:pPr>
              <w:spacing w:after="0"/>
            </w:pPr>
            <w:r>
              <w:rPr>
                <w:rFonts w:ascii="Calibri" w:hAnsi="Calibri"/>
                <w:b/>
                <w:i w:val="0"/>
                <w:color w:val="FFFFFF"/>
                <w:sz w:val="18"/>
              </w:rPr>
              <w:t>Area</w:t>
            </w:r>
          </w:p>
        </w:tc>
        <w:tc>
          <w:tcPr>
            <w:tcW w:type="dxa" w:w="7160"/>
            <w:shd w:fill="1F4D78"/>
          </w:tcPr>
          <w:p>
            <w:pPr>
              <w:spacing w:after="0"/>
            </w:pPr>
            <w:r>
              <w:rPr>
                <w:rFonts w:ascii="Calibri" w:hAnsi="Calibri"/>
                <w:b/>
                <w:i w:val="0"/>
                <w:color w:val="FFFFFF"/>
                <w:sz w:val="18"/>
              </w:rPr>
              <w:t>Requirement</w:t>
            </w:r>
          </w:p>
        </w:tc>
      </w:tr>
      <w:tr>
        <w:tc>
          <w:tcPr>
            <w:tcW w:type="dxa" w:w="2200"/>
            <w:vAlign w:val="top"/>
          </w:tcPr>
          <w:p>
            <w:pPr>
              <w:spacing w:after="0"/>
            </w:pPr>
            <w:r>
              <w:rPr>
                <w:rFonts w:ascii="Calibri" w:hAnsi="Calibri"/>
                <w:b w:val="0"/>
                <w:i w:val="0"/>
                <w:color w:val="111111"/>
                <w:sz w:val="17"/>
              </w:rPr>
              <w:t>Reliability</w:t>
            </w:r>
          </w:p>
        </w:tc>
        <w:tc>
          <w:tcPr>
            <w:tcW w:type="dxa" w:w="7160"/>
            <w:vAlign w:val="top"/>
          </w:tcPr>
          <w:p>
            <w:pPr>
              <w:spacing w:after="0"/>
            </w:pPr>
            <w:r>
              <w:rPr>
                <w:rFonts w:ascii="Calibri" w:hAnsi="Calibri"/>
                <w:b w:val="0"/>
                <w:i w:val="0"/>
                <w:color w:val="111111"/>
                <w:sz w:val="17"/>
              </w:rPr>
              <w:t>A component failure must be visible and must not silently produce an unvalidated customer response.</w:t>
            </w:r>
          </w:p>
        </w:tc>
      </w:tr>
      <w:tr>
        <w:tc>
          <w:tcPr>
            <w:tcW w:type="dxa" w:w="2200"/>
            <w:vAlign w:val="top"/>
          </w:tcPr>
          <w:p>
            <w:pPr>
              <w:spacing w:after="0"/>
            </w:pPr>
            <w:r>
              <w:rPr>
                <w:rFonts w:ascii="Calibri" w:hAnsi="Calibri"/>
                <w:b w:val="0"/>
                <w:i w:val="0"/>
                <w:color w:val="111111"/>
                <w:sz w:val="17"/>
              </w:rPr>
              <w:t>Performance</w:t>
            </w:r>
          </w:p>
        </w:tc>
        <w:tc>
          <w:tcPr>
            <w:tcW w:type="dxa" w:w="7160"/>
            <w:vAlign w:val="top"/>
          </w:tcPr>
          <w:p>
            <w:pPr>
              <w:spacing w:after="0"/>
            </w:pPr>
            <w:r>
              <w:rPr>
                <w:rFonts w:ascii="Calibri" w:hAnsi="Calibri"/>
                <w:b w:val="0"/>
                <w:i w:val="0"/>
                <w:color w:val="111111"/>
                <w:sz w:val="17"/>
              </w:rPr>
              <w:t>Target median end-to-end pilot latency below 10 seconds, excluding file upload and operator review.</w:t>
            </w:r>
          </w:p>
        </w:tc>
      </w:tr>
      <w:tr>
        <w:tc>
          <w:tcPr>
            <w:tcW w:type="dxa" w:w="2200"/>
            <w:vAlign w:val="top"/>
          </w:tcPr>
          <w:p>
            <w:pPr>
              <w:spacing w:after="0"/>
            </w:pPr>
            <w:r>
              <w:rPr>
                <w:rFonts w:ascii="Calibri" w:hAnsi="Calibri"/>
                <w:b w:val="0"/>
                <w:i w:val="0"/>
                <w:color w:val="111111"/>
                <w:sz w:val="17"/>
              </w:rPr>
              <w:t>Cost</w:t>
            </w:r>
          </w:p>
        </w:tc>
        <w:tc>
          <w:tcPr>
            <w:tcW w:type="dxa" w:w="7160"/>
            <w:vAlign w:val="top"/>
          </w:tcPr>
          <w:p>
            <w:pPr>
              <w:spacing w:after="0"/>
            </w:pPr>
            <w:r>
              <w:rPr>
                <w:rFonts w:ascii="Calibri" w:hAnsi="Calibri"/>
                <w:b w:val="0"/>
                <w:i w:val="0"/>
                <w:color w:val="111111"/>
                <w:sz w:val="17"/>
              </w:rPr>
              <w:t>Record per-model tokens and cost; alert on unexpected growth in context or completion length.</w:t>
            </w:r>
          </w:p>
        </w:tc>
      </w:tr>
      <w:tr>
        <w:tc>
          <w:tcPr>
            <w:tcW w:type="dxa" w:w="2200"/>
            <w:vAlign w:val="top"/>
          </w:tcPr>
          <w:p>
            <w:pPr>
              <w:spacing w:after="0"/>
            </w:pPr>
            <w:r>
              <w:rPr>
                <w:rFonts w:ascii="Calibri" w:hAnsi="Calibri"/>
                <w:b w:val="0"/>
                <w:i w:val="0"/>
                <w:color w:val="111111"/>
                <w:sz w:val="17"/>
              </w:rPr>
              <w:t>Security</w:t>
            </w:r>
          </w:p>
        </w:tc>
        <w:tc>
          <w:tcPr>
            <w:tcW w:type="dxa" w:w="7160"/>
            <w:vAlign w:val="top"/>
          </w:tcPr>
          <w:p>
            <w:pPr>
              <w:spacing w:after="0"/>
            </w:pPr>
            <w:r>
              <w:rPr>
                <w:rFonts w:ascii="Calibri" w:hAnsi="Calibri"/>
                <w:b w:val="0"/>
                <w:i w:val="0"/>
                <w:color w:val="111111"/>
                <w:sz w:val="17"/>
              </w:rPr>
              <w:t>Keep API keys in environment variables; exported JSON and Git history must contain no secrets.</w:t>
            </w:r>
          </w:p>
        </w:tc>
      </w:tr>
      <w:tr>
        <w:tc>
          <w:tcPr>
            <w:tcW w:type="dxa" w:w="2200"/>
            <w:vAlign w:val="top"/>
          </w:tcPr>
          <w:p>
            <w:pPr>
              <w:spacing w:after="0"/>
            </w:pPr>
            <w:r>
              <w:rPr>
                <w:rFonts w:ascii="Calibri" w:hAnsi="Calibri"/>
                <w:b w:val="0"/>
                <w:i w:val="0"/>
                <w:color w:val="111111"/>
                <w:sz w:val="17"/>
              </w:rPr>
              <w:t>Privacy</w:t>
            </w:r>
          </w:p>
        </w:tc>
        <w:tc>
          <w:tcPr>
            <w:tcW w:type="dxa" w:w="7160"/>
            <w:vAlign w:val="top"/>
          </w:tcPr>
          <w:p>
            <w:pPr>
              <w:spacing w:after="0"/>
            </w:pPr>
            <w:r>
              <w:rPr>
                <w:rFonts w:ascii="Calibri" w:hAnsi="Calibri"/>
                <w:b w:val="0"/>
                <w:i w:val="0"/>
                <w:color w:val="111111"/>
                <w:sz w:val="17"/>
              </w:rPr>
              <w:t>Restrict trace access, prefer synthetic data, redact customer identifiers in shared evidence, and define retention.</w:t>
            </w:r>
          </w:p>
        </w:tc>
      </w:tr>
      <w:tr>
        <w:tc>
          <w:tcPr>
            <w:tcW w:type="dxa" w:w="2200"/>
            <w:vAlign w:val="top"/>
          </w:tcPr>
          <w:p>
            <w:pPr>
              <w:spacing w:after="0"/>
            </w:pPr>
            <w:r>
              <w:rPr>
                <w:rFonts w:ascii="Calibri" w:hAnsi="Calibri"/>
                <w:b w:val="0"/>
                <w:i w:val="0"/>
                <w:color w:val="111111"/>
                <w:sz w:val="17"/>
              </w:rPr>
              <w:t>Maintainability</w:t>
            </w:r>
          </w:p>
        </w:tc>
        <w:tc>
          <w:tcPr>
            <w:tcW w:type="dxa" w:w="7160"/>
            <w:vAlign w:val="top"/>
          </w:tcPr>
          <w:p>
            <w:pPr>
              <w:spacing w:after="0"/>
            </w:pPr>
            <w:r>
              <w:rPr>
                <w:rFonts w:ascii="Calibri" w:hAnsi="Calibri"/>
                <w:b w:val="0"/>
                <w:i w:val="0"/>
                <w:color w:val="111111"/>
                <w:sz w:val="17"/>
              </w:rPr>
              <w:t>Version prompts, schemas, custom components, data samples, exports, and evaluation results in Git.</w:t>
            </w:r>
          </w:p>
        </w:tc>
      </w:tr>
      <w:tr>
        <w:tc>
          <w:tcPr>
            <w:tcW w:type="dxa" w:w="2200"/>
            <w:vAlign w:val="top"/>
          </w:tcPr>
          <w:p>
            <w:pPr>
              <w:spacing w:after="0"/>
            </w:pPr>
            <w:r>
              <w:rPr>
                <w:rFonts w:ascii="Calibri" w:hAnsi="Calibri"/>
                <w:b w:val="0"/>
                <w:i w:val="0"/>
                <w:color w:val="111111"/>
                <w:sz w:val="17"/>
              </w:rPr>
              <w:t>Auditability</w:t>
            </w:r>
          </w:p>
        </w:tc>
        <w:tc>
          <w:tcPr>
            <w:tcW w:type="dxa" w:w="7160"/>
            <w:vAlign w:val="top"/>
          </w:tcPr>
          <w:p>
            <w:pPr>
              <w:spacing w:after="0"/>
            </w:pPr>
            <w:r>
              <w:rPr>
                <w:rFonts w:ascii="Calibri" w:hAnsi="Calibri"/>
                <w:b w:val="0"/>
                <w:i w:val="0"/>
                <w:color w:val="111111"/>
                <w:sz w:val="17"/>
              </w:rPr>
              <w:t>Preserve trace IDs, guard rejection reasons, source lead IDs, test results, and human scores.</w:t>
            </w:r>
          </w:p>
        </w:tc>
      </w:tr>
    </w:tbl>
    <w:p>
      <w:pPr>
        <w:spacing w:after="20"/>
      </w:pPr>
    </w:p>
    <w:p>
      <w:pPr>
        <w:pStyle w:val="Heading1"/>
      </w:pPr>
      <w:r>
        <w:t>9. Evaluation and Acceptance</w:t>
      </w:r>
    </w:p>
    <w:p>
      <w:r>
        <w:rPr>
          <w:rFonts w:ascii="Calibri" w:hAnsi="Calibri"/>
          <w:b w:val="0"/>
          <w:i w:val="0"/>
          <w:color w:val="111111"/>
          <w:sz w:val="22"/>
        </w:rPr>
        <w:t>The mandatory T1-T11 dataset is the release regression suite. Current implementation results record all eleven required behaviors as passed, with cleanup observations retained where appropriate. Langfuse evidence confirms trace ingestion and human scoring for a grounded recommendation and a spam edge case.</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300"/>
            <w:shd w:fill="1F4D78"/>
          </w:tcPr>
          <w:p>
            <w:pPr>
              <w:spacing w:after="0"/>
            </w:pPr>
            <w:r>
              <w:rPr>
                <w:rFonts w:ascii="Calibri" w:hAnsi="Calibri"/>
                <w:b/>
                <w:i w:val="0"/>
                <w:color w:val="FFFFFF"/>
                <w:sz w:val="18"/>
              </w:rPr>
              <w:t>Evaluation dimension</w:t>
            </w:r>
          </w:p>
        </w:tc>
        <w:tc>
          <w:tcPr>
            <w:tcW w:type="dxa" w:w="4500"/>
            <w:shd w:fill="1F4D78"/>
          </w:tcPr>
          <w:p>
            <w:pPr>
              <w:spacing w:after="0"/>
            </w:pPr>
            <w:r>
              <w:rPr>
                <w:rFonts w:ascii="Calibri" w:hAnsi="Calibri"/>
                <w:b/>
                <w:i w:val="0"/>
                <w:color w:val="FFFFFF"/>
                <w:sz w:val="18"/>
              </w:rPr>
              <w:t>Method</w:t>
            </w:r>
          </w:p>
        </w:tc>
        <w:tc>
          <w:tcPr>
            <w:tcW w:type="dxa" w:w="2560"/>
            <w:shd w:fill="1F4D78"/>
          </w:tcPr>
          <w:p>
            <w:pPr>
              <w:spacing w:after="0"/>
            </w:pPr>
            <w:r>
              <w:rPr>
                <w:rFonts w:ascii="Calibri" w:hAnsi="Calibri"/>
                <w:b/>
                <w:i w:val="0"/>
                <w:color w:val="FFFFFF"/>
                <w:sz w:val="18"/>
              </w:rPr>
              <w:t>Acceptance threshold</w:t>
            </w:r>
          </w:p>
        </w:tc>
      </w:tr>
      <w:tr>
        <w:tc>
          <w:tcPr>
            <w:tcW w:type="dxa" w:w="2300"/>
            <w:vAlign w:val="top"/>
          </w:tcPr>
          <w:p>
            <w:pPr>
              <w:spacing w:after="0"/>
            </w:pPr>
            <w:r>
              <w:rPr>
                <w:rFonts w:ascii="Calibri" w:hAnsi="Calibri"/>
                <w:b w:val="0"/>
                <w:i w:val="0"/>
                <w:color w:val="111111"/>
                <w:sz w:val="17"/>
              </w:rPr>
              <w:t>Routing accuracy</w:t>
            </w:r>
          </w:p>
        </w:tc>
        <w:tc>
          <w:tcPr>
            <w:tcW w:type="dxa" w:w="4500"/>
            <w:vAlign w:val="top"/>
          </w:tcPr>
          <w:p>
            <w:pPr>
              <w:spacing w:after="0"/>
            </w:pPr>
            <w:r>
              <w:rPr>
                <w:rFonts w:ascii="Calibri" w:hAnsi="Calibri"/>
                <w:b w:val="0"/>
                <w:i w:val="0"/>
                <w:color w:val="111111"/>
                <w:sz w:val="17"/>
              </w:rPr>
              <w:t>Compare message_type and tier with T1-T11 expectations</w:t>
            </w:r>
          </w:p>
        </w:tc>
        <w:tc>
          <w:tcPr>
            <w:tcW w:type="dxa" w:w="2560"/>
            <w:vAlign w:val="top"/>
          </w:tcPr>
          <w:p>
            <w:pPr>
              <w:spacing w:after="0"/>
            </w:pPr>
            <w:r>
              <w:rPr>
                <w:rFonts w:ascii="Calibri" w:hAnsi="Calibri"/>
                <w:b w:val="0"/>
                <w:i w:val="0"/>
                <w:color w:val="111111"/>
                <w:sz w:val="17"/>
              </w:rPr>
              <w:t>All mandatory cases correct</w:t>
            </w:r>
          </w:p>
        </w:tc>
      </w:tr>
      <w:tr>
        <w:tc>
          <w:tcPr>
            <w:tcW w:type="dxa" w:w="2300"/>
            <w:vAlign w:val="top"/>
          </w:tcPr>
          <w:p>
            <w:pPr>
              <w:spacing w:after="0"/>
            </w:pPr>
            <w:r>
              <w:rPr>
                <w:rFonts w:ascii="Calibri" w:hAnsi="Calibri"/>
                <w:b w:val="0"/>
                <w:i w:val="0"/>
                <w:color w:val="111111"/>
                <w:sz w:val="17"/>
              </w:rPr>
              <w:t>Catalog grounding</w:t>
            </w:r>
          </w:p>
        </w:tc>
        <w:tc>
          <w:tcPr>
            <w:tcW w:type="dxa" w:w="4500"/>
            <w:vAlign w:val="top"/>
          </w:tcPr>
          <w:p>
            <w:pPr>
              <w:spacing w:after="0"/>
            </w:pPr>
            <w:r>
              <w:rPr>
                <w:rFonts w:ascii="Calibri" w:hAnsi="Calibri"/>
                <w:b w:val="0"/>
                <w:i w:val="0"/>
                <w:color w:val="111111"/>
                <w:sz w:val="17"/>
              </w:rPr>
              <w:t>Match every recommendation claim to product_catalog.csv</w:t>
            </w:r>
          </w:p>
        </w:tc>
        <w:tc>
          <w:tcPr>
            <w:tcW w:type="dxa" w:w="2560"/>
            <w:vAlign w:val="top"/>
          </w:tcPr>
          <w:p>
            <w:pPr>
              <w:spacing w:after="0"/>
            </w:pPr>
            <w:r>
              <w:rPr>
                <w:rFonts w:ascii="Calibri" w:hAnsi="Calibri"/>
                <w:b w:val="0"/>
                <w:i w:val="0"/>
                <w:color w:val="111111"/>
                <w:sz w:val="17"/>
              </w:rPr>
              <w:t>100%; zero invented products</w:t>
            </w:r>
          </w:p>
        </w:tc>
      </w:tr>
      <w:tr>
        <w:tc>
          <w:tcPr>
            <w:tcW w:type="dxa" w:w="2300"/>
            <w:vAlign w:val="top"/>
          </w:tcPr>
          <w:p>
            <w:pPr>
              <w:spacing w:after="0"/>
            </w:pPr>
            <w:r>
              <w:rPr>
                <w:rFonts w:ascii="Calibri" w:hAnsi="Calibri"/>
                <w:b w:val="0"/>
                <w:i w:val="0"/>
                <w:color w:val="111111"/>
                <w:sz w:val="17"/>
              </w:rPr>
              <w:t>Budget compliance</w:t>
            </w:r>
          </w:p>
        </w:tc>
        <w:tc>
          <w:tcPr>
            <w:tcW w:type="dxa" w:w="4500"/>
            <w:vAlign w:val="top"/>
          </w:tcPr>
          <w:p>
            <w:pPr>
              <w:spacing w:after="0"/>
            </w:pPr>
            <w:r>
              <w:rPr>
                <w:rFonts w:ascii="Calibri" w:hAnsi="Calibri"/>
                <w:b w:val="0"/>
                <w:i w:val="0"/>
                <w:color w:val="111111"/>
                <w:sz w:val="17"/>
              </w:rPr>
              <w:t>Compare selected price with total/per-unit ceiling</w:t>
            </w:r>
          </w:p>
        </w:tc>
        <w:tc>
          <w:tcPr>
            <w:tcW w:type="dxa" w:w="2560"/>
            <w:vAlign w:val="top"/>
          </w:tcPr>
          <w:p>
            <w:pPr>
              <w:spacing w:after="0"/>
            </w:pPr>
            <w:r>
              <w:rPr>
                <w:rFonts w:ascii="Calibri" w:hAnsi="Calibri"/>
                <w:b w:val="0"/>
                <w:i w:val="0"/>
                <w:color w:val="111111"/>
                <w:sz w:val="17"/>
              </w:rPr>
              <w:t>100%</w:t>
            </w:r>
          </w:p>
        </w:tc>
      </w:tr>
      <w:tr>
        <w:tc>
          <w:tcPr>
            <w:tcW w:type="dxa" w:w="2300"/>
            <w:vAlign w:val="top"/>
          </w:tcPr>
          <w:p>
            <w:pPr>
              <w:spacing w:after="0"/>
            </w:pPr>
            <w:r>
              <w:rPr>
                <w:rFonts w:ascii="Calibri" w:hAnsi="Calibri"/>
                <w:b w:val="0"/>
                <w:i w:val="0"/>
                <w:color w:val="111111"/>
                <w:sz w:val="17"/>
              </w:rPr>
              <w:t>Hallucination</w:t>
            </w:r>
          </w:p>
        </w:tc>
        <w:tc>
          <w:tcPr>
            <w:tcW w:type="dxa" w:w="4500"/>
            <w:vAlign w:val="top"/>
          </w:tcPr>
          <w:p>
            <w:pPr>
              <w:spacing w:after="0"/>
            </w:pPr>
            <w:r>
              <w:rPr>
                <w:rFonts w:ascii="Calibri" w:hAnsi="Calibri"/>
                <w:b w:val="0"/>
                <w:i w:val="0"/>
                <w:color w:val="111111"/>
                <w:sz w:val="17"/>
              </w:rPr>
              <w:t>Review unsupported products, features, prices, stock, and restock claims</w:t>
            </w:r>
          </w:p>
        </w:tc>
        <w:tc>
          <w:tcPr>
            <w:tcW w:type="dxa" w:w="2560"/>
            <w:vAlign w:val="top"/>
          </w:tcPr>
          <w:p>
            <w:pPr>
              <w:spacing w:after="0"/>
            </w:pPr>
            <w:r>
              <w:rPr>
                <w:rFonts w:ascii="Calibri" w:hAnsi="Calibri"/>
                <w:b w:val="0"/>
                <w:i w:val="0"/>
                <w:color w:val="111111"/>
                <w:sz w:val="17"/>
              </w:rPr>
              <w:t>Zero critical hallucinations</w:t>
            </w:r>
          </w:p>
        </w:tc>
      </w:tr>
      <w:tr>
        <w:tc>
          <w:tcPr>
            <w:tcW w:type="dxa" w:w="2300"/>
            <w:vAlign w:val="top"/>
          </w:tcPr>
          <w:p>
            <w:pPr>
              <w:spacing w:after="0"/>
            </w:pPr>
            <w:r>
              <w:rPr>
                <w:rFonts w:ascii="Calibri" w:hAnsi="Calibri"/>
                <w:b w:val="0"/>
                <w:i w:val="0"/>
                <w:color w:val="111111"/>
                <w:sz w:val="17"/>
              </w:rPr>
              <w:t>Follow-up quality</w:t>
            </w:r>
          </w:p>
        </w:tc>
        <w:tc>
          <w:tcPr>
            <w:tcW w:type="dxa" w:w="4500"/>
            <w:vAlign w:val="top"/>
          </w:tcPr>
          <w:p>
            <w:pPr>
              <w:spacing w:after="0"/>
            </w:pPr>
            <w:r>
              <w:rPr>
                <w:rFonts w:ascii="Calibri" w:hAnsi="Calibri"/>
                <w:b w:val="0"/>
                <w:i w:val="0"/>
                <w:color w:val="111111"/>
                <w:sz w:val="17"/>
              </w:rPr>
              <w:t>Human review for accuracy, completeness, tone, and next action</w:t>
            </w:r>
          </w:p>
        </w:tc>
        <w:tc>
          <w:tcPr>
            <w:tcW w:type="dxa" w:w="2560"/>
            <w:vAlign w:val="top"/>
          </w:tcPr>
          <w:p>
            <w:pPr>
              <w:spacing w:after="0"/>
            </w:pPr>
            <w:r>
              <w:rPr>
                <w:rFonts w:ascii="Calibri" w:hAnsi="Calibri"/>
                <w:b w:val="0"/>
                <w:i w:val="0"/>
                <w:color w:val="111111"/>
                <w:sz w:val="17"/>
              </w:rPr>
              <w:t>Pass / acceptable with minor edits</w:t>
            </w:r>
          </w:p>
        </w:tc>
      </w:tr>
      <w:tr>
        <w:tc>
          <w:tcPr>
            <w:tcW w:type="dxa" w:w="2300"/>
            <w:vAlign w:val="top"/>
          </w:tcPr>
          <w:p>
            <w:pPr>
              <w:spacing w:after="0"/>
            </w:pPr>
            <w:r>
              <w:rPr>
                <w:rFonts w:ascii="Calibri" w:hAnsi="Calibri"/>
                <w:b w:val="0"/>
                <w:i w:val="0"/>
                <w:color w:val="111111"/>
                <w:sz w:val="17"/>
              </w:rPr>
              <w:t>Observability</w:t>
            </w:r>
          </w:p>
        </w:tc>
        <w:tc>
          <w:tcPr>
            <w:tcW w:type="dxa" w:w="4500"/>
            <w:vAlign w:val="top"/>
          </w:tcPr>
          <w:p>
            <w:pPr>
              <w:spacing w:after="0"/>
            </w:pPr>
            <w:r>
              <w:rPr>
                <w:rFonts w:ascii="Calibri" w:hAnsi="Calibri"/>
                <w:b w:val="0"/>
                <w:i w:val="0"/>
                <w:color w:val="111111"/>
                <w:sz w:val="17"/>
              </w:rPr>
              <w:t>Verify traces, model metadata, latency, tokens, cost, and manual score</w:t>
            </w:r>
          </w:p>
        </w:tc>
        <w:tc>
          <w:tcPr>
            <w:tcW w:type="dxa" w:w="2560"/>
            <w:vAlign w:val="top"/>
          </w:tcPr>
          <w:p>
            <w:pPr>
              <w:spacing w:after="0"/>
            </w:pPr>
            <w:r>
              <w:rPr>
                <w:rFonts w:ascii="Calibri" w:hAnsi="Calibri"/>
                <w:b w:val="0"/>
                <w:i w:val="0"/>
                <w:color w:val="111111"/>
                <w:sz w:val="17"/>
              </w:rPr>
              <w:t>Evidence retained for representative runs</w:t>
            </w:r>
          </w:p>
        </w:tc>
      </w:tr>
    </w:tbl>
    <w:p>
      <w:pPr>
        <w:spacing w:after="20"/>
      </w:pPr>
    </w:p>
    <w:p>
      <w:pPr>
        <w:pStyle w:val="Heading1"/>
      </w:pPr>
      <w:r>
        <w:t>10. Cost and Performance Evidence</w:t>
      </w:r>
    </w:p>
    <w:p>
      <w:r>
        <w:rPr>
          <w:rFonts w:ascii="Calibri" w:hAnsi="Calibri"/>
          <w:b w:val="0"/>
          <w:i w:val="0"/>
          <w:color w:val="111111"/>
          <w:sz w:val="22"/>
        </w:rPr>
        <w:t>For the retained standing-desk run, the router/extractor used 2,655 tokens, cost $0.000532, and took 3.67 seconds. The follow-up model used 1,117 tokens, cost $0.000255, and took 2.73 seconds. Combined model usage was 3,772 tokens at $0.000787 with 6.40 seconds of model latency. These figures are trace-specific and should be aggregated across representative production traffic before forecasting.</w:t>
      </w:r>
    </w:p>
    <w:p>
      <w:pPr>
        <w:pStyle w:val="Heading1"/>
      </w:pPr>
      <w:r>
        <w:t>11. Dependencies and Configuration</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200"/>
            <w:shd w:fill="1F4D78"/>
          </w:tcPr>
          <w:p>
            <w:pPr>
              <w:spacing w:after="0"/>
            </w:pPr>
            <w:r>
              <w:rPr>
                <w:rFonts w:ascii="Calibri" w:hAnsi="Calibri"/>
                <w:b/>
                <w:i w:val="0"/>
                <w:color w:val="FFFFFF"/>
                <w:sz w:val="18"/>
              </w:rPr>
              <w:t>Dependency</w:t>
            </w:r>
          </w:p>
        </w:tc>
        <w:tc>
          <w:tcPr>
            <w:tcW w:type="dxa" w:w="3500"/>
            <w:shd w:fill="1F4D78"/>
          </w:tcPr>
          <w:p>
            <w:pPr>
              <w:spacing w:after="0"/>
            </w:pPr>
            <w:r>
              <w:rPr>
                <w:rFonts w:ascii="Calibri" w:hAnsi="Calibri"/>
                <w:b/>
                <w:i w:val="0"/>
                <w:color w:val="FFFFFF"/>
                <w:sz w:val="18"/>
              </w:rPr>
              <w:t>Purpose</w:t>
            </w:r>
          </w:p>
        </w:tc>
        <w:tc>
          <w:tcPr>
            <w:tcW w:type="dxa" w:w="3660"/>
            <w:shd w:fill="1F4D78"/>
          </w:tcPr>
          <w:p>
            <w:pPr>
              <w:spacing w:after="0"/>
            </w:pPr>
            <w:r>
              <w:rPr>
                <w:rFonts w:ascii="Calibri" w:hAnsi="Calibri"/>
                <w:b/>
                <w:i w:val="0"/>
                <w:color w:val="FFFFFF"/>
                <w:sz w:val="18"/>
              </w:rPr>
              <w:t>Configuration</w:t>
            </w:r>
          </w:p>
        </w:tc>
      </w:tr>
      <w:tr>
        <w:tc>
          <w:tcPr>
            <w:tcW w:type="dxa" w:w="2200"/>
            <w:vAlign w:val="top"/>
          </w:tcPr>
          <w:p>
            <w:pPr>
              <w:spacing w:after="0"/>
            </w:pPr>
            <w:r>
              <w:rPr>
                <w:rFonts w:ascii="Calibri" w:hAnsi="Calibri"/>
                <w:b w:val="0"/>
                <w:i w:val="0"/>
                <w:color w:val="111111"/>
                <w:sz w:val="17"/>
              </w:rPr>
              <w:t>Langflow</w:t>
            </w:r>
          </w:p>
        </w:tc>
        <w:tc>
          <w:tcPr>
            <w:tcW w:type="dxa" w:w="3500"/>
            <w:vAlign w:val="top"/>
          </w:tcPr>
          <w:p>
            <w:pPr>
              <w:spacing w:after="0"/>
            </w:pPr>
            <w:r>
              <w:rPr>
                <w:rFonts w:ascii="Calibri" w:hAnsi="Calibri"/>
                <w:b w:val="0"/>
                <w:i w:val="0"/>
                <w:color w:val="111111"/>
                <w:sz w:val="17"/>
              </w:rPr>
              <w:t>Workflow orchestration and custom components</w:t>
            </w:r>
          </w:p>
        </w:tc>
        <w:tc>
          <w:tcPr>
            <w:tcW w:type="dxa" w:w="3660"/>
            <w:vAlign w:val="top"/>
          </w:tcPr>
          <w:p>
            <w:pPr>
              <w:spacing w:after="0"/>
            </w:pPr>
            <w:r>
              <w:rPr>
                <w:rFonts w:ascii="Calibri" w:hAnsi="Calibri"/>
                <w:b w:val="0"/>
                <w:i w:val="0"/>
                <w:color w:val="111111"/>
                <w:sz w:val="17"/>
              </w:rPr>
              <w:t>Local runtime; exported JSON flows</w:t>
            </w:r>
          </w:p>
        </w:tc>
      </w:tr>
      <w:tr>
        <w:tc>
          <w:tcPr>
            <w:tcW w:type="dxa" w:w="2200"/>
            <w:vAlign w:val="top"/>
          </w:tcPr>
          <w:p>
            <w:pPr>
              <w:spacing w:after="0"/>
            </w:pPr>
            <w:r>
              <w:rPr>
                <w:rFonts w:ascii="Calibri" w:hAnsi="Calibri"/>
                <w:b w:val="0"/>
                <w:i w:val="0"/>
                <w:color w:val="111111"/>
                <w:sz w:val="17"/>
              </w:rPr>
              <w:t>OpenAI gpt-4o-mini</w:t>
            </w:r>
          </w:p>
        </w:tc>
        <w:tc>
          <w:tcPr>
            <w:tcW w:type="dxa" w:w="3500"/>
            <w:vAlign w:val="top"/>
          </w:tcPr>
          <w:p>
            <w:pPr>
              <w:spacing w:after="0"/>
            </w:pPr>
            <w:r>
              <w:rPr>
                <w:rFonts w:ascii="Calibri" w:hAnsi="Calibri"/>
                <w:b w:val="0"/>
                <w:i w:val="0"/>
                <w:color w:val="111111"/>
                <w:sz w:val="17"/>
              </w:rPr>
              <w:t>Structured extraction and follow-up drafting</w:t>
            </w:r>
          </w:p>
        </w:tc>
        <w:tc>
          <w:tcPr>
            <w:tcW w:type="dxa" w:w="3660"/>
            <w:vAlign w:val="top"/>
          </w:tcPr>
          <w:p>
            <w:pPr>
              <w:spacing w:after="0"/>
            </w:pPr>
            <w:r>
              <w:rPr>
                <w:rFonts w:ascii="Calibri" w:hAnsi="Calibri"/>
                <w:b w:val="0"/>
                <w:i w:val="0"/>
                <w:color w:val="111111"/>
                <w:sz w:val="17"/>
              </w:rPr>
              <w:t>OPENAI_API_KEY environment variable</w:t>
            </w:r>
          </w:p>
        </w:tc>
      </w:tr>
      <w:tr>
        <w:tc>
          <w:tcPr>
            <w:tcW w:type="dxa" w:w="2200"/>
            <w:vAlign w:val="top"/>
          </w:tcPr>
          <w:p>
            <w:pPr>
              <w:spacing w:after="0"/>
            </w:pPr>
            <w:r>
              <w:rPr>
                <w:rFonts w:ascii="Calibri" w:hAnsi="Calibri"/>
                <w:b w:val="0"/>
                <w:i w:val="0"/>
                <w:color w:val="111111"/>
                <w:sz w:val="17"/>
              </w:rPr>
              <w:t>Langfuse US</w:t>
            </w:r>
          </w:p>
        </w:tc>
        <w:tc>
          <w:tcPr>
            <w:tcW w:type="dxa" w:w="3500"/>
            <w:vAlign w:val="top"/>
          </w:tcPr>
          <w:p>
            <w:pPr>
              <w:spacing w:after="0"/>
            </w:pPr>
            <w:r>
              <w:rPr>
                <w:rFonts w:ascii="Calibri" w:hAnsi="Calibri"/>
                <w:b w:val="0"/>
                <w:i w:val="0"/>
                <w:color w:val="111111"/>
                <w:sz w:val="17"/>
              </w:rPr>
              <w:t>LLM observability and manual evaluation</w:t>
            </w:r>
          </w:p>
        </w:tc>
        <w:tc>
          <w:tcPr>
            <w:tcW w:type="dxa" w:w="3660"/>
            <w:vAlign w:val="top"/>
          </w:tcPr>
          <w:p>
            <w:pPr>
              <w:spacing w:after="0"/>
            </w:pPr>
            <w:r>
              <w:rPr>
                <w:rFonts w:ascii="Calibri" w:hAnsi="Calibri"/>
                <w:b w:val="0"/>
                <w:i w:val="0"/>
                <w:color w:val="111111"/>
                <w:sz w:val="17"/>
              </w:rPr>
              <w:t>Project keys plus https://us.cloud.langfuse.com</w:t>
            </w:r>
          </w:p>
        </w:tc>
      </w:tr>
      <w:tr>
        <w:tc>
          <w:tcPr>
            <w:tcW w:type="dxa" w:w="2200"/>
            <w:vAlign w:val="top"/>
          </w:tcPr>
          <w:p>
            <w:pPr>
              <w:spacing w:after="0"/>
            </w:pPr>
            <w:r>
              <w:rPr>
                <w:rFonts w:ascii="Calibri" w:hAnsi="Calibri"/>
                <w:b w:val="0"/>
                <w:i w:val="0"/>
                <w:color w:val="111111"/>
                <w:sz w:val="17"/>
              </w:rPr>
              <w:t>product_catalog.csv</w:t>
            </w:r>
          </w:p>
        </w:tc>
        <w:tc>
          <w:tcPr>
            <w:tcW w:type="dxa" w:w="3500"/>
            <w:vAlign w:val="top"/>
          </w:tcPr>
          <w:p>
            <w:pPr>
              <w:spacing w:after="0"/>
            </w:pPr>
            <w:r>
              <w:rPr>
                <w:rFonts w:ascii="Calibri" w:hAnsi="Calibri"/>
                <w:b w:val="0"/>
                <w:i w:val="0"/>
                <w:color w:val="111111"/>
                <w:sz w:val="17"/>
              </w:rPr>
              <w:t>Product truth source</w:t>
            </w:r>
          </w:p>
        </w:tc>
        <w:tc>
          <w:tcPr>
            <w:tcW w:type="dxa" w:w="3660"/>
            <w:vAlign w:val="top"/>
          </w:tcPr>
          <w:p>
            <w:pPr>
              <w:spacing w:after="0"/>
            </w:pPr>
            <w:r>
              <w:rPr>
                <w:rFonts w:ascii="Calibri" w:hAnsi="Calibri"/>
                <w:b w:val="0"/>
                <w:i w:val="0"/>
                <w:color w:val="111111"/>
                <w:sz w:val="17"/>
              </w:rPr>
              <w:t>Raw content provided to prompt and Catalog Guard</w:t>
            </w:r>
          </w:p>
        </w:tc>
      </w:tr>
      <w:tr>
        <w:tc>
          <w:tcPr>
            <w:tcW w:type="dxa" w:w="2200"/>
            <w:vAlign w:val="top"/>
          </w:tcPr>
          <w:p>
            <w:pPr>
              <w:spacing w:after="0"/>
            </w:pPr>
            <w:r>
              <w:rPr>
                <w:rFonts w:ascii="Calibri" w:hAnsi="Calibri"/>
                <w:b w:val="0"/>
                <w:i w:val="0"/>
                <w:color w:val="111111"/>
                <w:sz w:val="17"/>
              </w:rPr>
              <w:t>crm_export_sample.csv</w:t>
            </w:r>
          </w:p>
        </w:tc>
        <w:tc>
          <w:tcPr>
            <w:tcW w:type="dxa" w:w="3500"/>
            <w:vAlign w:val="top"/>
          </w:tcPr>
          <w:p>
            <w:pPr>
              <w:spacing w:after="0"/>
            </w:pPr>
            <w:r>
              <w:rPr>
                <w:rFonts w:ascii="Calibri" w:hAnsi="Calibri"/>
                <w:b w:val="0"/>
                <w:i w:val="0"/>
                <w:color w:val="111111"/>
                <w:sz w:val="17"/>
              </w:rPr>
              <w:t>Weekly summary source</w:t>
            </w:r>
          </w:p>
        </w:tc>
        <w:tc>
          <w:tcPr>
            <w:tcW w:type="dxa" w:w="3660"/>
            <w:vAlign w:val="top"/>
          </w:tcPr>
          <w:p>
            <w:pPr>
              <w:spacing w:after="0"/>
            </w:pPr>
            <w:r>
              <w:rPr>
                <w:rFonts w:ascii="Calibri" w:hAnsi="Calibri"/>
                <w:b w:val="0"/>
                <w:i w:val="0"/>
                <w:color w:val="111111"/>
                <w:sz w:val="17"/>
              </w:rPr>
              <w:t>Parsed by Weekly Sales Aggregator</w:t>
            </w:r>
          </w:p>
        </w:tc>
      </w:tr>
    </w:tbl>
    <w:p>
      <w:pPr>
        <w:spacing w:after="20"/>
      </w:pPr>
    </w:p>
    <w:p>
      <w:pPr>
        <w:pStyle w:val="Heading1"/>
      </w:pPr>
      <w:r>
        <w:t>12. Release Plan</w:t>
      </w:r>
    </w:p>
    <w:p>
      <w:pPr>
        <w:pStyle w:val="ListNumber"/>
        <w:spacing w:after="80"/>
        <w:ind w:left="720" w:hanging="360"/>
      </w:pPr>
      <w:r>
        <w:rPr>
          <w:rFonts w:ascii="Calibri" w:hAnsi="Calibri"/>
          <w:b w:val="0"/>
          <w:i w:val="0"/>
          <w:color w:val="111111"/>
          <w:sz w:val="22"/>
        </w:rPr>
        <w:t>Package exported Langflow flows, prompts, custom components, sample data, evaluation results, evidence, BRD, PRD, and README in GitHub.</w:t>
      </w:r>
    </w:p>
    <w:p>
      <w:pPr>
        <w:pStyle w:val="ListNumber"/>
        <w:spacing w:after="80"/>
        <w:ind w:left="720" w:hanging="360"/>
      </w:pPr>
      <w:r>
        <w:rPr>
          <w:rFonts w:ascii="Calibri" w:hAnsi="Calibri"/>
          <w:b w:val="0"/>
          <w:i w:val="0"/>
          <w:color w:val="111111"/>
          <w:sz w:val="22"/>
        </w:rPr>
        <w:t>Re-run T1-T11 after any prompt, schema, catalog, model, or guard change.</w:t>
      </w:r>
    </w:p>
    <w:p>
      <w:pPr>
        <w:pStyle w:val="ListNumber"/>
        <w:spacing w:after="80"/>
        <w:ind w:left="720" w:hanging="360"/>
      </w:pPr>
      <w:r>
        <w:rPr>
          <w:rFonts w:ascii="Calibri" w:hAnsi="Calibri"/>
          <w:b w:val="0"/>
          <w:i w:val="0"/>
          <w:color w:val="111111"/>
          <w:sz w:val="22"/>
        </w:rPr>
        <w:t>Conduct a controlled pilot with 3-5 representatives and human review of every draft.</w:t>
      </w:r>
    </w:p>
    <w:p>
      <w:pPr>
        <w:pStyle w:val="ListNumber"/>
        <w:spacing w:after="80"/>
        <w:ind w:left="720" w:hanging="360"/>
      </w:pPr>
      <w:r>
        <w:rPr>
          <w:rFonts w:ascii="Calibri" w:hAnsi="Calibri"/>
          <w:b w:val="0"/>
          <w:i w:val="0"/>
          <w:color w:val="111111"/>
          <w:sz w:val="22"/>
        </w:rPr>
        <w:t>Add production Gmail/CRM integrations only after OAuth, audit, retry, and approval-gate design review.</w:t>
      </w:r>
    </w:p>
    <w:p>
      <w:pPr>
        <w:pStyle w:val="ListNumber"/>
        <w:spacing w:after="80"/>
        <w:ind w:left="720" w:hanging="360"/>
      </w:pPr>
      <w:r>
        <w:rPr>
          <w:rFonts w:ascii="Calibri" w:hAnsi="Calibri"/>
          <w:b w:val="0"/>
          <w:i w:val="0"/>
          <w:color w:val="111111"/>
          <w:sz w:val="22"/>
        </w:rPr>
        <w:t>Expand to 20 representatives after two stable review cycles and acceptance of privacy, quality, and cost metrics.</w:t>
      </w:r>
    </w:p>
    <w:p>
      <w:pPr>
        <w:pStyle w:val="Heading1"/>
      </w:pPr>
      <w:r>
        <w:t>13. Future Enhancements</w:t>
      </w:r>
    </w:p>
    <w:p>
      <w:pPr>
        <w:pStyle w:val="ListBullet"/>
        <w:spacing w:after="80"/>
        <w:ind w:left="720" w:hanging="360"/>
      </w:pPr>
      <w:r>
        <w:rPr>
          <w:rFonts w:ascii="Calibri" w:hAnsi="Calibri"/>
          <w:b w:val="0"/>
          <w:i w:val="0"/>
          <w:color w:val="111111"/>
          <w:sz w:val="22"/>
        </w:rPr>
        <w:t>Human-in-the-loop approval component before sending email.</w:t>
      </w:r>
    </w:p>
    <w:p>
      <w:pPr>
        <w:pStyle w:val="ListBullet"/>
        <w:spacing w:after="80"/>
        <w:ind w:left="720" w:hanging="360"/>
      </w:pPr>
      <w:r>
        <w:rPr>
          <w:rFonts w:ascii="Calibri" w:hAnsi="Calibri"/>
          <w:b w:val="0"/>
          <w:i w:val="0"/>
          <w:color w:val="111111"/>
          <w:sz w:val="22"/>
        </w:rPr>
        <w:t>OAuth-based Gmail ingestion and draft creation.</w:t>
      </w:r>
    </w:p>
    <w:p>
      <w:pPr>
        <w:pStyle w:val="ListBullet"/>
        <w:spacing w:after="80"/>
        <w:ind w:left="720" w:hanging="360"/>
      </w:pPr>
      <w:r>
        <w:rPr>
          <w:rFonts w:ascii="Calibri" w:hAnsi="Calibri"/>
          <w:b w:val="0"/>
          <w:i w:val="0"/>
          <w:color w:val="111111"/>
          <w:sz w:val="22"/>
        </w:rPr>
        <w:t>CRM API integration with idempotency and duplicate detection.</w:t>
      </w:r>
    </w:p>
    <w:p>
      <w:pPr>
        <w:pStyle w:val="ListBullet"/>
        <w:spacing w:after="80"/>
        <w:ind w:left="720" w:hanging="360"/>
      </w:pPr>
      <w:r>
        <w:rPr>
          <w:rFonts w:ascii="Calibri" w:hAnsi="Calibri"/>
          <w:b w:val="0"/>
          <w:i w:val="0"/>
          <w:color w:val="111111"/>
          <w:sz w:val="22"/>
        </w:rPr>
        <w:t>Automated Langfuse evaluators and dataset experiments.</w:t>
      </w:r>
    </w:p>
    <w:p>
      <w:pPr>
        <w:pStyle w:val="ListBullet"/>
        <w:spacing w:after="80"/>
        <w:ind w:left="720" w:hanging="360"/>
      </w:pPr>
      <w:r>
        <w:rPr>
          <w:rFonts w:ascii="Calibri" w:hAnsi="Calibri"/>
          <w:b w:val="0"/>
          <w:i w:val="0"/>
          <w:color w:val="111111"/>
          <w:sz w:val="22"/>
        </w:rPr>
        <w:t>Catalog retrieval/indexing for larger inventories.</w:t>
      </w:r>
    </w:p>
    <w:p>
      <w:pPr>
        <w:pStyle w:val="ListBullet"/>
        <w:spacing w:after="80"/>
        <w:ind w:left="720" w:hanging="360"/>
      </w:pPr>
      <w:r>
        <w:rPr>
          <w:rFonts w:ascii="Calibri" w:hAnsi="Calibri"/>
          <w:b w:val="0"/>
          <w:i w:val="0"/>
          <w:color w:val="111111"/>
          <w:sz w:val="22"/>
        </w:rPr>
        <w:t>Scheduled weekly execution, alerts, role-based access, and production retention policies.</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6"/>
      </w:rPr>
      <w:t xml:space="preserve">Oak &amp; Ember Interiors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7"/>
      </w:rPr>
      <w:t>AI SalesGenie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