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GovernexPlus — Auditor &amp; Compliance Officer Guide</w:t>
      </w:r>
    </w:p>
    <w:p>
      <w:r/>
      <w:r>
        <w:rPr>
          <w:b/>
        </w:rPr>
        <w:t>Version:</w:t>
      </w:r>
      <w:r>
        <w:t xml:space="preserve"> 2.0 | </w:t>
      </w:r>
      <w:r>
        <w:rPr>
          <w:b/>
        </w:rPr>
        <w:t>Date:</w:t>
      </w:r>
      <w:r>
        <w:t xml:space="preserve"> September 2026 | </w:t>
      </w:r>
      <w:r>
        <w:rPr>
          <w:b/>
        </w:rPr>
        <w:t>Audience:</w:t>
      </w:r>
      <w:r>
        <w:t xml:space="preserve"> Internal Auditors, External Auditors, Compliance Officers | </w:t>
      </w:r>
      <w:r>
        <w:rPr>
          <w:b/>
        </w:rPr>
        <w:t>Classification:</w:t>
      </w:r>
      <w:r>
        <w:t xml:space="preserve"> Internal / Auditor-Restricted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Auditor Role in GovernexPlus</w:t>
      </w:r>
    </w:p>
    <w:p>
      <w:pPr>
        <w:pStyle w:val="ListNumber"/>
      </w:pPr>
      <w:r>
        <w:t>Audit Universe Management</w:t>
      </w:r>
    </w:p>
    <w:p>
      <w:pPr>
        <w:pStyle w:val="ListNumber"/>
      </w:pPr>
      <w:r>
        <w:t>Audit Planning</w:t>
      </w:r>
    </w:p>
    <w:p>
      <w:pPr>
        <w:pStyle w:val="ListNumber"/>
      </w:pPr>
      <w:r>
        <w:t>Engagement Lifecycle</w:t>
      </w:r>
    </w:p>
    <w:p>
      <w:pPr>
        <w:pStyle w:val="ListNumber"/>
      </w:pPr>
      <w:r>
        <w:t>Work Programs &amp; Procedures</w:t>
      </w:r>
    </w:p>
    <w:p>
      <w:pPr>
        <w:pStyle w:val="ListNumber"/>
      </w:pPr>
      <w:r>
        <w:t>Workpapers</w:t>
      </w:r>
    </w:p>
    <w:p>
      <w:pPr>
        <w:pStyle w:val="ListNumber"/>
      </w:pPr>
      <w:r>
        <w:t>Findings (CCCE Format)</w:t>
      </w:r>
    </w:p>
    <w:p>
      <w:pPr>
        <w:pStyle w:val="ListNumber"/>
      </w:pPr>
      <w:r>
        <w:t>Action Tracking</w:t>
      </w:r>
    </w:p>
    <w:p>
      <w:pPr>
        <w:pStyle w:val="ListNumber"/>
      </w:pPr>
      <w:r>
        <w:t>Evidence Management</w:t>
      </w:r>
    </w:p>
    <w:p>
      <w:pPr>
        <w:pStyle w:val="ListNumber"/>
      </w:pPr>
      <w:r>
        <w:t>Reporting</w:t>
      </w:r>
    </w:p>
    <w:p>
      <w:pPr>
        <w:pStyle w:val="ListNumber"/>
      </w:pPr>
      <w:r>
        <w:t>Compliance Workflows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Auditor Role in GovernexPlus</w:t>
      </w:r>
    </w:p>
    <w:p>
      <w:pPr>
        <w:pStyle w:val="Heading3"/>
      </w:pPr>
      <w:r>
        <w:t>1.1 What Auditors Can Access</w:t>
      </w:r>
    </w:p>
    <w:p>
      <w:r>
        <w:t>GovernexPlus is designed with a principle of "trust but verify" for auditors: you have extensive read access across all four GRC pillars so you can gather evidence independently, and full write access within the Audit Management pillar where you document your work.</w:t>
      </w:r>
    </w:p>
    <w:p>
      <w:r/>
      <w:r>
        <w:rPr>
          <w:b/>
        </w:rPr>
        <w:t>Read Access (all four pillars):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Pillar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You Can See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Access Control (AC)</w:t>
            </w:r>
            <w:r/>
          </w:p>
        </w:tc>
        <w:tc>
          <w:tcPr>
            <w:tcW w:type="dxa" w:w="4320"/>
          </w:tcPr>
          <w:p>
            <w:r/>
            <w:r>
              <w:t>All SoD violations and risk scores; user access profiles; role assignments; ARA analysis results; certification campaign decisions; firefighter session logs; access request history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Risk Management (RM)</w:t>
            </w:r>
            <w:r/>
          </w:p>
        </w:tc>
        <w:tc>
          <w:tcPr>
            <w:tcW w:type="dxa" w:w="4320"/>
          </w:tcPr>
          <w:p>
            <w:r/>
            <w:r>
              <w:t>Full risk register; risk assessment history; KRI data; incident records; response plans; risk approval workflows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Process Control (PC)</w:t>
            </w:r>
            <w:r/>
          </w:p>
        </w:tc>
        <w:tc>
          <w:tcPr>
            <w:tcW w:type="dxa" w:w="4320"/>
          </w:tcPr>
          <w:p>
            <w:r/>
            <w:r>
              <w:t>Control library; control test results; deficiency records; CCM results; SOX sign-off status; evidence submitted for control testing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Audit Management (AM)</w:t>
            </w:r>
            <w:r/>
          </w:p>
        </w:tc>
        <w:tc>
          <w:tcPr>
            <w:tcW w:type="dxa" w:w="4320"/>
          </w:tcPr>
          <w:p>
            <w:r/>
            <w:r>
              <w:t>Everything — full read + write access</w:t>
            </w:r>
          </w:p>
        </w:tc>
      </w:tr>
    </w:tbl>
    <w:p/>
    <w:p>
      <w:r/>
      <w:r>
        <w:rPr>
          <w:b/>
        </w:rPr>
        <w:t>Write Access (Audit Management pillar only):</w:t>
      </w:r>
      <w:r/>
    </w:p>
    <w:p>
      <w:pPr>
        <w:pStyle w:val="ListBullet"/>
      </w:pPr>
      <w:r>
        <w:t>Audit universe (create/update entities)</w:t>
      </w:r>
    </w:p>
    <w:p>
      <w:pPr>
        <w:pStyle w:val="ListBullet"/>
      </w:pPr>
      <w:r>
        <w:t>Audit plans (create/update annual and multi-year plans)</w:t>
      </w:r>
    </w:p>
    <w:p>
      <w:pPr>
        <w:pStyle w:val="ListBullet"/>
      </w:pPr>
      <w:r>
        <w:t>Engagements (full lifecycle management)</w:t>
      </w:r>
    </w:p>
    <w:p>
      <w:pPr>
        <w:pStyle w:val="ListBullet"/>
      </w:pPr>
      <w:r>
        <w:t>Work programs and procedures</w:t>
      </w:r>
    </w:p>
    <w:p>
      <w:pPr>
        <w:pStyle w:val="ListBullet"/>
      </w:pPr>
      <w:r>
        <w:t>Workpapers</w:t>
      </w:r>
    </w:p>
    <w:p>
      <w:pPr>
        <w:pStyle w:val="ListBullet"/>
      </w:pPr>
      <w:r>
        <w:t>Findings (CCCE format)</w:t>
      </w:r>
    </w:p>
    <w:p>
      <w:pPr>
        <w:pStyle w:val="ListBullet"/>
      </w:pPr>
      <w:r>
        <w:t>Actions</w:t>
      </w:r>
    </w:p>
    <w:p>
      <w:pPr>
        <w:pStyle w:val="ListBullet"/>
      </w:pPr>
      <w:r>
        <w:t>Evidence uploads</w:t>
      </w:r>
    </w:p>
    <w:p>
      <w:r/>
      <w:r>
        <w:rPr>
          <w:b/>
        </w:rPr>
        <w:t>What Auditors Cannot Do:</w:t>
      </w:r>
      <w:r/>
    </w:p>
    <w:p>
      <w:pPr>
        <w:pStyle w:val="ListBullet"/>
      </w:pPr>
      <w:r>
        <w:t>Modify AC, RM, or PC data (you are an independent reviewer — changing the data you are reviewing would compromise independence)</w:t>
      </w:r>
    </w:p>
    <w:p>
      <w:pPr>
        <w:pStyle w:val="ListBullet"/>
      </w:pPr>
      <w:r>
        <w:t>Approve or reject access requests (you review decisions, not make them)</w:t>
      </w:r>
    </w:p>
    <w:p>
      <w:pPr>
        <w:pStyle w:val="ListBullet"/>
      </w:pPr>
      <w:r>
        <w:t>Modify SoD rules or risk ratings</w:t>
      </w:r>
    </w:p>
    <w:p>
      <w:pPr>
        <w:pStyle w:val="ListBullet"/>
      </w:pPr>
      <w:r>
        <w:t>Modify or delete control test results</w:t>
      </w:r>
    </w:p>
    <w:p>
      <w:pPr>
        <w:pStyle w:val="ListBullet"/>
      </w:pPr>
      <w:r>
        <w:t>Access another tenant's data</w:t>
      </w:r>
    </w:p>
    <w:p>
      <w:pPr>
        <w:pStyle w:val="Heading3"/>
      </w:pPr>
      <w:r>
        <w:t>1.2 Independence Protections</w:t>
      </w:r>
    </w:p>
    <w:p>
      <w:r>
        <w:t>GovernexPlus enforces auditor independence at the technical level:</w:t>
      </w:r>
    </w:p>
    <w:p>
      <w:pPr>
        <w:pStyle w:val="ListNumber"/>
      </w:pPr>
      <w:r/>
      <w:r>
        <w:rPr>
          <w:b/>
        </w:rPr>
        <w:t>Read-only cross-pillar access</w:t>
      </w:r>
      <w:r>
        <w:t xml:space="preserve">: The API enforces that </w:t>
      </w:r>
      <w:r>
        <w:rPr>
          <w:rFonts w:ascii="Consolas" w:hAnsi="Consolas"/>
          <w:color w:val="1A1A2E"/>
          <w:sz w:val="18"/>
        </w:rPr>
        <w:t>auditor</w:t>
      </w:r>
      <w:r>
        <w:t xml:space="preserve"> role users cannot write to AC, RM, or PC endpoints</w:t>
      </w:r>
    </w:p>
    <w:p>
      <w:pPr>
        <w:pStyle w:val="ListNumber"/>
      </w:pPr>
      <w:r/>
      <w:r>
        <w:rPr>
          <w:b/>
        </w:rPr>
        <w:t>Engagement assignment</w:t>
      </w:r>
      <w:r>
        <w:t>: An auditor cannot be assigned as both the preparer and the reviewer on the same procedure or workpaper</w:t>
      </w:r>
    </w:p>
    <w:p>
      <w:pPr>
        <w:pStyle w:val="ListNumber"/>
      </w:pPr>
      <w:r/>
      <w:r>
        <w:rPr>
          <w:b/>
        </w:rPr>
        <w:t>Finding attribution</w:t>
      </w:r>
      <w:r>
        <w:t>: Every finding clearly shows which auditor created it — findings cannot be anonymized</w:t>
      </w:r>
    </w:p>
    <w:p>
      <w:pPr>
        <w:pStyle w:val="ListNumber"/>
      </w:pPr>
      <w:r/>
      <w:r>
        <w:rPr>
          <w:b/>
        </w:rPr>
        <w:t>Audit trail</w:t>
      </w:r>
      <w:r>
        <w:t>: All auditor actions (evidence access, report generation, finding creation) are logged with identity and timestamp</w:t>
      </w:r>
    </w:p>
    <w:p>
      <w:pPr>
        <w:pStyle w:val="ListNumber"/>
      </w:pPr>
      <w:r/>
      <w:r>
        <w:rPr>
          <w:b/>
        </w:rPr>
        <w:t>External auditor access</w:t>
      </w:r>
      <w:r>
        <w:t xml:space="preserve">: External auditors can be given a time-limited guest </w:t>
      </w:r>
      <w:r>
        <w:rPr>
          <w:rFonts w:ascii="Consolas" w:hAnsi="Consolas"/>
          <w:color w:val="1A1A2E"/>
          <w:sz w:val="18"/>
        </w:rPr>
        <w:t>auditor</w:t>
      </w:r>
      <w:r>
        <w:t xml:space="preserve"> account scoped to specific engagements only</w:t>
      </w:r>
    </w:p>
    <w:p>
      <w:pPr>
        <w:pStyle w:val="Heading3"/>
      </w:pPr>
      <w:r>
        <w:t>1.3 GovernexPlus vs. Manual Audit Processes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Without GovernexPlus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 GovernexPlus</w:t>
            </w:r>
          </w:p>
        </w:tc>
      </w:tr>
      <w:tr>
        <w:tc>
          <w:tcPr>
            <w:tcW w:type="dxa" w:w="2880"/>
          </w:tcPr>
          <w:p>
            <w:r/>
            <w:r>
              <w:t>Evidence collection</w:t>
            </w:r>
          </w:p>
        </w:tc>
        <w:tc>
          <w:tcPr>
            <w:tcW w:type="dxa" w:w="2880"/>
          </w:tcPr>
          <w:p>
            <w:r/>
            <w:r>
              <w:t>Manually request from control owners via email</w:t>
            </w:r>
          </w:p>
        </w:tc>
        <w:tc>
          <w:tcPr>
            <w:tcW w:type="dxa" w:w="2880"/>
          </w:tcPr>
          <w:p>
            <w:r/>
            <w:r>
              <w:t>Evidence Agent auto-collects; supplemental upload</w:t>
            </w:r>
          </w:p>
        </w:tc>
      </w:tr>
      <w:tr>
        <w:tc>
          <w:tcPr>
            <w:tcW w:type="dxa" w:w="2880"/>
          </w:tcPr>
          <w:p>
            <w:r/>
            <w:r>
              <w:t>SoD violation evidence</w:t>
            </w:r>
          </w:p>
        </w:tc>
        <w:tc>
          <w:tcPr>
            <w:tcW w:type="dxa" w:w="2880"/>
          </w:tcPr>
          <w:p>
            <w:r/>
            <w:r>
              <w:t>Export from SAP GRC; maintain in Excel</w:t>
            </w:r>
          </w:p>
        </w:tc>
        <w:tc>
          <w:tcPr>
            <w:tcW w:type="dxa" w:w="2880"/>
          </w:tcPr>
          <w:p>
            <w:r/>
            <w:r>
              <w:t>Live query; automatically linked to findings</w:t>
            </w:r>
          </w:p>
        </w:tc>
      </w:tr>
      <w:tr>
        <w:tc>
          <w:tcPr>
            <w:tcW w:type="dxa" w:w="2880"/>
          </w:tcPr>
          <w:p>
            <w:r/>
            <w:r>
              <w:t>Workpaper management</w:t>
            </w:r>
          </w:p>
        </w:tc>
        <w:tc>
          <w:tcPr>
            <w:tcW w:type="dxa" w:w="2880"/>
          </w:tcPr>
          <w:p>
            <w:r/>
            <w:r>
              <w:t>SharePoint/network drive</w:t>
            </w:r>
          </w:p>
        </w:tc>
        <w:tc>
          <w:tcPr>
            <w:tcW w:type="dxa" w:w="2880"/>
          </w:tcPr>
          <w:p>
            <w:r/>
            <w:r>
              <w:t>Versioned, searchable, cross-referenced repository</w:t>
            </w:r>
          </w:p>
        </w:tc>
      </w:tr>
      <w:tr>
        <w:tc>
          <w:tcPr>
            <w:tcW w:type="dxa" w:w="2880"/>
          </w:tcPr>
          <w:p>
            <w:r/>
            <w:r>
              <w:t>Finding tracking</w:t>
            </w:r>
          </w:p>
        </w:tc>
        <w:tc>
          <w:tcPr>
            <w:tcW w:type="dxa" w:w="2880"/>
          </w:tcPr>
          <w:p>
            <w:r/>
            <w:r>
              <w:t>Email threads; Excel tracker</w:t>
            </w:r>
          </w:p>
        </w:tc>
        <w:tc>
          <w:tcPr>
            <w:tcW w:type="dxa" w:w="2880"/>
          </w:tcPr>
          <w:p>
            <w:r/>
            <w:r>
              <w:t>Structured CCCE findings with action tracking</w:t>
            </w:r>
          </w:p>
        </w:tc>
      </w:tr>
      <w:tr>
        <w:tc>
          <w:tcPr>
            <w:tcW w:type="dxa" w:w="2880"/>
          </w:tcPr>
          <w:p>
            <w:r/>
            <w:r>
              <w:t>Certification evidence</w:t>
            </w:r>
          </w:p>
        </w:tc>
        <w:tc>
          <w:tcPr>
            <w:tcW w:type="dxa" w:w="2880"/>
          </w:tcPr>
          <w:p>
            <w:r/>
            <w:r>
              <w:t>PDF exports from UAR tool</w:t>
            </w:r>
          </w:p>
        </w:tc>
        <w:tc>
          <w:tcPr>
            <w:tcW w:type="dxa" w:w="2880"/>
          </w:tcPr>
          <w:p>
            <w:r/>
            <w:r>
              <w:t>Direct link to certification decisions in GovernexPlus</w:t>
            </w:r>
          </w:p>
        </w:tc>
      </w:tr>
      <w:tr>
        <w:tc>
          <w:tcPr>
            <w:tcW w:type="dxa" w:w="2880"/>
          </w:tcPr>
          <w:p>
            <w:r/>
            <w:r>
              <w:t>Report generation</w:t>
            </w:r>
          </w:p>
        </w:tc>
        <w:tc>
          <w:tcPr>
            <w:tcW w:type="dxa" w:w="2880"/>
          </w:tcPr>
          <w:p>
            <w:r/>
            <w:r>
              <w:t>Word document + manual charts</w:t>
            </w:r>
          </w:p>
        </w:tc>
        <w:tc>
          <w:tcPr>
            <w:tcW w:type="dxa" w:w="2880"/>
          </w:tcPr>
          <w:p>
            <w:r/>
            <w:r>
              <w:t>Auto-generated with live data, PPTX/PDF export</w:t>
            </w:r>
          </w:p>
        </w:tc>
      </w:tr>
      <w:tr>
        <w:tc>
          <w:tcPr>
            <w:tcW w:type="dxa" w:w="2880"/>
          </w:tcPr>
          <w:p>
            <w:r/>
            <w:r>
              <w:t>Prior period comparison</w:t>
            </w:r>
          </w:p>
        </w:tc>
        <w:tc>
          <w:tcPr>
            <w:tcW w:type="dxa" w:w="2880"/>
          </w:tcPr>
          <w:p>
            <w:r/>
            <w:r>
              <w:t>Archive search</w:t>
            </w:r>
          </w:p>
        </w:tc>
        <w:tc>
          <w:tcPr>
            <w:tcW w:type="dxa" w:w="2880"/>
          </w:tcPr>
          <w:p>
            <w:r/>
            <w:r>
              <w:t>Built-in prior period comparison and trend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Audit Universe Management</w:t>
      </w:r>
    </w:p>
    <w:p>
      <w:pPr>
        <w:pStyle w:val="Heading3"/>
      </w:pPr>
      <w:r>
        <w:t>2.1 What is the Audit Universe?</w:t>
      </w:r>
    </w:p>
    <w:p>
      <w:r>
        <w:t>The audit universe is the complete population of everything your internal audit function is responsible for reviewing. It is the starting point for every audit plan — you cannot plan what to audit if you don't know what exists.</w:t>
      </w:r>
    </w:p>
    <w:p>
      <w:r>
        <w:t>GovernexPlus maintains a structured, risk-scored audit universe that automatically stays current because it is connected to live data from all four GRC pillars.</w:t>
      </w:r>
    </w:p>
    <w:p>
      <w:r/>
      <w:r>
        <w:rPr>
          <w:b/>
        </w:rPr>
        <w:t>Universe Entity Types: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Entity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/>
            <w:r>
              <w:t>Legal Entity</w:t>
            </w:r>
          </w:p>
        </w:tc>
        <w:tc>
          <w:tcPr>
            <w:tcW w:type="dxa" w:w="4320"/>
          </w:tcPr>
          <w:p>
            <w:r/>
            <w:r>
              <w:t>ACME Corp USA, ACME Corp UK, ACME GmbH</w:t>
            </w:r>
          </w:p>
        </w:tc>
      </w:tr>
      <w:tr>
        <w:tc>
          <w:tcPr>
            <w:tcW w:type="dxa" w:w="4320"/>
          </w:tcPr>
          <w:p>
            <w:r/>
            <w:r>
              <w:t>Business Division</w:t>
            </w:r>
          </w:p>
        </w:tc>
        <w:tc>
          <w:tcPr>
            <w:tcW w:type="dxa" w:w="4320"/>
          </w:tcPr>
          <w:p>
            <w:r/>
            <w:r>
              <w:t>Americas, EMEA, APAC</w:t>
            </w:r>
          </w:p>
        </w:tc>
      </w:tr>
      <w:tr>
        <w:tc>
          <w:tcPr>
            <w:tcW w:type="dxa" w:w="4320"/>
          </w:tcPr>
          <w:p>
            <w:r/>
            <w:r>
              <w:t>Business Department</w:t>
            </w:r>
          </w:p>
        </w:tc>
        <w:tc>
          <w:tcPr>
            <w:tcW w:type="dxa" w:w="4320"/>
          </w:tcPr>
          <w:p>
            <w:r/>
            <w:r>
              <w:t>Finance, Procurement, HR, IT</w:t>
            </w:r>
          </w:p>
        </w:tc>
      </w:tr>
      <w:tr>
        <w:tc>
          <w:tcPr>
            <w:tcW w:type="dxa" w:w="4320"/>
          </w:tcPr>
          <w:p>
            <w:r/>
            <w:r>
              <w:t>Business Process</w:t>
            </w:r>
          </w:p>
        </w:tc>
        <w:tc>
          <w:tcPr>
            <w:tcW w:type="dxa" w:w="4320"/>
          </w:tcPr>
          <w:p>
            <w:r/>
            <w:r>
              <w:t>Accounts Payable, Payroll, Procurement-to-Pay, Order-to-Cash</w:t>
            </w:r>
          </w:p>
        </w:tc>
      </w:tr>
      <w:tr>
        <w:tc>
          <w:tcPr>
            <w:tcW w:type="dxa" w:w="4320"/>
          </w:tcPr>
          <w:p>
            <w:r/>
            <w:r>
              <w:t>IT Application</w:t>
            </w:r>
          </w:p>
        </w:tc>
        <w:tc>
          <w:tcPr>
            <w:tcW w:type="dxa" w:w="4320"/>
          </w:tcPr>
          <w:p>
            <w:r/>
            <w:r>
              <w:t>SAP S/4HANA PRD, Salesforce, SAP SuccessFactors</w:t>
            </w:r>
          </w:p>
        </w:tc>
      </w:tr>
      <w:tr>
        <w:tc>
          <w:tcPr>
            <w:tcW w:type="dxa" w:w="4320"/>
          </w:tcPr>
          <w:p>
            <w:r/>
            <w:r>
              <w:t>IT Infrastructure</w:t>
            </w:r>
          </w:p>
        </w:tc>
        <w:tc>
          <w:tcPr>
            <w:tcW w:type="dxa" w:w="4320"/>
          </w:tcPr>
          <w:p>
            <w:r/>
            <w:r>
              <w:t>Data center, Network, Cloud (AWS account)</w:t>
            </w:r>
          </w:p>
        </w:tc>
      </w:tr>
      <w:tr>
        <w:tc>
          <w:tcPr>
            <w:tcW w:type="dxa" w:w="4320"/>
          </w:tcPr>
          <w:p>
            <w:r/>
            <w:r>
              <w:t>Regulatory Requirement</w:t>
            </w:r>
          </w:p>
        </w:tc>
        <w:tc>
          <w:tcPr>
            <w:tcW w:type="dxa" w:w="4320"/>
          </w:tcPr>
          <w:p>
            <w:r/>
            <w:r>
              <w:t>SOX Section 302, SOX Section 404, GDPR Article 32</w:t>
            </w:r>
          </w:p>
        </w:tc>
      </w:tr>
    </w:tbl>
    <w:p/>
    <w:p>
      <w:pPr>
        <w:pStyle w:val="Heading3"/>
      </w:pPr>
      <w:r>
        <w:t>2.2 Creating Auditable Entities</w:t>
      </w:r>
    </w:p>
    <w:p>
      <w:r/>
      <w:r>
        <w:rPr>
          <w:b/>
        </w:rPr>
        <w:t>Navigate to: Audit → Universe → New Entity</w:t>
      </w:r>
      <w:r/>
    </w:p>
    <w:p>
      <w:r>
        <w:t>[Screenshot: New Audit Universe Entity form with type selector, metadata fields, and risk score preview]</w:t>
      </w:r>
    </w:p>
    <w:p>
      <w:r/>
      <w:r>
        <w:rPr>
          <w:b/>
        </w:rPr>
        <w:t>Entity record fields: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Entity ID</w:t>
            </w:r>
          </w:p>
        </w:tc>
        <w:tc>
          <w:tcPr>
            <w:tcW w:type="dxa" w:w="2880"/>
          </w:tcPr>
          <w:p>
            <w:r/>
            <w:r>
              <w:t>AE-FIN-001</w:t>
            </w:r>
          </w:p>
        </w:tc>
        <w:tc>
          <w:tcPr>
            <w:tcW w:type="dxa" w:w="2880"/>
          </w:tcPr>
          <w:p>
            <w:r/>
            <w:r>
              <w:t>Auto-generated</w:t>
            </w:r>
          </w:p>
        </w:tc>
      </w:tr>
      <w:tr>
        <w:tc>
          <w:tcPr>
            <w:tcW w:type="dxa" w:w="2880"/>
          </w:tcPr>
          <w:p>
            <w:r/>
            <w:r>
              <w:t>Entity Name</w:t>
            </w:r>
          </w:p>
        </w:tc>
        <w:tc>
          <w:tcPr>
            <w:tcW w:type="dxa" w:w="2880"/>
          </w:tcPr>
          <w:p>
            <w:r/>
            <w:r>
              <w:t>Accounts Payable Process</w:t>
            </w:r>
          </w:p>
        </w:tc>
        <w:tc>
          <w:tcPr>
            <w:tcW w:type="dxa" w:w="2880"/>
          </w:tcPr>
          <w:p>
            <w:r/>
            <w:r>
              <w:t>Descriptive, unique</w:t>
            </w:r>
          </w:p>
        </w:tc>
      </w:tr>
      <w:tr>
        <w:tc>
          <w:tcPr>
            <w:tcW w:type="dxa" w:w="2880"/>
          </w:tcPr>
          <w:p>
            <w:r/>
            <w:r>
              <w:t>Entity Type</w:t>
            </w:r>
          </w:p>
        </w:tc>
        <w:tc>
          <w:tcPr>
            <w:tcW w:type="dxa" w:w="2880"/>
          </w:tcPr>
          <w:p>
            <w:r/>
            <w:r>
              <w:t>Business Process</w:t>
            </w:r>
          </w:p>
        </w:tc>
        <w:tc>
          <w:tcPr>
            <w:tcW w:type="dxa" w:w="2880"/>
          </w:tcPr>
          <w:p>
            <w:r/>
            <w:r>
              <w:t>From type list above</w:t>
            </w:r>
          </w:p>
        </w:tc>
      </w:tr>
      <w:tr>
        <w:tc>
          <w:tcPr>
            <w:tcW w:type="dxa" w:w="2880"/>
          </w:tcPr>
          <w:p>
            <w:r/>
            <w:r>
              <w:t>Parent Entity</w:t>
            </w:r>
          </w:p>
        </w:tc>
        <w:tc>
          <w:tcPr>
            <w:tcW w:type="dxa" w:w="2880"/>
          </w:tcPr>
          <w:p>
            <w:r/>
            <w:r>
              <w:t>Finance Department</w:t>
            </w:r>
          </w:p>
        </w:tc>
        <w:tc>
          <w:tcPr>
            <w:tcW w:type="dxa" w:w="2880"/>
          </w:tcPr>
          <w:p>
            <w:r/>
            <w:r>
              <w:t>Hierarchy placement</w:t>
            </w:r>
          </w:p>
        </w:tc>
      </w:tr>
      <w:tr>
        <w:tc>
          <w:tcPr>
            <w:tcW w:type="dxa" w:w="2880"/>
          </w:tcPr>
          <w:p>
            <w:r/>
            <w:r>
              <w:t>Description</w:t>
            </w:r>
          </w:p>
        </w:tc>
        <w:tc>
          <w:tcPr>
            <w:tcW w:type="dxa" w:w="2880"/>
          </w:tcPr>
          <w:p>
            <w:r/>
            <w:r>
              <w:t>End-to-end AP including PO matching, invoice processing...</w:t>
            </w:r>
          </w:p>
        </w:tc>
        <w:tc>
          <w:tcPr>
            <w:tcW w:type="dxa" w:w="2880"/>
          </w:tcPr>
          <w:p>
            <w:r/>
            <w:r>
              <w:t>Scope description</w:t>
            </w:r>
          </w:p>
        </w:tc>
      </w:tr>
      <w:tr>
        <w:tc>
          <w:tcPr>
            <w:tcW w:type="dxa" w:w="2880"/>
          </w:tcPr>
          <w:p>
            <w:r/>
            <w:r>
              <w:t>Entity Owner</w:t>
            </w:r>
          </w:p>
        </w:tc>
        <w:tc>
          <w:tcPr>
            <w:tcW w:type="dxa" w:w="2880"/>
          </w:tcPr>
          <w:p>
            <w:r/>
            <w:r>
              <w:t>John Smith (AP Manager)</w:t>
            </w:r>
          </w:p>
        </w:tc>
        <w:tc>
          <w:tcPr>
            <w:tcW w:type="dxa" w:w="2880"/>
          </w:tcPr>
          <w:p>
            <w:r/>
            <w:r>
              <w:t>Management accountability</w:t>
            </w:r>
          </w:p>
        </w:tc>
      </w:tr>
      <w:tr>
        <w:tc>
          <w:tcPr>
            <w:tcW w:type="dxa" w:w="2880"/>
          </w:tcPr>
          <w:p>
            <w:r/>
            <w:r>
              <w:t>Regulatory Significance</w:t>
            </w:r>
          </w:p>
        </w:tc>
        <w:tc>
          <w:tcPr>
            <w:tcW w:type="dxa" w:w="2880"/>
          </w:tcPr>
          <w:p>
            <w:r/>
            <w:r>
              <w:t>SOX</w:t>
            </w:r>
          </w:p>
        </w:tc>
        <w:tc>
          <w:tcPr>
            <w:tcW w:type="dxa" w:w="2880"/>
          </w:tcPr>
          <w:p>
            <w:r/>
            <w:r>
              <w:t>Which regulations govern this entity</w:t>
            </w:r>
          </w:p>
        </w:tc>
      </w:tr>
      <w:tr>
        <w:tc>
          <w:tcPr>
            <w:tcW w:type="dxa" w:w="2880"/>
          </w:tcPr>
          <w:p>
            <w:r/>
            <w:r>
              <w:t>Inherent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Pre-control risk assessment</w:t>
            </w:r>
          </w:p>
        </w:tc>
      </w:tr>
      <w:tr>
        <w:tc>
          <w:tcPr>
            <w:tcW w:type="dxa" w:w="2880"/>
          </w:tcPr>
          <w:p>
            <w:r/>
            <w:r>
              <w:t>Control Coverage</w:t>
            </w:r>
          </w:p>
        </w:tc>
        <w:tc>
          <w:tcPr>
            <w:tcW w:type="dxa" w:w="2880"/>
          </w:tcPr>
          <w:p>
            <w:r/>
            <w:r>
              <w:t>Good</w:t>
            </w:r>
          </w:p>
        </w:tc>
        <w:tc>
          <w:tcPr>
            <w:tcW w:type="dxa" w:w="2880"/>
          </w:tcPr>
          <w:p>
            <w:r/>
            <w:r>
              <w:t>Assessment of existing controls</w:t>
            </w:r>
          </w:p>
        </w:tc>
      </w:tr>
      <w:tr>
        <w:tc>
          <w:tcPr>
            <w:tcW w:type="dxa" w:w="2880"/>
          </w:tcPr>
          <w:p>
            <w:r/>
            <w:r>
              <w:t>Strategic Importance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Business criticality</w:t>
            </w:r>
          </w:p>
        </w:tc>
      </w:tr>
      <w:tr>
        <w:tc>
          <w:tcPr>
            <w:tcW w:type="dxa" w:w="2880"/>
          </w:tcPr>
          <w:p>
            <w:r/>
            <w:r>
              <w:t>IT Systems</w:t>
            </w:r>
          </w:p>
        </w:tc>
        <w:tc>
          <w:tcPr>
            <w:tcW w:type="dxa" w:w="2880"/>
          </w:tcPr>
          <w:p>
            <w:r/>
            <w:r>
              <w:t>SAP PRD, SAP SRM</w:t>
            </w:r>
          </w:p>
        </w:tc>
        <w:tc>
          <w:tcPr>
            <w:tcW w:type="dxa" w:w="2880"/>
          </w:tcPr>
          <w:p>
            <w:r/>
            <w:r>
              <w:t>Connected systems</w:t>
            </w:r>
          </w:p>
        </w:tc>
      </w:tr>
      <w:tr>
        <w:tc>
          <w:tcPr>
            <w:tcW w:type="dxa" w:w="2880"/>
          </w:tcPr>
          <w:p>
            <w:r/>
            <w:r>
              <w:t>Geographic Scope</w:t>
            </w:r>
          </w:p>
        </w:tc>
        <w:tc>
          <w:tcPr>
            <w:tcW w:type="dxa" w:w="2880"/>
          </w:tcPr>
          <w:p>
            <w:r/>
            <w:r>
              <w:t>US, UK, Germany</w:t>
            </w:r>
          </w:p>
        </w:tc>
        <w:tc>
          <w:tcPr>
            <w:tcW w:type="dxa" w:w="2880"/>
          </w:tcPr>
          <w:p>
            <w:r/>
            <w:r>
              <w:t>Where this entity operates</w:t>
            </w:r>
          </w:p>
        </w:tc>
      </w:tr>
      <w:tr>
        <w:tc>
          <w:tcPr>
            <w:tcW w:type="dxa" w:w="2880"/>
          </w:tcPr>
          <w:p>
            <w:r/>
            <w:r>
              <w:t>Staff Count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Number of personnel</w:t>
            </w:r>
          </w:p>
        </w:tc>
      </w:tr>
      <w:tr>
        <w:tc>
          <w:tcPr>
            <w:tcW w:type="dxa" w:w="2880"/>
          </w:tcPr>
          <w:p>
            <w:r/>
            <w:r>
              <w:t>Financial Materiality</w:t>
            </w:r>
          </w:p>
        </w:tc>
        <w:tc>
          <w:tcPr>
            <w:tcW w:type="dxa" w:w="2880"/>
          </w:tcPr>
          <w:p>
            <w:r/>
            <w:r>
              <w:t>$120M annual spend</w:t>
            </w:r>
          </w:p>
        </w:tc>
        <w:tc>
          <w:tcPr>
            <w:tcW w:type="dxa" w:w="2880"/>
          </w:tcPr>
          <w:p>
            <w:r/>
            <w:r>
              <w:t>Volume processed</w:t>
            </w:r>
          </w:p>
        </w:tc>
      </w:tr>
      <w:tr>
        <w:tc>
          <w:tcPr>
            <w:tcW w:type="dxa" w:w="2880"/>
          </w:tcPr>
          <w:p>
            <w:r/>
            <w:r>
              <w:t>Last Audit Date</w:t>
            </w:r>
          </w:p>
        </w:tc>
        <w:tc>
          <w:tcPr>
            <w:tcW w:type="dxa" w:w="2880"/>
          </w:tcPr>
          <w:p>
            <w:r/>
            <w:r>
              <w:t>2025-Q3</w:t>
            </w:r>
          </w:p>
        </w:tc>
        <w:tc>
          <w:tcPr>
            <w:tcW w:type="dxa" w:w="2880"/>
          </w:tcPr>
          <w:p>
            <w:r/>
            <w:r>
              <w:t>When last reviewed</w:t>
            </w:r>
          </w:p>
        </w:tc>
      </w:tr>
    </w:tbl>
    <w:p/>
    <w:p>
      <w:pPr>
        <w:pStyle w:val="Heading3"/>
      </w:pPr>
      <w:r>
        <w:t>2.3 Automated Risk-Based Scoring (XI-04)</w:t>
      </w:r>
    </w:p>
    <w:p>
      <w:r>
        <w:t>GovernexPlus automatically calculates a composite risk score for each universe entity by combining data from all four GRC pillars:</w:t>
      </w:r>
    </w:p>
    <w:p>
      <w:r/>
      <w:r>
        <w:rPr>
          <w:b/>
        </w:rPr>
        <w:t>Scoring Formula: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Audit Universe Risk Score (0-100) =</w:t>
        <w:br/>
      </w:r>
      <w:r>
        <w:rPr>
          <w:rFonts w:ascii="Consolas" w:hAnsi="Consolas"/>
          <w:color w:val="333333"/>
          <w:sz w:val="18"/>
        </w:rPr>
        <w:t xml:space="preserve">  [RM Contribution: 40%]  Risk register average severity for this entity's processes</w:t>
        <w:br/>
      </w:r>
      <w:r>
        <w:rPr>
          <w:rFonts w:ascii="Consolas" w:hAnsi="Consolas"/>
          <w:color w:val="333333"/>
          <w:sz w:val="18"/>
        </w:rPr>
        <w:t>+ [PC Contribution: 35%]  Inverse of control maturity (higher maturity = lower audit priority)</w:t>
        <w:br/>
      </w:r>
      <w:r>
        <w:rPr>
          <w:rFonts w:ascii="Consolas" w:hAnsi="Consolas"/>
          <w:color w:val="333333"/>
          <w:sz w:val="18"/>
        </w:rPr>
        <w:t>+ [AC Contribution: 25%]  Access risk exposure for users in this entity's org unit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Where:</w:t>
        <w:br/>
      </w:r>
      <w:r>
        <w:rPr>
          <w:rFonts w:ascii="Consolas" w:hAnsi="Consolas"/>
          <w:color w:val="333333"/>
          <w:sz w:val="18"/>
        </w:rPr>
        <w:t xml:space="preserve">  RM Contribution = Average residual risk rating for linked risks × 0.40</w:t>
        <w:br/>
      </w:r>
      <w:r>
        <w:rPr>
          <w:rFonts w:ascii="Consolas" w:hAnsi="Consolas"/>
          <w:color w:val="333333"/>
          <w:sz w:val="18"/>
        </w:rPr>
        <w:t xml:space="preserve">  PC Contribution = (1 - Control Effectiveness Index) × 100 × 0.35</w:t>
        <w:br/>
      </w:r>
      <w:r>
        <w:rPr>
          <w:rFonts w:ascii="Consolas" w:hAnsi="Consolas"/>
          <w:color w:val="333333"/>
          <w:sz w:val="18"/>
        </w:rPr>
        <w:t xml:space="preserve">  AC Contribution = Mean SoD violation score for entity's users × 0.25</w:t>
        <w:br/>
      </w:r>
    </w:p>
    <w:p>
      <w:r/>
      <w:r>
        <w:rPr>
          <w:b/>
        </w:rPr>
        <w:t>Score interpretation: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Audit Frequency</w:t>
            </w:r>
          </w:p>
        </w:tc>
      </w:tr>
      <w:tr>
        <w:tc>
          <w:tcPr>
            <w:tcW w:type="dxa" w:w="2880"/>
          </w:tcPr>
          <w:p>
            <w:r/>
            <w:r>
              <w:t>75–100</w:t>
            </w:r>
          </w:p>
        </w:tc>
        <w:tc>
          <w:tcPr>
            <w:tcW w:type="dxa" w:w="2880"/>
          </w:tcPr>
          <w:p>
            <w:r/>
            <w:r>
              <w:t>Priority 1</w:t>
            </w:r>
          </w:p>
        </w:tc>
        <w:tc>
          <w:tcPr>
            <w:tcW w:type="dxa" w:w="2880"/>
          </w:tcPr>
          <w:p>
            <w:r/>
            <w:r>
              <w:t>Annual (mandatory)</w:t>
            </w:r>
          </w:p>
        </w:tc>
      </w:tr>
      <w:tr>
        <w:tc>
          <w:tcPr>
            <w:tcW w:type="dxa" w:w="2880"/>
          </w:tcPr>
          <w:p>
            <w:r/>
            <w:r>
              <w:t>50–74</w:t>
            </w:r>
          </w:p>
        </w:tc>
        <w:tc>
          <w:tcPr>
            <w:tcW w:type="dxa" w:w="2880"/>
          </w:tcPr>
          <w:p>
            <w:r/>
            <w:r>
              <w:t>Priority 2</w:t>
            </w:r>
          </w:p>
        </w:tc>
        <w:tc>
          <w:tcPr>
            <w:tcW w:type="dxa" w:w="2880"/>
          </w:tcPr>
          <w:p>
            <w:r/>
            <w:r>
              <w:t>Annual or bi-annual</w:t>
            </w:r>
          </w:p>
        </w:tc>
      </w:tr>
      <w:tr>
        <w:tc>
          <w:tcPr>
            <w:tcW w:type="dxa" w:w="2880"/>
          </w:tcPr>
          <w:p>
            <w:r/>
            <w:r>
              <w:t>25–49</w:t>
            </w:r>
          </w:p>
        </w:tc>
        <w:tc>
          <w:tcPr>
            <w:tcW w:type="dxa" w:w="2880"/>
          </w:tcPr>
          <w:p>
            <w:r/>
            <w:r>
              <w:t>Priority 3</w:t>
            </w:r>
          </w:p>
        </w:tc>
        <w:tc>
          <w:tcPr>
            <w:tcW w:type="dxa" w:w="2880"/>
          </w:tcPr>
          <w:p>
            <w:r/>
            <w:r>
              <w:t>Every 2–3 years</w:t>
            </w:r>
          </w:p>
        </w:tc>
      </w:tr>
      <w:tr>
        <w:tc>
          <w:tcPr>
            <w:tcW w:type="dxa" w:w="2880"/>
          </w:tcPr>
          <w:p>
            <w:r/>
            <w:r>
              <w:t>0–24</w:t>
            </w:r>
          </w:p>
        </w:tc>
        <w:tc>
          <w:tcPr>
            <w:tcW w:type="dxa" w:w="2880"/>
          </w:tcPr>
          <w:p>
            <w:r/>
            <w:r>
              <w:t>Priority 4</w:t>
            </w:r>
          </w:p>
        </w:tc>
        <w:tc>
          <w:tcPr>
            <w:tcW w:type="dxa" w:w="2880"/>
          </w:tcPr>
          <w:p>
            <w:r/>
            <w:r>
              <w:t>Every 3–5 years or risk-based</w:t>
            </w:r>
          </w:p>
        </w:tc>
      </w:tr>
    </w:tbl>
    <w:p/>
    <w:p>
      <w:r/>
      <w:r>
        <w:rPr>
          <w:b/>
        </w:rPr>
        <w:t>Score components are live:</w:t>
      </w:r>
      <w:r/>
    </w:p>
    <w:p>
      <w:r>
        <w:t>The composite score updates automatically when:</w:t>
      </w:r>
    </w:p>
    <w:p>
      <w:pPr>
        <w:pStyle w:val="ListBullet"/>
      </w:pPr>
      <w:r>
        <w:t>A new risk is added to the RM register linked to this entity</w:t>
      </w:r>
    </w:p>
    <w:p>
      <w:pPr>
        <w:pStyle w:val="ListBullet"/>
      </w:pPr>
      <w:r>
        <w:t>A control is assessed as ineffective in the PC pillar</w:t>
      </w:r>
    </w:p>
    <w:p>
      <w:pPr>
        <w:pStyle w:val="ListBullet"/>
      </w:pPr>
      <w:r>
        <w:t>A new SoD violation is detected for users in this entity's org unit</w:t>
      </w:r>
    </w:p>
    <w:p>
      <w:pPr>
        <w:pStyle w:val="ListBullet"/>
      </w:pPr>
      <w:r>
        <w:t>A prior finding is closed (score improves)</w:t>
      </w:r>
    </w:p>
    <w:p>
      <w:r>
        <w:t>This means your audit universe is always current — no annual manual risk reassessment required.</w:t>
      </w:r>
    </w:p>
    <w:p>
      <w:r>
        <w:t>[Screenshot: Audit Universe heatmap showing entities plotted by risk score with priority color coding]</w:t>
      </w:r>
    </w:p>
    <w:p>
      <w:pPr>
        <w:pStyle w:val="Heading3"/>
      </w:pPr>
      <w:r>
        <w:t>2.4 Maintaining the Universe</w:t>
      </w:r>
    </w:p>
    <w:p>
      <w:r/>
      <w:r>
        <w:rPr>
          <w:b/>
        </w:rPr>
        <w:t>Periodic universe review (annual recommended):</w:t>
      </w:r>
      <w:r/>
    </w:p>
    <w:p>
      <w:pPr>
        <w:pStyle w:val="ListNumber"/>
      </w:pPr>
      <w:r>
        <w:t xml:space="preserve">Navigate to </w:t>
      </w:r>
      <w:r>
        <w:rPr>
          <w:b/>
        </w:rPr>
        <w:t>Audit → Universe → Review Mode</w:t>
      </w:r>
      <w:r/>
    </w:p>
    <w:p>
      <w:pPr>
        <w:pStyle w:val="ListNumber"/>
      </w:pPr>
      <w:r>
        <w:t>Review each entity:</w:t>
      </w:r>
    </w:p>
    <w:p>
      <w:r>
        <w:t xml:space="preserve">   - Is it still an accurate description of the entity?</w:t>
      </w:r>
    </w:p>
    <w:p>
      <w:r>
        <w:t xml:space="preserve">   - Have ownership or organizational changes occurred?</w:t>
      </w:r>
    </w:p>
    <w:p>
      <w:r>
        <w:t xml:space="preserve">   - Are there new entities that should be added (new systems, new processes, M&amp;A)?</w:t>
      </w:r>
    </w:p>
    <w:p>
      <w:r>
        <w:t xml:space="preserve">   - Have any entities been decommissioned?</w:t>
      </w:r>
    </w:p>
    <w:p>
      <w:pPr>
        <w:pStyle w:val="ListNumber"/>
      </w:pPr>
      <w:r>
        <w:t>Update and archive as needed</w:t>
      </w:r>
    </w:p>
    <w:p>
      <w:r/>
      <w:r>
        <w:rPr>
          <w:b/>
        </w:rPr>
        <w:t>Archiving entities:</w:t>
      </w:r>
      <w:r/>
    </w:p>
    <w:p>
      <w:r>
        <w:t>Retired entities (decommissioned systems, divested business units) should be archived, not deleted:</w:t>
      </w:r>
    </w:p>
    <w:p>
      <w:pPr>
        <w:pStyle w:val="ListBullet"/>
      </w:pPr>
      <w:r>
        <w:t>Archived entities remain for historical reference (prior audits, evidence)</w:t>
      </w:r>
    </w:p>
    <w:p>
      <w:pPr>
        <w:pStyle w:val="ListBullet"/>
      </w:pPr>
      <w:r>
        <w:t>They no longer appear in active universe lists or contribute to planning</w:t>
      </w:r>
    </w:p>
    <w:p>
      <w:pPr>
        <w:pStyle w:val="ListBullet"/>
      </w:pPr>
      <w:r>
        <w:t>Archival is logged with reason and date</w:t>
      </w:r>
    </w:p>
    <w:p>
      <w:r/>
      <w:r>
        <w:rPr>
          <w:b/>
        </w:rPr>
        <w:t>Entity change history:</w:t>
      </w:r>
      <w:r/>
    </w:p>
    <w:p>
      <w:r>
        <w:t>Every change to an entity record is versioned:</w:t>
      </w:r>
    </w:p>
    <w:p>
      <w:pPr>
        <w:pStyle w:val="ListBullet"/>
      </w:pPr>
      <w:r>
        <w:t>What changed, who changed it, when</w:t>
      </w:r>
    </w:p>
    <w:p>
      <w:pPr>
        <w:pStyle w:val="ListBullet"/>
      </w:pPr>
      <w:r>
        <w:t>Available for audit trail review</w:t>
      </w:r>
    </w:p>
    <w:p>
      <w:pPr>
        <w:pStyle w:val="ListBullet"/>
      </w:pPr>
      <w:r>
        <w:t>Auditors can view the entity as it existed during any historical period (important for prior-period audit reference)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Audit Planning</w:t>
      </w:r>
    </w:p>
    <w:p>
      <w:pPr>
        <w:pStyle w:val="Heading3"/>
      </w:pPr>
      <w:r>
        <w:t>3.1 Creating an Annual Audit Plan</w:t>
      </w:r>
    </w:p>
    <w:p>
      <w:r/>
      <w:r>
        <w:rPr>
          <w:b/>
        </w:rPr>
        <w:t>Navigate to: Audit → Plans → New Plan</w:t>
      </w:r>
      <w:r/>
    </w:p>
    <w:p>
      <w:r/>
      <w:r>
        <w:rPr>
          <w:b/>
        </w:rPr>
        <w:t>Plan parameters: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Plan Title</w:t>
            </w:r>
          </w:p>
        </w:tc>
        <w:tc>
          <w:tcPr>
            <w:tcW w:type="dxa" w:w="2880"/>
          </w:tcPr>
          <w:p>
            <w:r/>
            <w:r>
              <w:t>FY2027 Internal Audit Plan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Plan Type</w:t>
            </w:r>
          </w:p>
        </w:tc>
        <w:tc>
          <w:tcPr>
            <w:tcW w:type="dxa" w:w="2880"/>
          </w:tcPr>
          <w:p>
            <w:r/>
            <w:r>
              <w:t>Annual</w:t>
            </w:r>
          </w:p>
        </w:tc>
        <w:tc>
          <w:tcPr>
            <w:tcW w:type="dxa" w:w="2880"/>
          </w:tcPr>
          <w:p>
            <w:r/>
            <w:r>
              <w:t>Annual / Multi-year / Rolling</w:t>
            </w:r>
          </w:p>
        </w:tc>
      </w:tr>
      <w:tr>
        <w:tc>
          <w:tcPr>
            <w:tcW w:type="dxa" w:w="2880"/>
          </w:tcPr>
          <w:p>
            <w:r/>
            <w:r>
              <w:t>Fiscal Year</w:t>
            </w:r>
          </w:p>
        </w:tc>
        <w:tc>
          <w:tcPr>
            <w:tcW w:type="dxa" w:w="2880"/>
          </w:tcPr>
          <w:p>
            <w:r/>
            <w:r>
              <w:t>2027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Planning Horizon</w:t>
            </w:r>
          </w:p>
        </w:tc>
        <w:tc>
          <w:tcPr>
            <w:tcW w:type="dxa" w:w="2880"/>
          </w:tcPr>
          <w:p>
            <w:r/>
            <w:r>
              <w:t>Q1 2027 – Q4 2027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Available Auditor-Days</w:t>
            </w:r>
          </w:p>
        </w:tc>
        <w:tc>
          <w:tcPr>
            <w:tcW w:type="dxa" w:w="2880"/>
          </w:tcPr>
          <w:p>
            <w:r/>
            <w:r>
              <w:t>800</w:t>
            </w:r>
          </w:p>
        </w:tc>
        <w:tc>
          <w:tcPr>
            <w:tcW w:type="dxa" w:w="2880"/>
          </w:tcPr>
          <w:p>
            <w:r/>
            <w:r>
              <w:t>Total capacity across team</w:t>
            </w:r>
          </w:p>
        </w:tc>
      </w:tr>
      <w:tr>
        <w:tc>
          <w:tcPr>
            <w:tcW w:type="dxa" w:w="2880"/>
          </w:tcPr>
          <w:p>
            <w:r/>
            <w:r>
              <w:t>Buffer Capacity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Reserve for unplanned work</w:t>
            </w:r>
          </w:p>
        </w:tc>
      </w:tr>
      <w:tr>
        <w:tc>
          <w:tcPr>
            <w:tcW w:type="dxa" w:w="2880"/>
          </w:tcPr>
          <w:p>
            <w:r/>
            <w:r>
              <w:t>CAE</w:t>
            </w:r>
          </w:p>
        </w:tc>
        <w:tc>
          <w:tcPr>
            <w:tcW w:type="dxa" w:w="2880"/>
          </w:tcPr>
          <w:p>
            <w:r/>
            <w:r>
              <w:t>Sarah Johnson</w:t>
            </w:r>
          </w:p>
        </w:tc>
        <w:tc>
          <w:tcPr>
            <w:tcW w:type="dxa" w:w="2880"/>
          </w:tcPr>
          <w:p>
            <w:r/>
            <w:r>
              <w:t>Chief Audit Executive</w:t>
            </w:r>
          </w:p>
        </w:tc>
      </w:tr>
      <w:tr>
        <w:tc>
          <w:tcPr>
            <w:tcW w:type="dxa" w:w="2880"/>
          </w:tcPr>
          <w:p>
            <w:r/>
            <w:r>
              <w:t>Approval Required</w:t>
            </w:r>
          </w:p>
        </w:tc>
        <w:tc>
          <w:tcPr>
            <w:tcW w:type="dxa" w:w="2880"/>
          </w:tcPr>
          <w:p>
            <w:r/>
            <w:r>
              <w:t>Board Audit Committee</w:t>
            </w:r>
          </w:p>
        </w:tc>
        <w:tc>
          <w:tcPr>
            <w:tcW w:type="dxa" w:w="2880"/>
          </w:tcPr>
          <w:p>
            <w:r/>
            <w:r>
              <w:t>Who approves the plan</w:t>
            </w:r>
          </w:p>
        </w:tc>
      </w:tr>
    </w:tbl>
    <w:p/>
    <w:p>
      <w:pPr>
        <w:pStyle w:val="Heading3"/>
      </w:pPr>
      <w:r>
        <w:t>3.2 Risk-Based Plan Generation</w:t>
      </w:r>
    </w:p>
    <w:p>
      <w:r>
        <w:t>GovernexPlus can generate an initial draft audit plan automatically from the universe risk scores.</w:t>
      </w:r>
    </w:p>
    <w:p>
      <w:r/>
      <w:r>
        <w:rPr>
          <w:b/>
        </w:rPr>
        <w:t>Navigate to: Audit → Plans → [Plan] → Generate from Risk Scores</w:t>
      </w:r>
      <w:r/>
    </w:p>
    <w:p>
      <w:r>
        <w:t>The auto-generation algorithm:</w:t>
      </w:r>
    </w:p>
    <w:p>
      <w:pPr>
        <w:pStyle w:val="ListNumber"/>
      </w:pPr>
      <w:r>
        <w:t>Retrieves all active universe entities sorted by composite risk score (descending)</w:t>
      </w:r>
    </w:p>
    <w:p>
      <w:pPr>
        <w:pStyle w:val="ListNumber"/>
      </w:pPr>
      <w:r>
        <w:t>Starting with the highest-risk entity, assigns engagements to quarters</w:t>
      </w:r>
    </w:p>
    <w:p>
      <w:pPr>
        <w:pStyle w:val="ListNumber"/>
      </w:pPr>
      <w:r>
        <w:t>Respects resource constraints per quarter (available days after 20% buffer)</w:t>
      </w:r>
    </w:p>
    <w:p>
      <w:pPr>
        <w:pStyle w:val="ListNumber"/>
      </w:pPr>
      <w:r>
        <w:t>Considers time since last audit (entities not audited in 3+ years get prioritized regardless of current risk score)</w:t>
      </w:r>
    </w:p>
    <w:p>
      <w:pPr>
        <w:pStyle w:val="ListNumber"/>
      </w:pPr>
      <w:r>
        <w:t>Flags mandatory items (SOX scope, regulatory commitments) for every year</w:t>
      </w:r>
    </w:p>
    <w:p>
      <w:pPr>
        <w:pStyle w:val="ListNumber"/>
      </w:pPr>
      <w:r>
        <w:t>Produces a draft plan with estimated effort days per engagement</w:t>
      </w:r>
    </w:p>
    <w:p>
      <w:r/>
      <w:r>
        <w:rPr>
          <w:b/>
        </w:rPr>
        <w:t>Reviewing and adjusting the draft plan:</w:t>
      </w:r>
      <w:r/>
    </w:p>
    <w:p>
      <w:r>
        <w:t>The generated plan is a starting point, not a final decision. CAE review typically:</w:t>
      </w:r>
    </w:p>
    <w:p>
      <w:pPr>
        <w:pStyle w:val="ListBullet"/>
      </w:pPr>
      <w:r>
        <w:t>Confirms coverage of all SOX-scoped entities</w:t>
      </w:r>
    </w:p>
    <w:p>
      <w:pPr>
        <w:pStyle w:val="ListBullet"/>
      </w:pPr>
      <w:r>
        <w:t>Adjusts timing based on business cycle (avoid AP audit during year-end close)</w:t>
      </w:r>
    </w:p>
    <w:p>
      <w:pPr>
        <w:pStyle w:val="ListBullet"/>
      </w:pPr>
      <w:r>
        <w:t>Confirms resource availability matches plan allocation</w:t>
      </w:r>
    </w:p>
    <w:p>
      <w:pPr>
        <w:pStyle w:val="ListBullet"/>
      </w:pPr>
      <w:r>
        <w:t>Adds management-requested engagements</w:t>
      </w:r>
    </w:p>
    <w:p>
      <w:pPr>
        <w:pStyle w:val="ListBullet"/>
      </w:pPr>
      <w:r>
        <w:t>Documents rationale for any departures from pure risk ranking</w:t>
      </w:r>
    </w:p>
    <w:p>
      <w:r>
        <w:t>[Screenshot: Annual audit plan with quarter columns, engagement cards showing estimated effort and risk score, drag-drop reordering]</w:t>
      </w:r>
    </w:p>
    <w:p>
      <w:pPr>
        <w:pStyle w:val="Heading3"/>
      </w:pPr>
      <w:r>
        <w:t>3.3 Resource Allocation</w:t>
      </w:r>
    </w:p>
    <w:p>
      <w:r/>
      <w:r>
        <w:rPr>
          <w:b/>
        </w:rPr>
        <w:t>Navigate to: Audit → Plans → [Plan] → Resources</w:t>
      </w:r>
      <w:r/>
    </w:p>
    <w:p>
      <w:r>
        <w:t>Resource planning shows:</w:t>
      </w:r>
    </w:p>
    <w:p>
      <w:pPr>
        <w:pStyle w:val="ListBullet"/>
      </w:pPr>
      <w:r>
        <w:t>Each auditor's total planned days by quarter</w:t>
      </w:r>
    </w:p>
    <w:p>
      <w:pPr>
        <w:pStyle w:val="ListBullet"/>
      </w:pPr>
      <w:r>
        <w:t>Utilization percentage vs. available capacity</w:t>
      </w:r>
    </w:p>
    <w:p>
      <w:pPr>
        <w:pStyle w:val="ListBullet"/>
      </w:pPr>
      <w:r>
        <w:t>Skills matching (is the assigned auditor qualified for this engagement type?)</w:t>
      </w:r>
    </w:p>
    <w:p>
      <w:pPr>
        <w:pStyle w:val="ListBullet"/>
      </w:pPr>
      <w:r>
        <w:t>Vacation and training blocks (imported from HR or manually entered)</w:t>
      </w:r>
    </w:p>
    <w:p>
      <w:pPr>
        <w:pStyle w:val="ListBullet"/>
      </w:pPr>
      <w:r>
        <w:t>Warning indicators when any quarter exceeds 80% utilization (inadequate buffer)</w:t>
      </w:r>
    </w:p>
    <w:p>
      <w:r/>
      <w:r>
        <w:rPr>
          <w:b/>
        </w:rPr>
        <w:t>Capacity view: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Q1 2027 Resource Summary:</w:t>
        <w:br/>
      </w:r>
      <w:r>
        <w:rPr>
          <w:rFonts w:ascii="Consolas" w:hAnsi="Consolas"/>
          <w:color w:val="333333"/>
          <w:sz w:val="18"/>
        </w:rPr>
        <w:t xml:space="preserve">  Sarah Johnson (Senior):   45 / 60 days planned  (75%)</w:t>
        <w:br/>
      </w:r>
      <w:r>
        <w:rPr>
          <w:rFonts w:ascii="Consolas" w:hAnsi="Consolas"/>
          <w:color w:val="333333"/>
          <w:sz w:val="18"/>
        </w:rPr>
        <w:t xml:space="preserve">  Mike Chen (Auditor II):   50 / 60 days planned  (83%) ⚠ High</w:t>
        <w:br/>
      </w:r>
      <w:r>
        <w:rPr>
          <w:rFonts w:ascii="Consolas" w:hAnsi="Consolas"/>
          <w:color w:val="333333"/>
          <w:sz w:val="18"/>
        </w:rPr>
        <w:t xml:space="preserve">  Lisa Park (Auditor I):    30 / 60 days planned  (50%)</w:t>
        <w:br/>
      </w:r>
      <w:r>
        <w:rPr>
          <w:rFonts w:ascii="Consolas" w:hAnsi="Consolas"/>
          <w:color w:val="333333"/>
          <w:sz w:val="18"/>
        </w:rPr>
        <w:t xml:space="preserve">  Team Total:              125 / 180 days planned  (69%)</w:t>
        <w:br/>
      </w:r>
      <w:r>
        <w:rPr>
          <w:rFonts w:ascii="Consolas" w:hAnsi="Consolas"/>
          <w:color w:val="333333"/>
          <w:sz w:val="18"/>
        </w:rPr>
        <w:t xml:space="preserve">  Unplanned buffer:         55 days</w:t>
        <w:br/>
      </w:r>
    </w:p>
    <w:p>
      <w:pPr>
        <w:pStyle w:val="Heading3"/>
      </w:pPr>
      <w:r>
        <w:t>3.4 Plan Approval Workflow</w:t>
      </w:r>
    </w:p>
    <w:p>
      <w:pPr>
        <w:pStyle w:val="ListNumber"/>
      </w:pPr>
      <w:r>
        <w:t>CAE reviews and finalizes the draft plan</w:t>
      </w:r>
    </w:p>
    <w:p>
      <w:pPr>
        <w:pStyle w:val="ListNumber"/>
      </w:pPr>
      <w:r>
        <w:t xml:space="preserve">CAE submits plan for approval: </w:t>
      </w:r>
      <w:r>
        <w:rPr>
          <w:b/>
        </w:rPr>
        <w:t>Plans → [Plan] → Submit for Approval</w:t>
      </w:r>
      <w:r/>
    </w:p>
    <w:p>
      <w:pPr>
        <w:pStyle w:val="ListNumber"/>
      </w:pPr>
      <w:r>
        <w:t>Approver receives notification (typically Board Audit Committee Chair or Audit Committee)</w:t>
      </w:r>
    </w:p>
    <w:p>
      <w:pPr>
        <w:pStyle w:val="ListNumber"/>
      </w:pPr>
      <w:r>
        <w:t>Approver reviews plan summary and approves or requests changes</w:t>
      </w:r>
    </w:p>
    <w:p>
      <w:pPr>
        <w:pStyle w:val="ListNumber"/>
      </w:pPr>
      <w:r>
        <w:t>Approved plan is locked — changes require a formal plan amendment (tracked separately)</w:t>
      </w:r>
    </w:p>
    <w:p>
      <w:r/>
      <w:r>
        <w:rPr>
          <w:b/>
        </w:rPr>
        <w:t>Plan amendment process:</w:t>
      </w:r>
      <w:r/>
    </w:p>
    <w:p>
      <w:r>
        <w:t>When the approved plan needs to change (new risks emerge, resources change):</w:t>
      </w:r>
    </w:p>
    <w:p>
      <w:pPr>
        <w:pStyle w:val="ListNumber"/>
      </w:pPr>
      <w:r>
        <w:t xml:space="preserve">Navigate to </w:t>
      </w:r>
      <w:r>
        <w:rPr>
          <w:b/>
        </w:rPr>
        <w:t>Plans → [Plan] → Request Amendment</w:t>
      </w:r>
      <w:r/>
    </w:p>
    <w:p>
      <w:pPr>
        <w:pStyle w:val="ListNumber"/>
      </w:pPr>
      <w:r>
        <w:t>Document what changed and why</w:t>
      </w:r>
    </w:p>
    <w:p>
      <w:pPr>
        <w:pStyle w:val="ListNumber"/>
      </w:pPr>
      <w:r>
        <w:t>Amended plan goes through the same approval workflow</w:t>
      </w:r>
    </w:p>
    <w:p>
      <w:pPr>
        <w:pStyle w:val="ListNumber"/>
      </w:pPr>
      <w:r>
        <w:t>Original and amended plan both preserved in history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Engagement Lifecycle</w:t>
      </w:r>
    </w:p>
    <w:p>
      <w:pPr>
        <w:pStyle w:val="Heading3"/>
      </w:pPr>
      <w:r>
        <w:t>4.1 Creating an Engagement</w:t>
      </w:r>
    </w:p>
    <w:p>
      <w:r/>
      <w:r>
        <w:rPr>
          <w:b/>
        </w:rPr>
        <w:t>Navigate to: Audit → Engagements → New Engagement</w:t>
      </w:r>
      <w:r/>
    </w:p>
    <w:p>
      <w:r/>
      <w:r>
        <w:rPr>
          <w:b/>
        </w:rPr>
        <w:t>Engagement setup form: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Engagement Title</w:t>
            </w:r>
          </w:p>
        </w:tc>
        <w:tc>
          <w:tcPr>
            <w:tcW w:type="dxa" w:w="2880"/>
          </w:tcPr>
          <w:p>
            <w:r/>
            <w:r>
              <w:t>Accounts Payable Process Review Q3 2026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Engagement Type</w:t>
            </w:r>
          </w:p>
        </w:tc>
        <w:tc>
          <w:tcPr>
            <w:tcW w:type="dxa" w:w="2880"/>
          </w:tcPr>
          <w:p>
            <w:r/>
            <w:r>
              <w:t>Internal Audit</w:t>
            </w:r>
          </w:p>
        </w:tc>
        <w:tc>
          <w:tcPr>
            <w:tcW w:type="dxa" w:w="2880"/>
          </w:tcPr>
          <w:p>
            <w:r/>
            <w:r>
              <w:t>See types below</w:t>
            </w:r>
          </w:p>
        </w:tc>
      </w:tr>
      <w:tr>
        <w:tc>
          <w:tcPr>
            <w:tcW w:type="dxa" w:w="2880"/>
          </w:tcPr>
          <w:p>
            <w:r/>
            <w:r>
              <w:t>Audit Plan Reference</w:t>
            </w:r>
          </w:p>
        </w:tc>
        <w:tc>
          <w:tcPr>
            <w:tcW w:type="dxa" w:w="2880"/>
          </w:tcPr>
          <w:p>
            <w:r/>
            <w:r>
              <w:t>FY2026 Annual Plan</w:t>
            </w:r>
          </w:p>
        </w:tc>
        <w:tc>
          <w:tcPr>
            <w:tcW w:type="dxa" w:w="2880"/>
          </w:tcPr>
          <w:p>
            <w:r/>
            <w:r>
              <w:t>Link to plan</w:t>
            </w:r>
          </w:p>
        </w:tc>
      </w:tr>
      <w:tr>
        <w:tc>
          <w:tcPr>
            <w:tcW w:type="dxa" w:w="2880"/>
          </w:tcPr>
          <w:p>
            <w:r/>
            <w:r>
              <w:t>Universe Entity</w:t>
            </w:r>
          </w:p>
        </w:tc>
        <w:tc>
          <w:tcPr>
            <w:tcW w:type="dxa" w:w="2880"/>
          </w:tcPr>
          <w:p>
            <w:r/>
            <w:r>
              <w:t>Accounts Payable Process</w:t>
            </w:r>
          </w:p>
        </w:tc>
        <w:tc>
          <w:tcPr>
            <w:tcW w:type="dxa" w:w="2880"/>
          </w:tcPr>
          <w:p>
            <w:r/>
            <w:r>
              <w:t>From universe</w:t>
            </w:r>
          </w:p>
        </w:tc>
      </w:tr>
      <w:tr>
        <w:tc>
          <w:tcPr>
            <w:tcW w:type="dxa" w:w="2880"/>
          </w:tcPr>
          <w:p>
            <w:r/>
            <w:r>
              <w:t>Auditee Organization</w:t>
            </w:r>
          </w:p>
        </w:tc>
        <w:tc>
          <w:tcPr>
            <w:tcW w:type="dxa" w:w="2880"/>
          </w:tcPr>
          <w:p>
            <w:r/>
            <w:r>
              <w:t>Finance Department</w:t>
            </w:r>
          </w:p>
        </w:tc>
        <w:tc>
          <w:tcPr>
            <w:tcW w:type="dxa" w:w="2880"/>
          </w:tcPr>
          <w:p>
            <w:r/>
            <w:r>
              <w:t>Business unit being audited</w:t>
            </w:r>
          </w:p>
        </w:tc>
      </w:tr>
      <w:tr>
        <w:tc>
          <w:tcPr>
            <w:tcW w:type="dxa" w:w="2880"/>
          </w:tcPr>
          <w:p>
            <w:r/>
            <w:r>
              <w:t>Auditee Contact</w:t>
            </w:r>
          </w:p>
        </w:tc>
        <w:tc>
          <w:tcPr>
            <w:tcW w:type="dxa" w:w="2880"/>
          </w:tcPr>
          <w:p>
            <w:r/>
            <w:r>
              <w:t>John Smith (AP Manager)</w:t>
            </w:r>
          </w:p>
        </w:tc>
        <w:tc>
          <w:tcPr>
            <w:tcW w:type="dxa" w:w="2880"/>
          </w:tcPr>
          <w:p>
            <w:r/>
            <w:r>
              <w:t>Primary contact</w:t>
            </w:r>
          </w:p>
        </w:tc>
      </w:tr>
      <w:tr>
        <w:tc>
          <w:tcPr>
            <w:tcW w:type="dxa" w:w="2880"/>
          </w:tcPr>
          <w:p>
            <w:r/>
            <w:r>
              <w:t>Audit Lead</w:t>
            </w:r>
          </w:p>
        </w:tc>
        <w:tc>
          <w:tcPr>
            <w:tcW w:type="dxa" w:w="2880"/>
          </w:tcPr>
          <w:p>
            <w:r/>
            <w:r>
              <w:t>Mike Chen</w:t>
            </w:r>
          </w:p>
        </w:tc>
        <w:tc>
          <w:tcPr>
            <w:tcW w:type="dxa" w:w="2880"/>
          </w:tcPr>
          <w:p>
            <w:r/>
            <w:r>
              <w:t>Responsible auditor</w:t>
            </w:r>
          </w:p>
        </w:tc>
      </w:tr>
      <w:tr>
        <w:tc>
          <w:tcPr>
            <w:tcW w:type="dxa" w:w="2880"/>
          </w:tcPr>
          <w:p>
            <w:r/>
            <w:r>
              <w:t>Team Members</w:t>
            </w:r>
          </w:p>
        </w:tc>
        <w:tc>
          <w:tcPr>
            <w:tcW w:type="dxa" w:w="2880"/>
          </w:tcPr>
          <w:p>
            <w:r/>
            <w:r>
              <w:t>Lisa Park, External Co-source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Planned Start</w:t>
            </w:r>
          </w:p>
        </w:tc>
        <w:tc>
          <w:tcPr>
            <w:tcW w:type="dxa" w:w="2880"/>
          </w:tcPr>
          <w:p>
            <w:r/>
            <w:r>
              <w:t>2026-08-01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Planned End</w:t>
            </w:r>
          </w:p>
        </w:tc>
        <w:tc>
          <w:tcPr>
            <w:tcW w:type="dxa" w:w="2880"/>
          </w:tcPr>
          <w:p>
            <w:r/>
            <w:r>
              <w:t>2026-09-30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Budget Hours</w:t>
            </w:r>
          </w:p>
        </w:tc>
        <w:tc>
          <w:tcPr>
            <w:tcW w:type="dxa" w:w="2880"/>
          </w:tcPr>
          <w:p>
            <w:r/>
            <w:r>
              <w:t>80</w:t>
            </w:r>
          </w:p>
        </w:tc>
        <w:tc>
          <w:tcPr>
            <w:tcW w:type="dxa" w:w="2880"/>
          </w:tcPr>
          <w:p>
            <w:r/>
            <w:r>
              <w:t>Total team hours budgeted</w:t>
            </w:r>
          </w:p>
        </w:tc>
      </w:tr>
      <w:tr>
        <w:tc>
          <w:tcPr>
            <w:tcW w:type="dxa" w:w="2880"/>
          </w:tcPr>
          <w:p>
            <w:r/>
            <w:r>
              <w:t>Scope Statement</w:t>
            </w:r>
          </w:p>
        </w:tc>
        <w:tc>
          <w:tcPr>
            <w:tcW w:type="dxa" w:w="2880"/>
          </w:tcPr>
          <w:p>
            <w:r/>
            <w:r>
              <w:t>Review of AP process controls including vendor setup, invoice processing, payment approval...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Audit Objectives</w:t>
            </w:r>
          </w:p>
        </w:tc>
        <w:tc>
          <w:tcPr>
            <w:tcW w:type="dxa" w:w="2880"/>
          </w:tcPr>
          <w:p>
            <w:r/>
            <w:r>
              <w:t>1. Assess adequacy of 3-way match controls. 2. Evaluate payment authorization controls. 3. Assess vendor master governance.</w:t>
            </w:r>
          </w:p>
        </w:tc>
        <w:tc>
          <w:tcPr>
            <w:tcW w:type="dxa" w:w="2880"/>
          </w:tcPr>
          <w:p>
            <w:r/>
            <w:r/>
          </w:p>
        </w:tc>
      </w:tr>
    </w:tbl>
    <w:p/>
    <w:p>
      <w:r/>
      <w:r>
        <w:rPr>
          <w:b/>
        </w:rPr>
        <w:t>Engagement types: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Output</w:t>
            </w:r>
          </w:p>
        </w:tc>
      </w:tr>
      <w:tr>
        <w:tc>
          <w:tcPr>
            <w:tcW w:type="dxa" w:w="2880"/>
          </w:tcPr>
          <w:p>
            <w:r/>
            <w:r>
              <w:t>Internal Audit</w:t>
            </w:r>
          </w:p>
        </w:tc>
        <w:tc>
          <w:tcPr>
            <w:tcW w:type="dxa" w:w="2880"/>
          </w:tcPr>
          <w:p>
            <w:r/>
            <w:r>
              <w:t>Standard risk-based audit</w:t>
            </w:r>
          </w:p>
        </w:tc>
        <w:tc>
          <w:tcPr>
            <w:tcW w:type="dxa" w:w="2880"/>
          </w:tcPr>
          <w:p>
            <w:r/>
            <w:r>
              <w:t>Audit report with findings</w:t>
            </w:r>
          </w:p>
        </w:tc>
      </w:tr>
      <w:tr>
        <w:tc>
          <w:tcPr>
            <w:tcW w:type="dxa" w:w="2880"/>
          </w:tcPr>
          <w:p>
            <w:r/>
            <w:r>
              <w:t>IT General Controls</w:t>
            </w:r>
          </w:p>
        </w:tc>
        <w:tc>
          <w:tcPr>
            <w:tcW w:type="dxa" w:w="2880"/>
          </w:tcPr>
          <w:p>
            <w:r/>
            <w:r>
              <w:t>ITGC testing (SOX or standalone)</w:t>
            </w:r>
          </w:p>
        </w:tc>
        <w:tc>
          <w:tcPr>
            <w:tcW w:type="dxa" w:w="2880"/>
          </w:tcPr>
          <w:p>
            <w:r/>
            <w:r>
              <w:t>ITGC test results + findings</w:t>
            </w:r>
          </w:p>
        </w:tc>
      </w:tr>
      <w:tr>
        <w:tc>
          <w:tcPr>
            <w:tcW w:type="dxa" w:w="2880"/>
          </w:tcPr>
          <w:p>
            <w:r/>
            <w:r>
              <w:t>SOX Review</w:t>
            </w:r>
          </w:p>
        </w:tc>
        <w:tc>
          <w:tcPr>
            <w:tcW w:type="dxa" w:w="2880"/>
          </w:tcPr>
          <w:p>
            <w:r/>
            <w:r>
              <w:t>Annual SOX 302/404 support</w:t>
            </w:r>
          </w:p>
        </w:tc>
        <w:tc>
          <w:tcPr>
            <w:tcW w:type="dxa" w:w="2880"/>
          </w:tcPr>
          <w:p>
            <w:r/>
            <w:r>
              <w:t>Testing results + deficiency assessment</w:t>
            </w:r>
          </w:p>
        </w:tc>
      </w:tr>
      <w:tr>
        <w:tc>
          <w:tcPr>
            <w:tcW w:type="dxa" w:w="2880"/>
          </w:tcPr>
          <w:p>
            <w:r/>
            <w:r>
              <w:t>Special Investigation</w:t>
            </w:r>
          </w:p>
        </w:tc>
        <w:tc>
          <w:tcPr>
            <w:tcW w:type="dxa" w:w="2880"/>
          </w:tcPr>
          <w:p>
            <w:r/>
            <w:r>
              <w:t>Fraud, misconduct investigation</w:t>
            </w:r>
          </w:p>
        </w:tc>
        <w:tc>
          <w:tcPr>
            <w:tcW w:type="dxa" w:w="2880"/>
          </w:tcPr>
          <w:p>
            <w:r/>
            <w:r>
              <w:t>Investigation report</w:t>
            </w:r>
          </w:p>
        </w:tc>
      </w:tr>
      <w:tr>
        <w:tc>
          <w:tcPr>
            <w:tcW w:type="dxa" w:w="2880"/>
          </w:tcPr>
          <w:p>
            <w:r/>
            <w:r>
              <w:t>Advisory</w:t>
            </w:r>
          </w:p>
        </w:tc>
        <w:tc>
          <w:tcPr>
            <w:tcW w:type="dxa" w:w="2880"/>
          </w:tcPr>
          <w:p>
            <w:r/>
            <w:r>
              <w:t>Management-requested assessment</w:t>
            </w:r>
          </w:p>
        </w:tc>
        <w:tc>
          <w:tcPr>
            <w:tcW w:type="dxa" w:w="2880"/>
          </w:tcPr>
          <w:p>
            <w:r/>
            <w:r>
              <w:t>Advisory memo or report</w:t>
            </w:r>
          </w:p>
        </w:tc>
      </w:tr>
      <w:tr>
        <w:tc>
          <w:tcPr>
            <w:tcW w:type="dxa" w:w="2880"/>
          </w:tcPr>
          <w:p>
            <w:r/>
            <w:r>
              <w:t>Follow-Up</w:t>
            </w:r>
          </w:p>
        </w:tc>
        <w:tc>
          <w:tcPr>
            <w:tcW w:type="dxa" w:w="2880"/>
          </w:tcPr>
          <w:p>
            <w:r/>
            <w:r>
              <w:t>Prior finding remediation verification</w:t>
            </w:r>
          </w:p>
        </w:tc>
        <w:tc>
          <w:tcPr>
            <w:tcW w:type="dxa" w:w="2880"/>
          </w:tcPr>
          <w:p>
            <w:r/>
            <w:r>
              <w:t>Status update report</w:t>
            </w:r>
          </w:p>
        </w:tc>
      </w:tr>
    </w:tbl>
    <w:p/>
    <w:p>
      <w:pPr>
        <w:pStyle w:val="Heading3"/>
      </w:pPr>
      <w:r>
        <w:t>4.2 The Six-Stage Pipeline</w:t>
      </w:r>
    </w:p>
    <w:p>
      <w:r>
        <w:t>Every engagement moves through six defined stages. Stage advancement is controlled and logged.</w:t>
      </w:r>
    </w:p>
    <w:p>
      <w:r/>
      <w:r>
        <w:rPr>
          <w:b/>
        </w:rPr>
        <w:t>Stage 1: Planned</w:t>
      </w:r>
      <w:r/>
    </w:p>
    <w:p>
      <w:r>
        <w:t>Entry criteria: Engagement record created and approved</w:t>
      </w:r>
    </w:p>
    <w:p>
      <w:r>
        <w:t>Key activities:</w:t>
      </w:r>
    </w:p>
    <w:p>
      <w:pPr>
        <w:pStyle w:val="ListBullet"/>
      </w:pPr>
      <w:r>
        <w:t>Finalize scope and objectives</w:t>
      </w:r>
    </w:p>
    <w:p>
      <w:pPr>
        <w:pStyle w:val="ListBullet"/>
      </w:pPr>
      <w:r>
        <w:t>Confirm team members and their roles</w:t>
      </w:r>
    </w:p>
    <w:p>
      <w:pPr>
        <w:pStyle w:val="ListBullet"/>
      </w:pPr>
      <w:r>
        <w:t>Align on timeline with auditee</w:t>
      </w:r>
    </w:p>
    <w:p>
      <w:pPr>
        <w:pStyle w:val="ListBullet"/>
      </w:pPr>
      <w:r>
        <w:t>Prepare preliminary risk assessment</w:t>
      </w:r>
    </w:p>
    <w:p>
      <w:pPr>
        <w:pStyle w:val="ListBullet"/>
      </w:pPr>
      <w:r>
        <w:t>Review prior audit workpapers and findings</w:t>
      </w:r>
    </w:p>
    <w:p>
      <w:r/>
      <w:r>
        <w:rPr>
          <w:b/>
        </w:rPr>
        <w:t>Stage 2: Announced</w:t>
      </w:r>
      <w:r/>
    </w:p>
    <w:p>
      <w:r>
        <w:t>Entry criteria: Scope finalized and approved by CAE</w:t>
      </w:r>
    </w:p>
    <w:p>
      <w:r>
        <w:t>Key activities:</w:t>
      </w:r>
    </w:p>
    <w:p>
      <w:pPr>
        <w:pStyle w:val="ListBullet"/>
      </w:pPr>
      <w:r>
        <w:t>Issue formal engagement announcement letter to auditee</w:t>
      </w:r>
    </w:p>
    <w:p>
      <w:pPr>
        <w:pStyle w:val="ListBullet"/>
      </w:pPr>
      <w:r>
        <w:t>Request preliminary documentation list (policies, procedures, org charts)</w:t>
      </w:r>
    </w:p>
    <w:p>
      <w:pPr>
        <w:pStyle w:val="ListBullet"/>
      </w:pPr>
      <w:r>
        <w:t>Schedule introductory meeting with auditee management</w:t>
      </w:r>
    </w:p>
    <w:p>
      <w:pPr>
        <w:pStyle w:val="ListBullet"/>
      </w:pPr>
      <w:r>
        <w:t>Confirm access to systems and people</w:t>
      </w:r>
    </w:p>
    <w:p>
      <w:pPr>
        <w:pStyle w:val="ListBullet"/>
      </w:pPr>
      <w:r>
        <w:t>Distribute documentation requests to auditee via GovernexPlus portal</w:t>
      </w:r>
    </w:p>
    <w:p>
      <w:r/>
      <w:r>
        <w:rPr>
          <w:b/>
        </w:rPr>
        <w:t>Announcement letter generation:</w:t>
      </w:r>
      <w:r/>
    </w:p>
    <w:p>
      <w:r>
        <w:t xml:space="preserve">Navigate to </w:t>
      </w:r>
      <w:r>
        <w:rPr>
          <w:b/>
        </w:rPr>
        <w:t>Engagement → Announce → Generate Letter</w:t>
      </w:r>
      <w:r/>
    </w:p>
    <w:p>
      <w:r>
        <w:t>GovernexPlus automatically generates an announcement letter with:</w:t>
      </w:r>
    </w:p>
    <w:p>
      <w:pPr>
        <w:pStyle w:val="ListBullet"/>
      </w:pPr>
      <w:r>
        <w:t>Audit title, scope, and objectives</w:t>
      </w:r>
    </w:p>
    <w:p>
      <w:pPr>
        <w:pStyle w:val="ListBullet"/>
      </w:pPr>
      <w:r>
        <w:t>Audit team members and their roles</w:t>
      </w:r>
    </w:p>
    <w:p>
      <w:pPr>
        <w:pStyle w:val="ListBullet"/>
      </w:pPr>
      <w:r>
        <w:t>Timeline (fieldwork start, expected report date)</w:t>
      </w:r>
    </w:p>
    <w:p>
      <w:pPr>
        <w:pStyle w:val="ListBullet"/>
      </w:pPr>
      <w:r>
        <w:t>Documentation requests (customizable list)</w:t>
      </w:r>
    </w:p>
    <w:p>
      <w:pPr>
        <w:pStyle w:val="ListBullet"/>
      </w:pPr>
      <w:r>
        <w:t>Auditee contact instructions</w:t>
      </w:r>
    </w:p>
    <w:p>
      <w:r>
        <w:t>[Screenshot: Engagement Announcement stage with letter preview and documentation request list]</w:t>
      </w:r>
    </w:p>
    <w:p>
      <w:r/>
      <w:r>
        <w:rPr>
          <w:b/>
        </w:rPr>
        <w:t>Stage 3: Fieldwork</w:t>
      </w:r>
      <w:r/>
    </w:p>
    <w:p>
      <w:r>
        <w:t>Entry criteria: Announcement sent and preliminary documentation received</w:t>
      </w:r>
    </w:p>
    <w:p>
      <w:r>
        <w:t>Key activities:</w:t>
      </w:r>
    </w:p>
    <w:p>
      <w:pPr>
        <w:pStyle w:val="ListBullet"/>
      </w:pPr>
      <w:r>
        <w:t>Execute work programs and procedures</w:t>
      </w:r>
    </w:p>
    <w:p>
      <w:pPr>
        <w:pStyle w:val="ListBullet"/>
      </w:pPr>
      <w:r>
        <w:t>Gather and document evidence</w:t>
      </w:r>
    </w:p>
    <w:p>
      <w:pPr>
        <w:pStyle w:val="ListBullet"/>
      </w:pPr>
      <w:r>
        <w:t>Conduct walkthroughs and interviews</w:t>
      </w:r>
    </w:p>
    <w:p>
      <w:pPr>
        <w:pStyle w:val="ListBullet"/>
      </w:pPr>
      <w:r>
        <w:t>Identify observations and potential findings</w:t>
      </w:r>
    </w:p>
    <w:p>
      <w:pPr>
        <w:pStyle w:val="ListBullet"/>
      </w:pPr>
      <w:r>
        <w:t>Clear procedures with team lead review</w:t>
      </w:r>
    </w:p>
    <w:p>
      <w:pPr>
        <w:pStyle w:val="ListBullet"/>
      </w:pPr>
      <w:r>
        <w:t>Update budget vs. actual hours</w:t>
      </w:r>
    </w:p>
    <w:p>
      <w:r/>
      <w:r>
        <w:rPr>
          <w:b/>
        </w:rPr>
        <w:t>Budget monitoring: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Fieldwork Progress — AP Review Q3 2026</w:t>
        <w:br/>
      </w:r>
      <w:r>
        <w:rPr>
          <w:rFonts w:ascii="Consolas" w:hAnsi="Consolas"/>
          <w:color w:val="333333"/>
          <w:sz w:val="18"/>
        </w:rPr>
        <w:t>Budget: 80 hours | Actual to date: 52 hours | Remaining: 28 hours</w:t>
        <w:br/>
      </w:r>
      <w:r>
        <w:rPr>
          <w:rFonts w:ascii="Consolas" w:hAnsi="Consolas"/>
          <w:color w:val="333333"/>
          <w:sz w:val="18"/>
        </w:rPr>
        <w:t>Procedures complete: 14 / 20 (70%)</w:t>
        <w:br/>
      </w:r>
      <w:r>
        <w:rPr>
          <w:rFonts w:ascii="Consolas" w:hAnsi="Consolas"/>
          <w:color w:val="333333"/>
          <w:sz w:val="18"/>
        </w:rPr>
        <w:t>Estimated at completion: 82 hours (102.5% of budget)</w:t>
        <w:br/>
      </w:r>
      <w:r>
        <w:rPr>
          <w:rFonts w:ascii="Consolas" w:hAnsi="Consolas"/>
          <w:color w:val="333333"/>
          <w:sz w:val="18"/>
        </w:rPr>
        <w:t>⚠ Warning: 2.5 hours over budget — discuss with audit lead</w:t>
        <w:br/>
      </w:r>
    </w:p>
    <w:p>
      <w:r/>
      <w:r>
        <w:rPr>
          <w:b/>
        </w:rPr>
        <w:t>Stage 4: Draft Report</w:t>
      </w:r>
      <w:r/>
    </w:p>
    <w:p>
      <w:r>
        <w:t>Entry criteria: All fieldwork procedures complete and cleared</w:t>
      </w:r>
    </w:p>
    <w:p>
      <w:r>
        <w:t>Key activities:</w:t>
      </w:r>
    </w:p>
    <w:p>
      <w:pPr>
        <w:pStyle w:val="ListBullet"/>
      </w:pPr>
      <w:r>
        <w:t>Compile all findings into draft engagement report</w:t>
      </w:r>
    </w:p>
    <w:p>
      <w:pPr>
        <w:pStyle w:val="ListBullet"/>
      </w:pPr>
      <w:r>
        <w:t>Internal quality review (Audit Lead reviews all findings and conclusions)</w:t>
      </w:r>
    </w:p>
    <w:p>
      <w:pPr>
        <w:pStyle w:val="ListBullet"/>
      </w:pPr>
      <w:r>
        <w:t>Issue draft report to management for response</w:t>
      </w:r>
    </w:p>
    <w:p>
      <w:pPr>
        <w:pStyle w:val="ListBullet"/>
      </w:pPr>
      <w:r>
        <w:t>Track management responses (formal response required for each finding)</w:t>
      </w:r>
    </w:p>
    <w:p>
      <w:pPr>
        <w:pStyle w:val="ListBullet"/>
      </w:pPr>
      <w:r>
        <w:t>Revise findings based on factual corrections from management</w:t>
      </w:r>
    </w:p>
    <w:p>
      <w:r/>
      <w:r>
        <w:rPr>
          <w:b/>
        </w:rPr>
        <w:t>Management response tracking:</w:t>
      </w:r>
      <w:r/>
    </w:p>
    <w:p>
      <w:r>
        <w:t>For each finding, management must provide:</w:t>
      </w:r>
    </w:p>
    <w:p>
      <w:pPr>
        <w:pStyle w:val="ListBullet"/>
      </w:pPr>
      <w:r>
        <w:t>Agree / Partially Agree / Disagree</w:t>
      </w:r>
    </w:p>
    <w:p>
      <w:pPr>
        <w:pStyle w:val="ListBullet"/>
      </w:pPr>
      <w:r>
        <w:t>If Agree/Partially Agree: specific remediation actions and due dates</w:t>
      </w:r>
    </w:p>
    <w:p>
      <w:pPr>
        <w:pStyle w:val="ListBullet"/>
      </w:pPr>
      <w:r>
        <w:t>If Disagree: basis for disagreement and alternative remediation</w:t>
      </w:r>
    </w:p>
    <w:p>
      <w:r>
        <w:t>GovernexPlus tracks the response status and automatically reminds management contacts when responses are due. The audit team can review and accept or challenge management responses.</w:t>
      </w:r>
    </w:p>
    <w:p>
      <w:r/>
      <w:r>
        <w:rPr>
          <w:b/>
        </w:rPr>
        <w:t>Stage 5: Final Report</w:t>
      </w:r>
      <w:r/>
    </w:p>
    <w:p>
      <w:r>
        <w:t>Entry criteria: All management responses received and reviewed</w:t>
      </w:r>
    </w:p>
    <w:p>
      <w:r>
        <w:t>Key activities:</w:t>
      </w:r>
    </w:p>
    <w:p>
      <w:pPr>
        <w:pStyle w:val="ListBullet"/>
      </w:pPr>
      <w:r>
        <w:t>Incorporate factual corrections (not opinion changes)</w:t>
      </w:r>
    </w:p>
    <w:p>
      <w:pPr>
        <w:pStyle w:val="ListBullet"/>
      </w:pPr>
      <w:r>
        <w:t>Finalize finding text and ratings</w:t>
      </w:r>
    </w:p>
    <w:p>
      <w:pPr>
        <w:pStyle w:val="ListBullet"/>
      </w:pPr>
      <w:r>
        <w:t>CAE reviews and signs off on final report</w:t>
      </w:r>
    </w:p>
    <w:p>
      <w:pPr>
        <w:pStyle w:val="ListBullet"/>
      </w:pPr>
      <w:r>
        <w:t>Issue final report to auditee management and Board Audit Committee</w:t>
      </w:r>
    </w:p>
    <w:p>
      <w:pPr>
        <w:pStyle w:val="ListBullet"/>
      </w:pPr>
      <w:r>
        <w:t>Report stored permanently in GovernexPlus</w:t>
      </w:r>
    </w:p>
    <w:p>
      <w:r/>
      <w:r>
        <w:rPr>
          <w:b/>
        </w:rPr>
        <w:t>Report generation:</w:t>
      </w:r>
      <w:r/>
    </w:p>
    <w:p>
      <w:r>
        <w:t xml:space="preserve">Navigate to </w:t>
      </w:r>
      <w:r>
        <w:rPr>
          <w:b/>
        </w:rPr>
        <w:t>Engagement → Generate Report</w:t>
      </w:r>
      <w:r/>
    </w:p>
    <w:p>
      <w:r>
        <w:t>GovernexPlus generates a professional engagement report including:</w:t>
      </w:r>
    </w:p>
    <w:p>
      <w:pPr>
        <w:pStyle w:val="ListBullet"/>
      </w:pPr>
      <w:r>
        <w:t>Executive summary with overall conclusion</w:t>
      </w:r>
    </w:p>
    <w:p>
      <w:pPr>
        <w:pStyle w:val="ListBullet"/>
      </w:pPr>
      <w:r>
        <w:t>Background and scope</w:t>
      </w:r>
    </w:p>
    <w:p>
      <w:pPr>
        <w:pStyle w:val="ListBullet"/>
      </w:pPr>
      <w:r>
        <w:t>Audit objectives and methodology</w:t>
      </w:r>
    </w:p>
    <w:p>
      <w:pPr>
        <w:pStyle w:val="ListBullet"/>
      </w:pPr>
      <w:r>
        <w:t>Summary of findings by severity</w:t>
      </w:r>
    </w:p>
    <w:p>
      <w:pPr>
        <w:pStyle w:val="ListBullet"/>
      </w:pPr>
      <w:r>
        <w:t>Detailed finding sections (CCCE format)</w:t>
      </w:r>
    </w:p>
    <w:p>
      <w:pPr>
        <w:pStyle w:val="ListBullet"/>
      </w:pPr>
      <w:r>
        <w:t>Management responses</w:t>
      </w:r>
    </w:p>
    <w:p>
      <w:pPr>
        <w:pStyle w:val="ListBullet"/>
      </w:pPr>
      <w:r>
        <w:t>Appendices (scope details, testing summary)</w:t>
      </w:r>
    </w:p>
    <w:p>
      <w:r>
        <w:t>Format options:</w:t>
      </w:r>
    </w:p>
    <w:p>
      <w:pPr>
        <w:pStyle w:val="ListBullet"/>
      </w:pPr>
      <w:r>
        <w:t>Word (for final editing and letterhead)</w:t>
      </w:r>
    </w:p>
    <w:p>
      <w:pPr>
        <w:pStyle w:val="ListBullet"/>
      </w:pPr>
      <w:r>
        <w:t>PDF (for distribution)</w:t>
      </w:r>
    </w:p>
    <w:p>
      <w:pPr>
        <w:pStyle w:val="ListBullet"/>
      </w:pPr>
      <w:r>
        <w:t>PPTX (for Committee presentation)</w:t>
      </w:r>
    </w:p>
    <w:p>
      <w:r/>
      <w:r>
        <w:rPr>
          <w:b/>
        </w:rPr>
        <w:t>Stage 6: Closed</w:t>
      </w:r>
      <w:r/>
    </w:p>
    <w:p>
      <w:r>
        <w:t>Entry criteria: All findings have management responses; all critical findings have confirmed remediation actions with owners</w:t>
      </w:r>
    </w:p>
    <w:p>
      <w:r>
        <w:t>Key activities:</w:t>
      </w:r>
    </w:p>
    <w:p>
      <w:pPr>
        <w:pStyle w:val="ListBullet"/>
      </w:pPr>
      <w:r>
        <w:t>Confirm all actions have been assigned and accepted by owners</w:t>
      </w:r>
    </w:p>
    <w:p>
      <w:pPr>
        <w:pStyle w:val="ListBullet"/>
      </w:pPr>
      <w:r>
        <w:t>Archive engagement record</w:t>
      </w:r>
    </w:p>
    <w:p>
      <w:pPr>
        <w:pStyle w:val="ListBullet"/>
      </w:pPr>
      <w:r>
        <w:t>Conduct engagement debrief (lessons learned)</w:t>
      </w:r>
    </w:p>
    <w:p>
      <w:pPr>
        <w:pStyle w:val="ListBullet"/>
      </w:pPr>
      <w:r>
        <w:t>Update audit universe risk score (feeding back into next plan cycle)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Work Programs &amp; Procedures</w:t>
      </w:r>
    </w:p>
    <w:p>
      <w:pPr>
        <w:pStyle w:val="Heading3"/>
      </w:pPr>
      <w:r>
        <w:t>5.1 Work Program Templates</w:t>
      </w:r>
    </w:p>
    <w:p>
      <w:r>
        <w:t>Work programs are structured plans of the audit procedures to be performed. GovernexPlus maintains a reusable template library.</w:t>
      </w:r>
    </w:p>
    <w:p>
      <w:r/>
      <w:r>
        <w:rPr>
          <w:b/>
        </w:rPr>
        <w:t>Accessing templates:</w:t>
      </w:r>
      <w:r/>
    </w:p>
    <w:p>
      <w:r>
        <w:t xml:space="preserve">Navigate to </w:t>
      </w:r>
      <w:r>
        <w:rPr>
          <w:b/>
        </w:rPr>
        <w:t>Audit → Templates → Work Programs</w:t>
      </w:r>
      <w:r/>
    </w:p>
    <w:p>
      <w:r/>
      <w:r>
        <w:rPr>
          <w:b/>
        </w:rPr>
        <w:t>Template categories: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Available Templates</w:t>
            </w:r>
          </w:p>
        </w:tc>
      </w:tr>
      <w:tr>
        <w:tc>
          <w:tcPr>
            <w:tcW w:type="dxa" w:w="4320"/>
          </w:tcPr>
          <w:p>
            <w:r/>
            <w:r>
              <w:t>Financial Audit</w:t>
            </w:r>
          </w:p>
        </w:tc>
        <w:tc>
          <w:tcPr>
            <w:tcW w:type="dxa" w:w="4320"/>
          </w:tcPr>
          <w:p>
            <w:r/>
            <w:r>
              <w:t>AP Process, AR Process, Payroll, Treasury, Fixed Assets</w:t>
            </w:r>
          </w:p>
        </w:tc>
      </w:tr>
      <w:tr>
        <w:tc>
          <w:tcPr>
            <w:tcW w:type="dxa" w:w="4320"/>
          </w:tcPr>
          <w:p>
            <w:r/>
            <w:r>
              <w:t>IT Audit</w:t>
            </w:r>
          </w:p>
        </w:tc>
        <w:tc>
          <w:tcPr>
            <w:tcW w:type="dxa" w:w="4320"/>
          </w:tcPr>
          <w:p>
            <w:r/>
            <w:r>
              <w:t>ITGC (Access, Change, Operations, Backup/Recovery), Application Controls</w:t>
            </w:r>
          </w:p>
        </w:tc>
      </w:tr>
      <w:tr>
        <w:tc>
          <w:tcPr>
            <w:tcW w:type="dxa" w:w="4320"/>
          </w:tcPr>
          <w:p>
            <w:r/>
            <w:r>
              <w:t>SOX Testing</w:t>
            </w:r>
          </w:p>
        </w:tc>
        <w:tc>
          <w:tcPr>
            <w:tcW w:type="dxa" w:w="4320"/>
          </w:tcPr>
          <w:p>
            <w:r/>
            <w:r>
              <w:t>Control testing templates by COSO component</w:t>
            </w:r>
          </w:p>
        </w:tc>
      </w:tr>
      <w:tr>
        <w:tc>
          <w:tcPr>
            <w:tcW w:type="dxa" w:w="4320"/>
          </w:tcPr>
          <w:p>
            <w:r/>
            <w:r>
              <w:t>Procurement</w:t>
            </w:r>
          </w:p>
        </w:tc>
        <w:tc>
          <w:tcPr>
            <w:tcW w:type="dxa" w:w="4320"/>
          </w:tcPr>
          <w:p>
            <w:r/>
            <w:r>
              <w:t>P2P Process, Vendor Management, Contract Compliance</w:t>
            </w:r>
          </w:p>
        </w:tc>
      </w:tr>
      <w:tr>
        <w:tc>
          <w:tcPr>
            <w:tcW w:type="dxa" w:w="4320"/>
          </w:tcPr>
          <w:p>
            <w:r/>
            <w:r>
              <w:t>HR</w:t>
            </w:r>
          </w:p>
        </w:tc>
        <w:tc>
          <w:tcPr>
            <w:tcW w:type="dxa" w:w="4320"/>
          </w:tcPr>
          <w:p>
            <w:r/>
            <w:r>
              <w:t>Hire-to-Retire, Payroll, Benefits</w:t>
            </w:r>
          </w:p>
        </w:tc>
      </w:tr>
      <w:tr>
        <w:tc>
          <w:tcPr>
            <w:tcW w:type="dxa" w:w="4320"/>
          </w:tcPr>
          <w:p>
            <w:r/>
            <w:r>
              <w:t>Regulatory</w:t>
            </w:r>
          </w:p>
        </w:tc>
        <w:tc>
          <w:tcPr>
            <w:tcW w:type="dxa" w:w="4320"/>
          </w:tcPr>
          <w:p>
            <w:r/>
            <w:r>
              <w:t>GDPR Data Subject Rights, AML Controls, FCPA Third-Party Due Diligence</w:t>
            </w:r>
          </w:p>
        </w:tc>
      </w:tr>
    </w:tbl>
    <w:p/>
    <w:p>
      <w:r/>
      <w:r>
        <w:rPr>
          <w:b/>
        </w:rPr>
        <w:t>Anatomy of a work program: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Work Program: Accounts Payable Controls</w:t>
        <w:br/>
      </w:r>
      <w:r>
        <w:rPr>
          <w:rFonts w:ascii="Consolas" w:hAnsi="Consolas"/>
          <w:color w:val="333333"/>
          <w:sz w:val="18"/>
        </w:rPr>
        <w:t>Engagement Type: Internal Audit</w:t>
        <w:br/>
      </w:r>
      <w:r>
        <w:rPr>
          <w:rFonts w:ascii="Consolas" w:hAnsi="Consolas"/>
          <w:color w:val="333333"/>
          <w:sz w:val="18"/>
        </w:rPr>
        <w:t>Version: 3.2 (updated 2026-07)</w:t>
        <w:br/>
      </w:r>
      <w:r>
        <w:rPr>
          <w:rFonts w:ascii="Consolas" w:hAnsi="Consolas"/>
          <w:color w:val="333333"/>
          <w:sz w:val="18"/>
        </w:rPr>
        <w:t>Procedures: 18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Section 1: Invoice Processing Controls (5 procedures)</w:t>
        <w:br/>
      </w:r>
      <w:r>
        <w:rPr>
          <w:rFonts w:ascii="Consolas" w:hAnsi="Consolas"/>
          <w:color w:val="333333"/>
          <w:sz w:val="18"/>
        </w:rPr>
        <w:t xml:space="preserve">  WP-1.1  Verify 3-way match control operation</w:t>
        <w:br/>
      </w:r>
      <w:r>
        <w:rPr>
          <w:rFonts w:ascii="Consolas" w:hAnsi="Consolas"/>
          <w:color w:val="333333"/>
          <w:sz w:val="18"/>
        </w:rPr>
        <w:t xml:space="preserve">  WP-1.2  Test invoice approval authorization</w:t>
        <w:br/>
      </w:r>
      <w:r>
        <w:rPr>
          <w:rFonts w:ascii="Consolas" w:hAnsi="Consolas"/>
          <w:color w:val="333333"/>
          <w:sz w:val="18"/>
        </w:rPr>
        <w:t xml:space="preserve">  WP-1.3  Duplicate invoice detection</w:t>
        <w:br/>
      </w:r>
      <w:r>
        <w:rPr>
          <w:rFonts w:ascii="Consolas" w:hAnsi="Consolas"/>
          <w:color w:val="333333"/>
          <w:sz w:val="18"/>
        </w:rPr>
        <w:t xml:space="preserve">  WP-1.4  Blocked invoice release process</w:t>
        <w:br/>
      </w:r>
      <w:r>
        <w:rPr>
          <w:rFonts w:ascii="Consolas" w:hAnsi="Consolas"/>
          <w:color w:val="333333"/>
          <w:sz w:val="18"/>
        </w:rPr>
        <w:t xml:space="preserve">  WP-1.5  Goods receipt verification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Section 2: Payment Controls (4 procedures)</w:t>
        <w:br/>
      </w:r>
      <w:r>
        <w:rPr>
          <w:rFonts w:ascii="Consolas" w:hAnsi="Consolas"/>
          <w:color w:val="333333"/>
          <w:sz w:val="18"/>
        </w:rPr>
        <w:t xml:space="preserve">  WP-2.1  Payment run authorization</w:t>
        <w:br/>
      </w:r>
      <w:r>
        <w:rPr>
          <w:rFonts w:ascii="Consolas" w:hAnsi="Consolas"/>
          <w:color w:val="333333"/>
          <w:sz w:val="18"/>
        </w:rPr>
        <w:t xml:space="preserve">  WP-2.2  Dual payment approval threshold</w:t>
        <w:br/>
      </w:r>
      <w:r>
        <w:rPr>
          <w:rFonts w:ascii="Consolas" w:hAnsi="Consolas"/>
          <w:color w:val="333333"/>
          <w:sz w:val="18"/>
        </w:rPr>
        <w:t xml:space="preserve">  WP-2.3  Bank account change authorization</w:t>
        <w:br/>
      </w:r>
      <w:r>
        <w:rPr>
          <w:rFonts w:ascii="Consolas" w:hAnsi="Consolas"/>
          <w:color w:val="333333"/>
          <w:sz w:val="18"/>
        </w:rPr>
        <w:t xml:space="preserve">  WP-2.4  Payment reconciliation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Section 3: Vendor Master Controls (4 procedures)</w:t>
        <w:br/>
      </w:r>
      <w:r>
        <w:rPr>
          <w:rFonts w:ascii="Consolas" w:hAnsi="Consolas"/>
          <w:color w:val="333333"/>
          <w:sz w:val="18"/>
        </w:rPr>
        <w:t xml:space="preserve">  WP-3.1  New vendor authorization</w:t>
        <w:br/>
      </w:r>
      <w:r>
        <w:rPr>
          <w:rFonts w:ascii="Consolas" w:hAnsi="Consolas"/>
          <w:color w:val="333333"/>
          <w:sz w:val="18"/>
        </w:rPr>
        <w:t xml:space="preserve">  WP-3.2  Vendor bank account maintenance</w:t>
        <w:br/>
      </w:r>
      <w:r>
        <w:rPr>
          <w:rFonts w:ascii="Consolas" w:hAnsi="Consolas"/>
          <w:color w:val="333333"/>
          <w:sz w:val="18"/>
        </w:rPr>
        <w:t xml:space="preserve">  WP-3.3  Vendor master access controls (SoD)</w:t>
        <w:br/>
      </w:r>
      <w:r>
        <w:rPr>
          <w:rFonts w:ascii="Consolas" w:hAnsi="Consolas"/>
          <w:color w:val="333333"/>
          <w:sz w:val="18"/>
        </w:rPr>
        <w:t xml:space="preserve">  WP-3.4  Vendor master periodic review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Section 4: SoD and Access Controls (5 procedures)</w:t>
        <w:br/>
      </w:r>
      <w:r>
        <w:rPr>
          <w:rFonts w:ascii="Consolas" w:hAnsi="Consolas"/>
          <w:color w:val="333333"/>
          <w:sz w:val="18"/>
        </w:rPr>
        <w:t xml:space="preserve">  WP-4.1  User access profile review (from ARA)</w:t>
        <w:br/>
      </w:r>
      <w:r>
        <w:rPr>
          <w:rFonts w:ascii="Consolas" w:hAnsi="Consolas"/>
          <w:color w:val="333333"/>
          <w:sz w:val="18"/>
        </w:rPr>
        <w:t xml:space="preserve">  WP-4.2  Firefighter session review (from EAM)</w:t>
        <w:br/>
      </w:r>
      <w:r>
        <w:rPr>
          <w:rFonts w:ascii="Consolas" w:hAnsi="Consolas"/>
          <w:color w:val="333333"/>
          <w:sz w:val="18"/>
        </w:rPr>
        <w:t xml:space="preserve">  WP-4.3  Certification campaign completeness</w:t>
        <w:br/>
      </w:r>
      <w:r>
        <w:rPr>
          <w:rFonts w:ascii="Consolas" w:hAnsi="Consolas"/>
          <w:color w:val="333333"/>
          <w:sz w:val="18"/>
        </w:rPr>
        <w:t xml:space="preserve">  WP-4.4  Privileged access review</w:t>
        <w:br/>
      </w:r>
      <w:r>
        <w:rPr>
          <w:rFonts w:ascii="Consolas" w:hAnsi="Consolas"/>
          <w:color w:val="333333"/>
          <w:sz w:val="18"/>
        </w:rPr>
        <w:t xml:space="preserve">  WP-4.5  System configuration change review</w:t>
        <w:br/>
      </w:r>
    </w:p>
    <w:p>
      <w:pPr>
        <w:pStyle w:val="Heading3"/>
      </w:pPr>
      <w:r>
        <w:t>5.2 Cloning Templates for Engagements</w:t>
      </w:r>
    </w:p>
    <w:p>
      <w:pPr>
        <w:pStyle w:val="ListNumber"/>
      </w:pPr>
      <w:r>
        <w:t xml:space="preserve">Navigate to </w:t>
      </w:r>
      <w:r>
        <w:rPr>
          <w:b/>
        </w:rPr>
        <w:t>Engagement → Work Programs → Add from Template</w:t>
      </w:r>
      <w:r/>
    </w:p>
    <w:p>
      <w:pPr>
        <w:pStyle w:val="ListNumber"/>
      </w:pPr>
      <w:r>
        <w:t>Select the template</w:t>
      </w:r>
    </w:p>
    <w:p>
      <w:pPr>
        <w:pStyle w:val="ListNumber"/>
      </w:pPr>
      <w:r>
        <w:t>Customize for the specific engagement:</w:t>
      </w:r>
    </w:p>
    <w:p>
      <w:r>
        <w:t xml:space="preserve">   - Remove inapplicable procedures (mark as "N/A — Not in scope")</w:t>
      </w:r>
    </w:p>
    <w:p>
      <w:r>
        <w:t xml:space="preserve">   - Adjust sample sizes for the entity's transaction volume</w:t>
      </w:r>
    </w:p>
    <w:p>
      <w:r>
        <w:t xml:space="preserve">   - Modify procedure steps for the specific system (SAP vs. another ERP)</w:t>
      </w:r>
    </w:p>
    <w:p>
      <w:r>
        <w:t xml:space="preserve">   - Add engagement-specific procedures</w:t>
      </w:r>
    </w:p>
    <w:p>
      <w:pPr>
        <w:pStyle w:val="ListNumber"/>
      </w:pPr>
      <w:r>
        <w:t>Assign procedures to team members</w:t>
      </w:r>
    </w:p>
    <w:p>
      <w:pPr>
        <w:pStyle w:val="ListNumber"/>
      </w:pPr>
      <w:r>
        <w:t>Set completion deadlines per procedure</w:t>
      </w:r>
    </w:p>
    <w:p>
      <w:pPr>
        <w:pStyle w:val="Heading3"/>
      </w:pPr>
      <w:r>
        <w:t>5.3 Procedure Execution</w:t>
      </w:r>
    </w:p>
    <w:p>
      <w:r/>
      <w:r>
        <w:rPr>
          <w:b/>
        </w:rPr>
        <w:t>Opening a procedure:</w:t>
      </w:r>
      <w:r/>
    </w:p>
    <w:p>
      <w:r>
        <w:t xml:space="preserve">Navigate to </w:t>
      </w:r>
      <w:r>
        <w:rPr>
          <w:b/>
        </w:rPr>
        <w:t>Engagement → Work Programs → [Procedure]</w:t>
      </w:r>
      <w:r/>
    </w:p>
    <w:p>
      <w:r>
        <w:t>[Screenshot: Procedure detail page with steps checklist, evidence attachment zone, and dual sign-off panel]</w:t>
      </w:r>
    </w:p>
    <w:p>
      <w:r/>
      <w:r>
        <w:rPr>
          <w:b/>
        </w:rPr>
        <w:t>Procedure detail shows:</w:t>
      </w:r>
      <w:r/>
    </w:p>
    <w:p>
      <w:pPr>
        <w:pStyle w:val="ListBullet"/>
      </w:pPr>
      <w:r/>
      <w:r>
        <w:rPr>
          <w:b/>
        </w:rPr>
        <w:t>Objective</w:t>
      </w:r>
      <w:r>
        <w:t>: What this procedure is designed to test</w:t>
      </w:r>
    </w:p>
    <w:p>
      <w:pPr>
        <w:pStyle w:val="ListBullet"/>
      </w:pPr>
      <w:r/>
      <w:r>
        <w:rPr>
          <w:b/>
        </w:rPr>
        <w:t>Risk addressed</w:t>
      </w:r>
      <w:r>
        <w:t>: Which control risk this procedure addresses</w:t>
      </w:r>
    </w:p>
    <w:p>
      <w:pPr>
        <w:pStyle w:val="ListBullet"/>
      </w:pPr>
      <w:r/>
      <w:r>
        <w:rPr>
          <w:b/>
        </w:rPr>
        <w:t>Procedure steps</w:t>
      </w:r>
      <w:r>
        <w:t>: Numbered checklist of work to perform</w:t>
      </w:r>
    </w:p>
    <w:p>
      <w:pPr>
        <w:pStyle w:val="ListBullet"/>
      </w:pPr>
      <w:r/>
      <w:r>
        <w:rPr>
          <w:b/>
        </w:rPr>
        <w:t>Evidence attached</w:t>
      </w:r>
      <w:r>
        <w:t>: All files uploaded as support</w:t>
      </w:r>
    </w:p>
    <w:p>
      <w:pPr>
        <w:pStyle w:val="ListBullet"/>
      </w:pPr>
      <w:r/>
      <w:r>
        <w:rPr>
          <w:b/>
        </w:rPr>
        <w:t>Observations</w:t>
      </w:r>
      <w:r>
        <w:t>: Free-text notes per step</w:t>
      </w:r>
    </w:p>
    <w:p>
      <w:pPr>
        <w:pStyle w:val="ListBullet"/>
      </w:pPr>
      <w:r/>
      <w:r>
        <w:rPr>
          <w:b/>
        </w:rPr>
        <w:t>Exceptions noted</w:t>
      </w:r>
      <w:r>
        <w:t>: Any deviations found (linked to potential findings)</w:t>
      </w:r>
    </w:p>
    <w:p>
      <w:pPr>
        <w:pStyle w:val="ListBullet"/>
      </w:pPr>
      <w:r/>
      <w:r>
        <w:rPr>
          <w:b/>
        </w:rPr>
        <w:t>Conclusion</w:t>
      </w:r>
      <w:r>
        <w:t>: Overall step conclusion</w:t>
      </w:r>
    </w:p>
    <w:p>
      <w:pPr>
        <w:pStyle w:val="ListBullet"/>
      </w:pPr>
      <w:r/>
      <w:r>
        <w:rPr>
          <w:b/>
        </w:rPr>
        <w:t>Time tracking</w:t>
      </w:r>
      <w:r>
        <w:t>: Hours logged</w:t>
      </w:r>
    </w:p>
    <w:p>
      <w:r/>
      <w:r>
        <w:rPr>
          <w:b/>
        </w:rPr>
        <w:t>Step-by-step execution:</w:t>
      </w:r>
      <w:r/>
    </w:p>
    <w:p>
      <w:r>
        <w:t>For each procedure step:</w:t>
      </w:r>
    </w:p>
    <w:p>
      <w:pPr>
        <w:pStyle w:val="ListNumber"/>
      </w:pPr>
      <w:r>
        <w:t>Read the step objective</w:t>
      </w:r>
    </w:p>
    <w:p>
      <w:pPr>
        <w:pStyle w:val="ListNumber"/>
      </w:pPr>
      <w:r>
        <w:t>Perform the audit work (query the system, inspect documentation, conduct interview)</w:t>
      </w:r>
    </w:p>
    <w:p>
      <w:pPr>
        <w:pStyle w:val="ListNumber"/>
      </w:pPr>
      <w:r>
        <w:t>Document the work performed:</w:t>
      </w:r>
    </w:p>
    <w:p>
      <w:r>
        <w:t xml:space="preserve">   - "Reviewed 25 randomly selected vendor invoices for the period. All 25 had matching POs and goods receipts. Exception noted for invoice #INV-4521 which had a goods receipt variance of $1,250 (above $500 threshold). Documented in Observation Tab."</w:t>
      </w:r>
    </w:p>
    <w:p>
      <w:pPr>
        <w:pStyle w:val="ListNumber"/>
      </w:pPr>
      <w:r>
        <w:t>Upload supporting evidence (screenshot, export, document)</w:t>
      </w:r>
    </w:p>
    <w:p>
      <w:pPr>
        <w:pStyle w:val="ListNumber"/>
      </w:pPr>
      <w:r>
        <w:t>Note any exceptions</w:t>
      </w:r>
    </w:p>
    <w:p>
      <w:pPr>
        <w:pStyle w:val="ListNumber"/>
      </w:pPr>
      <w:r>
        <w:t>Mark step: Satisfactory / Exception Noted / Not Applicable</w:t>
      </w:r>
    </w:p>
    <w:p>
      <w:pPr>
        <w:pStyle w:val="ListNumber"/>
      </w:pPr>
      <w:r>
        <w:t>Log time spent on this step</w:t>
      </w:r>
    </w:p>
    <w:p>
      <w:r/>
      <w:r>
        <w:rPr>
          <w:b/>
        </w:rPr>
        <w:t>Completing the procedure:</w:t>
      </w:r>
      <w:r/>
    </w:p>
    <w:p>
      <w:r>
        <w:t>After all steps are complete:</w:t>
      </w:r>
    </w:p>
    <w:p>
      <w:pPr>
        <w:pStyle w:val="ListNumber"/>
      </w:pPr>
      <w:r>
        <w:t>Write the overall procedure conclusion:</w:t>
      </w:r>
    </w:p>
    <w:p>
      <w:r>
        <w:t xml:space="preserve">   - Satisfactory: "Controls operated effectively for the sample tested. No exceptions noted."</w:t>
      </w:r>
    </w:p>
    <w:p>
      <w:r>
        <w:t xml:space="preserve">   - Exception: "3 exceptions noted in the sample of 25 invoices (12%). Goods receipts did not match invoice amounts by more than the $500 threshold. See exceptions for detail."</w:t>
      </w:r>
    </w:p>
    <w:p>
      <w:pPr>
        <w:pStyle w:val="ListNumber"/>
      </w:pPr>
      <w:r>
        <w:t>Link any exceptions to potential findings (or create new potential findings)</w:t>
      </w:r>
    </w:p>
    <w:p>
      <w:pPr>
        <w:pStyle w:val="ListNumber"/>
      </w:pPr>
      <w:r>
        <w:t>Sign as Preparer</w:t>
      </w:r>
    </w:p>
    <w:p>
      <w:pPr>
        <w:pStyle w:val="Heading3"/>
      </w:pPr>
      <w:r>
        <w:t>5.4 Dual Sign-Off</w:t>
      </w:r>
    </w:p>
    <w:p>
      <w:r>
        <w:t>Every procedure requires two signatures:</w:t>
      </w:r>
    </w:p>
    <w:p>
      <w:pPr>
        <w:pStyle w:val="ListNumber"/>
      </w:pPr>
      <w:r/>
      <w:r>
        <w:rPr>
          <w:b/>
        </w:rPr>
        <w:t>Preparer sign-off</w:t>
      </w:r>
      <w:r>
        <w:t>: The auditor who performed the work confirms the procedure is complete and accurately documented</w:t>
      </w:r>
    </w:p>
    <w:p>
      <w:pPr>
        <w:pStyle w:val="ListNumber"/>
      </w:pPr>
      <w:r/>
      <w:r>
        <w:rPr>
          <w:b/>
        </w:rPr>
        <w:t>Reviewer sign-off</w:t>
      </w:r>
      <w:r>
        <w:t>: The Audit Lead (or designated senior) reviews the procedure, evidence, and conclusions, and either:</w:t>
      </w:r>
    </w:p>
    <w:p>
      <w:r>
        <w:t xml:space="preserve">   - Signs off: "Reviewed and agreed"</w:t>
      </w:r>
    </w:p>
    <w:p>
      <w:r>
        <w:t xml:space="preserve">   - Returns with comments: "Please clarify the basis for sample selection. Was it random or judgmental?"</w:t>
      </w:r>
    </w:p>
    <w:p>
      <w:r/>
      <w:r>
        <w:rPr>
          <w:b/>
        </w:rPr>
        <w:t>Reviewer commenting:</w:t>
      </w:r>
      <w:r/>
    </w:p>
    <w:p>
      <w:r>
        <w:t>The reviewer can add review notes to any step: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Review note (Mike Chen, Senior Auditor, 2026-08-15):</w:t>
        <w:br/>
      </w:r>
      <w:r>
        <w:rPr>
          <w:rFonts w:ascii="Consolas" w:hAnsi="Consolas"/>
          <w:color w:val="333333"/>
          <w:sz w:val="18"/>
        </w:rPr>
        <w:t>"The observation on step 3 does not quantify the exception rate. Please update with</w:t>
        <w:br/>
      </w:r>
      <w:r>
        <w:rPr>
          <w:rFonts w:ascii="Consolas" w:hAnsi="Consolas"/>
          <w:color w:val="333333"/>
          <w:sz w:val="18"/>
        </w:rPr>
        <w:t>'X of Y sample items had exceptions, representing Z%.' This is needed for finding</w:t>
        <w:br/>
      </w:r>
      <w:r>
        <w:rPr>
          <w:rFonts w:ascii="Consolas" w:hAnsi="Consolas"/>
          <w:color w:val="333333"/>
          <w:sz w:val="18"/>
        </w:rPr>
        <w:t>materiality assessment."</w:t>
        <w:br/>
      </w:r>
    </w:p>
    <w:p>
      <w:r>
        <w:t>The preparer responds to review notes and resubmits.</w:t>
      </w:r>
    </w:p>
    <w:p>
      <w:r/>
      <w:r>
        <w:rPr>
          <w:b/>
        </w:rPr>
        <w:t>Clearing a procedure:</w:t>
      </w:r>
      <w:r/>
    </w:p>
    <w:p>
      <w:r>
        <w:t>Once the reviewer is satisfied, they "clear" the procedure (mark it reviewed and approved). Cleared procedures are locked from further editing — only a supervisor can re-open a cleared procedure.</w:t>
      </w:r>
    </w:p>
    <w:p>
      <w:pPr>
        <w:pStyle w:val="Heading3"/>
      </w:pPr>
      <w:r>
        <w:t>5.5 Time Tracking</w:t>
      </w:r>
    </w:p>
    <w:p>
      <w:r>
        <w:t>GovernexPlus tracks time spent on each procedure for:</w:t>
      </w:r>
    </w:p>
    <w:p>
      <w:pPr>
        <w:pStyle w:val="ListBullet"/>
      </w:pPr>
      <w:r>
        <w:t>Budget vs. actual comparison</w:t>
      </w:r>
    </w:p>
    <w:p>
      <w:pPr>
        <w:pStyle w:val="ListBullet"/>
      </w:pPr>
      <w:r>
        <w:t>Billing (for external audit or co-source arrangements)</w:t>
      </w:r>
    </w:p>
    <w:p>
      <w:pPr>
        <w:pStyle w:val="ListBullet"/>
      </w:pPr>
      <w:r>
        <w:t>Audit efficiency analysis (which procedures consistently take longer than planned?)</w:t>
      </w:r>
    </w:p>
    <w:p>
      <w:r/>
      <w:r>
        <w:rPr>
          <w:b/>
        </w:rPr>
        <w:t>Logging time:</w:t>
      </w:r>
      <w:r/>
    </w:p>
    <w:p>
      <w:r>
        <w:t xml:space="preserve">At the bottom of each procedure page, click </w:t>
      </w:r>
      <w:r>
        <w:rPr>
          <w:b/>
        </w:rPr>
        <w:t>Log Time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Date: 2026-08-12</w:t>
        <w:br/>
      </w:r>
      <w:r>
        <w:rPr>
          <w:rFonts w:ascii="Consolas" w:hAnsi="Consolas"/>
          <w:color w:val="333333"/>
          <w:sz w:val="18"/>
        </w:rPr>
        <w:t>Hours: 3.5</w:t>
        <w:br/>
      </w:r>
      <w:r>
        <w:rPr>
          <w:rFonts w:ascii="Consolas" w:hAnsi="Consolas"/>
          <w:color w:val="333333"/>
          <w:sz w:val="18"/>
        </w:rPr>
        <w:t>Activity: Performed data extraction; reviewed 25 invoice samples; documented exceptions</w:t>
        <w:br/>
      </w:r>
    </w:p>
    <w:p>
      <w:r>
        <w:t>Time entries appear in the engagement's budget dashboard.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Workpapers</w:t>
      </w:r>
    </w:p>
    <w:p>
      <w:pPr>
        <w:pStyle w:val="Heading3"/>
      </w:pPr>
      <w:r>
        <w:t>6.1 The Workpaper Filing System</w:t>
      </w:r>
    </w:p>
    <w:p>
      <w:r>
        <w:t>GovernexPlus provides a structured electronic workpaper repository for each engagement. This replaces network folder structures and ensures all workpapers are versioned, searchable, and accessible to authorized team members.</w:t>
      </w:r>
    </w:p>
    <w:p>
      <w:r/>
      <w:r>
        <w:rPr>
          <w:b/>
        </w:rPr>
        <w:t>Workpaper index structure: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Engagement: AP Process Review Q3 2026</w:t>
        <w:br/>
      </w:r>
      <w:r>
        <w:rPr>
          <w:rFonts w:ascii="Consolas" w:hAnsi="Consolas"/>
          <w:color w:val="333333"/>
          <w:sz w:val="18"/>
        </w:rPr>
        <w:t>├── 1.0 Planning and Administration</w:t>
        <w:br/>
      </w:r>
      <w:r>
        <w:rPr>
          <w:rFonts w:ascii="Consolas" w:hAnsi="Consolas"/>
          <w:color w:val="333333"/>
          <w:sz w:val="18"/>
        </w:rPr>
        <w:t>│   ├── 1.1 Engagement Announcement Letter</w:t>
        <w:br/>
      </w:r>
      <w:r>
        <w:rPr>
          <w:rFonts w:ascii="Consolas" w:hAnsi="Consolas"/>
          <w:color w:val="333333"/>
          <w:sz w:val="18"/>
        </w:rPr>
        <w:t>│   ├── 1.2 Preliminary Risk Assessment</w:t>
        <w:br/>
      </w:r>
      <w:r>
        <w:rPr>
          <w:rFonts w:ascii="Consolas" w:hAnsi="Consolas"/>
          <w:color w:val="333333"/>
          <w:sz w:val="18"/>
        </w:rPr>
        <w:t>│   ├── 1.3 Prior Audit Workpaper Summary</w:t>
        <w:br/>
      </w:r>
      <w:r>
        <w:rPr>
          <w:rFonts w:ascii="Consolas" w:hAnsi="Consolas"/>
          <w:color w:val="333333"/>
          <w:sz w:val="18"/>
        </w:rPr>
        <w:t>│   └── 1.4 Documentation Request and Response</w:t>
        <w:br/>
      </w:r>
      <w:r>
        <w:rPr>
          <w:rFonts w:ascii="Consolas" w:hAnsi="Consolas"/>
          <w:color w:val="333333"/>
          <w:sz w:val="18"/>
        </w:rPr>
        <w:t>├── 2.0 Internal Control Understanding</w:t>
        <w:br/>
      </w:r>
      <w:r>
        <w:rPr>
          <w:rFonts w:ascii="Consolas" w:hAnsi="Consolas"/>
          <w:color w:val="333333"/>
          <w:sz w:val="18"/>
        </w:rPr>
        <w:t>│   ├── 2.1 Process Narrative — Invoice Processing</w:t>
        <w:br/>
      </w:r>
      <w:r>
        <w:rPr>
          <w:rFonts w:ascii="Consolas" w:hAnsi="Consolas"/>
          <w:color w:val="333333"/>
          <w:sz w:val="18"/>
        </w:rPr>
        <w:t>│   ├── 2.2 Process Flowchart — Payment Execution</w:t>
        <w:br/>
      </w:r>
      <w:r>
        <w:rPr>
          <w:rFonts w:ascii="Consolas" w:hAnsi="Consolas"/>
          <w:color w:val="333333"/>
          <w:sz w:val="18"/>
        </w:rPr>
        <w:t>│   └── 2.3 System Description — SAP FI/MM Interface</w:t>
        <w:br/>
      </w:r>
      <w:r>
        <w:rPr>
          <w:rFonts w:ascii="Consolas" w:hAnsi="Consolas"/>
          <w:color w:val="333333"/>
          <w:sz w:val="18"/>
        </w:rPr>
        <w:t>├── 3.0 Fieldwork Documentation</w:t>
        <w:br/>
      </w:r>
      <w:r>
        <w:rPr>
          <w:rFonts w:ascii="Consolas" w:hAnsi="Consolas"/>
          <w:color w:val="333333"/>
          <w:sz w:val="18"/>
        </w:rPr>
        <w:t>│   ├── 3.1 Population Extract — Vendor Invoices (3-way match population)</w:t>
        <w:br/>
      </w:r>
      <w:r>
        <w:rPr>
          <w:rFonts w:ascii="Consolas" w:hAnsi="Consolas"/>
          <w:color w:val="333333"/>
          <w:sz w:val="18"/>
        </w:rPr>
        <w:t>│   ├── 3.2 Sample Selection Workpaper</w:t>
        <w:br/>
      </w:r>
      <w:r>
        <w:rPr>
          <w:rFonts w:ascii="Consolas" w:hAnsi="Consolas"/>
          <w:color w:val="333333"/>
          <w:sz w:val="18"/>
        </w:rPr>
        <w:t>│   ├── 3.3 Test Workpaper — WP-1.1 (3-way match)</w:t>
        <w:br/>
      </w:r>
      <w:r>
        <w:rPr>
          <w:rFonts w:ascii="Consolas" w:hAnsi="Consolas"/>
          <w:color w:val="333333"/>
          <w:sz w:val="18"/>
        </w:rPr>
        <w:t>│   └── 3.4 Test Workpaper — WP-2.1 (Payment authorization)</w:t>
        <w:br/>
      </w:r>
      <w:r>
        <w:rPr>
          <w:rFonts w:ascii="Consolas" w:hAnsi="Consolas"/>
          <w:color w:val="333333"/>
          <w:sz w:val="18"/>
        </w:rPr>
        <w:t>├── 4.0 ARA Evidence</w:t>
        <w:br/>
      </w:r>
      <w:r>
        <w:rPr>
          <w:rFonts w:ascii="Consolas" w:hAnsi="Consolas"/>
          <w:color w:val="333333"/>
          <w:sz w:val="18"/>
        </w:rPr>
        <w:t>│   ├── 4.1 AP User SoD Analysis Export</w:t>
        <w:br/>
      </w:r>
      <w:r>
        <w:rPr>
          <w:rFonts w:ascii="Consolas" w:hAnsi="Consolas"/>
          <w:color w:val="333333"/>
          <w:sz w:val="18"/>
        </w:rPr>
        <w:t>│   └── 4.2 Mitigation Control Assessment</w:t>
        <w:br/>
      </w:r>
      <w:r>
        <w:rPr>
          <w:rFonts w:ascii="Consolas" w:hAnsi="Consolas"/>
          <w:color w:val="333333"/>
          <w:sz w:val="18"/>
        </w:rPr>
        <w:t>├── 5.0 Findings</w:t>
        <w:br/>
      </w:r>
      <w:r>
        <w:rPr>
          <w:rFonts w:ascii="Consolas" w:hAnsi="Consolas"/>
          <w:color w:val="333333"/>
          <w:sz w:val="18"/>
        </w:rPr>
        <w:t>│   ├── 5.1 Finding F-001 — Duplicate Invoice Not Detected</w:t>
        <w:br/>
      </w:r>
      <w:r>
        <w:rPr>
          <w:rFonts w:ascii="Consolas" w:hAnsi="Consolas"/>
          <w:color w:val="333333"/>
          <w:sz w:val="18"/>
        </w:rPr>
        <w:t>│   └── 5.2 Finding F-002 — Vendor Bank Account Change Without Dual Authorization</w:t>
        <w:br/>
      </w:r>
      <w:r>
        <w:rPr>
          <w:rFonts w:ascii="Consolas" w:hAnsi="Consolas"/>
          <w:color w:val="333333"/>
          <w:sz w:val="18"/>
        </w:rPr>
        <w:t>└── 6.0 Report</w:t>
        <w:br/>
      </w:r>
      <w:r>
        <w:rPr>
          <w:rFonts w:ascii="Consolas" w:hAnsi="Consolas"/>
          <w:color w:val="333333"/>
          <w:sz w:val="18"/>
        </w:rPr>
        <w:t xml:space="preserve">    ├── 6.1 Draft Report (v1, v2, v3)</w:t>
        <w:br/>
      </w:r>
      <w:r>
        <w:rPr>
          <w:rFonts w:ascii="Consolas" w:hAnsi="Consolas"/>
          <w:color w:val="333333"/>
          <w:sz w:val="18"/>
        </w:rPr>
        <w:t xml:space="preserve">    └── 6.2 Final Report (signed)</w:t>
        <w:br/>
      </w:r>
    </w:p>
    <w:p>
      <w:pPr>
        <w:pStyle w:val="Heading3"/>
      </w:pPr>
      <w:r>
        <w:t>6.2 Creating Workpapers</w:t>
      </w:r>
    </w:p>
    <w:p>
      <w:r/>
      <w:r>
        <w:rPr>
          <w:b/>
        </w:rPr>
        <w:t>Navigate to: Engagement → Workpapers → New Workpaper</w:t>
      </w:r>
      <w:r/>
    </w:p>
    <w:p>
      <w:r/>
      <w:r>
        <w:rPr>
          <w:b/>
        </w:rPr>
        <w:t>Workpaper types: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 When</w:t>
            </w:r>
          </w:p>
        </w:tc>
      </w:tr>
      <w:tr>
        <w:tc>
          <w:tcPr>
            <w:tcW w:type="dxa" w:w="2880"/>
          </w:tcPr>
          <w:p>
            <w:r/>
            <w:r>
              <w:t>Narrative</w:t>
            </w:r>
          </w:p>
        </w:tc>
        <w:tc>
          <w:tcPr>
            <w:tcW w:type="dxa" w:w="2880"/>
          </w:tcPr>
          <w:p>
            <w:r/>
            <w:r>
              <w:t>Descriptive text document</w:t>
            </w:r>
          </w:p>
        </w:tc>
        <w:tc>
          <w:tcPr>
            <w:tcW w:type="dxa" w:w="2880"/>
          </w:tcPr>
          <w:p>
            <w:r/>
            <w:r>
              <w:t>Process descriptions, understanding documentation, meeting notes</w:t>
            </w:r>
          </w:p>
        </w:tc>
      </w:tr>
      <w:tr>
        <w:tc>
          <w:tcPr>
            <w:tcW w:type="dxa" w:w="2880"/>
          </w:tcPr>
          <w:p>
            <w:r/>
            <w:r>
              <w:t>Schedule</w:t>
            </w:r>
          </w:p>
        </w:tc>
        <w:tc>
          <w:tcPr>
            <w:tcW w:type="dxa" w:w="2880"/>
          </w:tcPr>
          <w:p>
            <w:r/>
            <w:r>
              <w:t>Structured data table/spreadsheet</w:t>
            </w:r>
          </w:p>
        </w:tc>
        <w:tc>
          <w:tcPr>
            <w:tcW w:type="dxa" w:w="2880"/>
          </w:tcPr>
          <w:p>
            <w:r/>
            <w:r>
              <w:t>Sample populations, exception listings, comparative analysis</w:t>
            </w:r>
          </w:p>
        </w:tc>
      </w:tr>
      <w:tr>
        <w:tc>
          <w:tcPr>
            <w:tcW w:type="dxa" w:w="2880"/>
          </w:tcPr>
          <w:p>
            <w:r/>
            <w:r>
              <w:t>Extract</w:t>
            </w:r>
          </w:p>
        </w:tc>
        <w:tc>
          <w:tcPr>
            <w:tcW w:type="dxa" w:w="2880"/>
          </w:tcPr>
          <w:p>
            <w:r/>
            <w:r>
              <w:t>System-generated data export</w:t>
            </w:r>
          </w:p>
        </w:tc>
        <w:tc>
          <w:tcPr>
            <w:tcW w:type="dxa" w:w="2880"/>
          </w:tcPr>
          <w:p>
            <w:r/>
            <w:r>
              <w:t>SAP reports, ARA exports, database queries</w:t>
            </w:r>
          </w:p>
        </w:tc>
      </w:tr>
      <w:tr>
        <w:tc>
          <w:tcPr>
            <w:tcW w:type="dxa" w:w="2880"/>
          </w:tcPr>
          <w:p>
            <w:r/>
            <w:r>
              <w:t>Screenshot</w:t>
            </w:r>
          </w:p>
        </w:tc>
        <w:tc>
          <w:tcPr>
            <w:tcW w:type="dxa" w:w="2880"/>
          </w:tcPr>
          <w:p>
            <w:r/>
            <w:r>
              <w:t>Image capture</w:t>
            </w:r>
          </w:p>
        </w:tc>
        <w:tc>
          <w:tcPr>
            <w:tcW w:type="dxa" w:w="2880"/>
          </w:tcPr>
          <w:p>
            <w:r/>
            <w:r>
              <w:t>System configuration evidence, error messages, approval screens</w:t>
            </w:r>
          </w:p>
        </w:tc>
      </w:tr>
      <w:tr>
        <w:tc>
          <w:tcPr>
            <w:tcW w:type="dxa" w:w="2880"/>
          </w:tcPr>
          <w:p>
            <w:r/>
            <w:r>
              <w:t>Correspondence</w:t>
            </w:r>
          </w:p>
        </w:tc>
        <w:tc>
          <w:tcPr>
            <w:tcW w:type="dxa" w:w="2880"/>
          </w:tcPr>
          <w:p>
            <w:r/>
            <w:r>
              <w:t>Email or letter</w:t>
            </w:r>
          </w:p>
        </w:tc>
        <w:tc>
          <w:tcPr>
            <w:tcW w:type="dxa" w:w="2880"/>
          </w:tcPr>
          <w:p>
            <w:r/>
            <w:r>
              <w:t>Management responses, auditee communications, confirmations</w:t>
            </w:r>
          </w:p>
        </w:tc>
      </w:tr>
    </w:tbl>
    <w:p/>
    <w:p>
      <w:r/>
      <w:r>
        <w:rPr>
          <w:b/>
        </w:rPr>
        <w:t>Workpaper metadata: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WP Reference</w:t>
            </w:r>
          </w:p>
        </w:tc>
        <w:tc>
          <w:tcPr>
            <w:tcW w:type="dxa" w:w="2880"/>
          </w:tcPr>
          <w:p>
            <w:r/>
            <w:r>
              <w:t>3.3</w:t>
            </w:r>
          </w:p>
        </w:tc>
        <w:tc>
          <w:tcPr>
            <w:tcW w:type="dxa" w:w="2880"/>
          </w:tcPr>
          <w:p>
            <w:r/>
            <w:r>
              <w:t>Index number (follows agreed structure)</w:t>
            </w:r>
          </w:p>
        </w:tc>
      </w:tr>
      <w:tr>
        <w:tc>
          <w:tcPr>
            <w:tcW w:type="dxa" w:w="2880"/>
          </w:tcPr>
          <w:p>
            <w:r/>
            <w:r>
              <w:t>Title</w:t>
            </w:r>
          </w:p>
        </w:tc>
        <w:tc>
          <w:tcPr>
            <w:tcW w:type="dxa" w:w="2880"/>
          </w:tcPr>
          <w:p>
            <w:r/>
            <w:r>
              <w:t>Test of 3-Way Match Control — Sample of 25</w:t>
            </w:r>
          </w:p>
        </w:tc>
        <w:tc>
          <w:tcPr>
            <w:tcW w:type="dxa" w:w="2880"/>
          </w:tcPr>
          <w:p>
            <w:r/>
            <w:r>
              <w:t>Descriptive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Schedule</w:t>
            </w:r>
          </w:p>
        </w:tc>
        <w:tc>
          <w:tcPr>
            <w:tcW w:type="dxa" w:w="2880"/>
          </w:tcPr>
          <w:p>
            <w:r/>
            <w:r>
              <w:t>From type list</w:t>
            </w:r>
          </w:p>
        </w:tc>
      </w:tr>
      <w:tr>
        <w:tc>
          <w:tcPr>
            <w:tcW w:type="dxa" w:w="2880"/>
          </w:tcPr>
          <w:p>
            <w:r/>
            <w:r>
              <w:t>Prepared by</w:t>
            </w:r>
          </w:p>
        </w:tc>
        <w:tc>
          <w:tcPr>
            <w:tcW w:type="dxa" w:w="2880"/>
          </w:tcPr>
          <w:p>
            <w:r/>
            <w:r>
              <w:t>Lisa Park</w:t>
            </w:r>
          </w:p>
        </w:tc>
        <w:tc>
          <w:tcPr>
            <w:tcW w:type="dxa" w:w="2880"/>
          </w:tcPr>
          <w:p>
            <w:r/>
            <w:r>
              <w:t>Auto-populated from logged-in user</w:t>
            </w:r>
          </w:p>
        </w:tc>
      </w:tr>
      <w:tr>
        <w:tc>
          <w:tcPr>
            <w:tcW w:type="dxa" w:w="2880"/>
          </w:tcPr>
          <w:p>
            <w:r/>
            <w:r>
              <w:t>Prepared date</w:t>
            </w:r>
          </w:p>
        </w:tc>
        <w:tc>
          <w:tcPr>
            <w:tcW w:type="dxa" w:w="2880"/>
          </w:tcPr>
          <w:p>
            <w:r/>
            <w:r>
              <w:t>2026-08-12</w:t>
            </w:r>
          </w:p>
        </w:tc>
        <w:tc>
          <w:tcPr>
            <w:tcW w:type="dxa" w:w="2880"/>
          </w:tcPr>
          <w:p>
            <w:r/>
            <w:r>
              <w:t>Auto-populated</w:t>
            </w:r>
          </w:p>
        </w:tc>
      </w:tr>
      <w:tr>
        <w:tc>
          <w:tcPr>
            <w:tcW w:type="dxa" w:w="2880"/>
          </w:tcPr>
          <w:p>
            <w:r/>
            <w:r>
              <w:t>Period covered</w:t>
            </w:r>
          </w:p>
        </w:tc>
        <w:tc>
          <w:tcPr>
            <w:tcW w:type="dxa" w:w="2880"/>
          </w:tcPr>
          <w:p>
            <w:r/>
            <w:r>
              <w:t>July 2026</w:t>
            </w:r>
          </w:p>
        </w:tc>
        <w:tc>
          <w:tcPr>
            <w:tcW w:type="dxa" w:w="2880"/>
          </w:tcPr>
          <w:p>
            <w:r/>
            <w:r>
              <w:t>What time period does this document cover</w:t>
            </w:r>
          </w:p>
        </w:tc>
      </w:tr>
      <w:tr>
        <w:tc>
          <w:tcPr>
            <w:tcW w:type="dxa" w:w="2880"/>
          </w:tcPr>
          <w:p>
            <w:r/>
            <w:r>
              <w:t>Finding references</w:t>
            </w:r>
          </w:p>
        </w:tc>
        <w:tc>
          <w:tcPr>
            <w:tcW w:type="dxa" w:w="2880"/>
          </w:tcPr>
          <w:p>
            <w:r/>
            <w:r>
              <w:t>F-001</w:t>
            </w:r>
          </w:p>
        </w:tc>
        <w:tc>
          <w:tcPr>
            <w:tcW w:type="dxa" w:w="2880"/>
          </w:tcPr>
          <w:p>
            <w:r/>
            <w:r>
              <w:t>Links to related findings</w:t>
            </w:r>
          </w:p>
        </w:tc>
      </w:tr>
      <w:tr>
        <w:tc>
          <w:tcPr>
            <w:tcW w:type="dxa" w:w="2880"/>
          </w:tcPr>
          <w:p>
            <w:r/>
            <w:r>
              <w:t>Procedure references</w:t>
            </w:r>
          </w:p>
        </w:tc>
        <w:tc>
          <w:tcPr>
            <w:tcW w:type="dxa" w:w="2880"/>
          </w:tcPr>
          <w:p>
            <w:r/>
            <w:r>
              <w:t>WP-1.1</w:t>
            </w:r>
          </w:p>
        </w:tc>
        <w:tc>
          <w:tcPr>
            <w:tcW w:type="dxa" w:w="2880"/>
          </w:tcPr>
          <w:p>
            <w:r/>
            <w:r>
              <w:t>Links to work program procedure</w:t>
            </w:r>
          </w:p>
        </w:tc>
      </w:tr>
    </w:tbl>
    <w:p/>
    <w:p>
      <w:pPr>
        <w:pStyle w:val="Heading3"/>
      </w:pPr>
      <w:r>
        <w:t>6.3 Version Management</w:t>
      </w:r>
    </w:p>
    <w:p>
      <w:r>
        <w:t>When you update a workpaper (e.g., after reviewer comments), GovernexPlus creates a new version:</w:t>
      </w:r>
    </w:p>
    <w:p>
      <w:pPr>
        <w:pStyle w:val="ListBullet"/>
      </w:pPr>
      <w:r>
        <w:t>Prior versions are preserved and accessible</w:t>
      </w:r>
    </w:p>
    <w:p>
      <w:pPr>
        <w:pStyle w:val="ListBullet"/>
      </w:pPr>
      <w:r>
        <w:t>Version history shows who changed what and when</w:t>
      </w:r>
    </w:p>
    <w:p>
      <w:pPr>
        <w:pStyle w:val="ListBullet"/>
      </w:pPr>
      <w:r>
        <w:t>"Current version" is always the latest</w:t>
      </w:r>
    </w:p>
    <w:p>
      <w:pPr>
        <w:pStyle w:val="ListBullet"/>
      </w:pPr>
      <w:r>
        <w:t>Prior versions are marked clearly: "Version 1 — Superseded"</w:t>
      </w:r>
    </w:p>
    <w:p>
      <w:r/>
      <w:r>
        <w:rPr>
          <w:b/>
        </w:rPr>
        <w:t>Version history example: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Workpaper: 3.3 Test of 3-Way Match Control</w:t>
        <w:br/>
      </w:r>
      <w:r>
        <w:rPr>
          <w:rFonts w:ascii="Consolas" w:hAnsi="Consolas"/>
          <w:color w:val="333333"/>
          <w:sz w:val="18"/>
        </w:rPr>
        <w:t>Version 3 (CURRENT)  — Lisa Park — 2026-08-16 — Updated to add sample size justification</w:t>
        <w:br/>
      </w:r>
      <w:r>
        <w:rPr>
          <w:rFonts w:ascii="Consolas" w:hAnsi="Consolas"/>
          <w:color w:val="333333"/>
          <w:sz w:val="18"/>
        </w:rPr>
        <w:t>Version 2            — Lisa Park — 2026-08-14 — Revised after reviewer comments</w:t>
        <w:br/>
      </w:r>
      <w:r>
        <w:rPr>
          <w:rFonts w:ascii="Consolas" w:hAnsi="Consolas"/>
          <w:color w:val="333333"/>
          <w:sz w:val="18"/>
        </w:rPr>
        <w:t>Version 1            — Lisa Park — 2026-08-12 — Initial preparation</w:t>
        <w:br/>
      </w:r>
    </w:p>
    <w:p>
      <w:pPr>
        <w:pStyle w:val="Heading3"/>
      </w:pPr>
      <w:r>
        <w:t>6.4 Review Workflow</w:t>
      </w:r>
    </w:p>
    <w:p>
      <w:r>
        <w:t>Each workpaper follows a defined review path: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Prepared (Lisa Park, Auditor I)</w:t>
        <w:br/>
      </w:r>
      <w:r>
        <w:rPr>
          <w:rFonts w:ascii="Consolas" w:hAnsi="Consolas"/>
          <w:color w:val="333333"/>
          <w:sz w:val="18"/>
        </w:rPr>
        <w:t>→ Reviewed (Mike Chen, Senior Auditor)   ← must be different person from preparer</w:t>
        <w:br/>
      </w:r>
      <w:r>
        <w:rPr>
          <w:rFonts w:ascii="Consolas" w:hAnsi="Consolas"/>
          <w:color w:val="333333"/>
          <w:sz w:val="18"/>
        </w:rPr>
        <w:t>→ Approved (Sarah Johnson, CAE)           ← required for key workpapers</w:t>
        <w:br/>
      </w:r>
    </w:p>
    <w:p>
      <w:r/>
      <w:r>
        <w:rPr>
          <w:b/>
        </w:rPr>
        <w:t>Adding review comments:</w:t>
      </w:r>
      <w:r/>
    </w:p>
    <w:p>
      <w:r>
        <w:t>As a reviewer, you can annotate specific sections of a workpaper:</w:t>
      </w:r>
    </w:p>
    <w:p>
      <w:pPr>
        <w:pStyle w:val="ListNumber"/>
      </w:pPr>
      <w:r>
        <w:t>Open the workpaper</w:t>
      </w:r>
    </w:p>
    <w:p>
      <w:pPr>
        <w:pStyle w:val="ListNumber"/>
      </w:pPr>
      <w:r>
        <w:t>Navigate to the section with an issue</w:t>
      </w:r>
    </w:p>
    <w:p>
      <w:pPr>
        <w:pStyle w:val="ListNumber"/>
      </w:pPr>
      <w:r>
        <w:t>Highlight or note the concern</w:t>
      </w:r>
    </w:p>
    <w:p>
      <w:pPr>
        <w:pStyle w:val="ListNumber"/>
      </w:pPr>
      <w:r>
        <w:t xml:space="preserve">Click </w:t>
      </w:r>
      <w:r>
        <w:rPr>
          <w:b/>
        </w:rPr>
        <w:t>Add Review Comment</w:t>
      </w:r>
      <w:r>
        <w:t>:</w:t>
      </w:r>
    </w:p>
    <w:p>
      <w:r>
        <w:t xml:space="preserve">   ```</w:t>
      </w:r>
    </w:p>
    <w:p>
      <w:r>
        <w:t xml:space="preserve">   Reviewer: Mike Chen</w:t>
      </w:r>
    </w:p>
    <w:p>
      <w:r>
        <w:t xml:space="preserve">   Date: 2026-08-13</w:t>
      </w:r>
    </w:p>
    <w:p>
      <w:r>
        <w:t xml:space="preserve">   Comment: "The sample size of 25 is not documented as to whether it was</w:t>
      </w:r>
    </w:p>
    <w:p>
      <w:r>
        <w:t xml:space="preserve">   selected using a random number generator or judgmental selection. Please</w:t>
      </w:r>
    </w:p>
    <w:p>
      <w:r>
        <w:t xml:space="preserve">   document the sample selection methodology per our audit standards."</w:t>
      </w:r>
    </w:p>
    <w:p>
      <w:r>
        <w:t xml:space="preserve">   Status: Open</w:t>
      </w:r>
    </w:p>
    <w:p>
      <w:r>
        <w:t xml:space="preserve">   ```</w:t>
      </w:r>
    </w:p>
    <w:p>
      <w:pPr>
        <w:pStyle w:val="ListNumber"/>
      </w:pPr>
      <w:r>
        <w:t>Preparer receives notification</w:t>
      </w:r>
    </w:p>
    <w:p>
      <w:pPr>
        <w:pStyle w:val="ListNumber"/>
      </w:pPr>
      <w:r>
        <w:t xml:space="preserve">Preparer resolves the comment and marks it: </w:t>
      </w:r>
      <w:r>
        <w:rPr>
          <w:b/>
        </w:rPr>
        <w:t>Resolved — [description of action taken]</w:t>
      </w:r>
      <w:r/>
    </w:p>
    <w:p>
      <w:pPr>
        <w:pStyle w:val="ListNumber"/>
      </w:pPr>
      <w:r>
        <w:t xml:space="preserve">Reviewer confirms resolution and marks: </w:t>
      </w:r>
      <w:r>
        <w:rPr>
          <w:b/>
        </w:rPr>
        <w:t>Agreed</w:t>
      </w:r>
      <w:r/>
    </w:p>
    <w:p>
      <w:pPr>
        <w:pStyle w:val="Heading3"/>
      </w:pPr>
      <w:r>
        <w:t>6.5 Cross-Referencing</w:t>
      </w:r>
    </w:p>
    <w:p>
      <w:r>
        <w:t>Workpapers can be cross-referenced to:</w:t>
      </w:r>
    </w:p>
    <w:p>
      <w:pPr>
        <w:pStyle w:val="ListBullet"/>
      </w:pPr>
      <w:r>
        <w:t>Work program procedures (the procedure that generated this workpaper)</w:t>
      </w:r>
    </w:p>
    <w:p>
      <w:pPr>
        <w:pStyle w:val="ListBullet"/>
      </w:pPr>
      <w:r>
        <w:t>Findings (the finding supported by this workpaper)</w:t>
      </w:r>
    </w:p>
    <w:p>
      <w:pPr>
        <w:pStyle w:val="ListBullet"/>
      </w:pPr>
      <w:r>
        <w:t>Other workpapers (e.g., "See WP 3.1 for population from which sample was drawn")</w:t>
      </w:r>
    </w:p>
    <w:p>
      <w:pPr>
        <w:pStyle w:val="ListBullet"/>
      </w:pPr>
      <w:r>
        <w:t>Evidence records (the evidence object in the evidence repository)</w:t>
      </w:r>
    </w:p>
    <w:p>
      <w:r>
        <w:t>Cross-references create two-way links — from the workpaper to the finding AND from the finding back to the workpaper. This enables "tracing" — from any finding, you can navigate to all supporting workpapers, and from any workpaper, you can see all findings it supports.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Findings (CCCE Format)</w:t>
      </w:r>
    </w:p>
    <w:p>
      <w:pPr>
        <w:pStyle w:val="Heading3"/>
      </w:pPr>
      <w:r>
        <w:t>7.1 The CCCE Framework</w:t>
      </w:r>
    </w:p>
    <w:p>
      <w:r>
        <w:t>All GovernexPlus findings are structured using the internationally recognized CCCE format:</w:t>
      </w:r>
    </w:p>
    <w:p>
      <w:r/>
      <w:r>
        <w:rPr>
          <w:b/>
        </w:rPr>
        <w:t>C — Condition</w:t>
      </w:r>
      <w:r>
        <w:t>: What did we observe? (the fact — objective, specific, quantified)</w:t>
      </w:r>
    </w:p>
    <w:p>
      <w:r/>
      <w:r>
        <w:rPr>
          <w:b/>
        </w:rPr>
        <w:t>C — Criteria</w:t>
      </w:r>
      <w:r>
        <w:t>: What should have happened? (the standard — policy, regulation, best practice)</w:t>
      </w:r>
    </w:p>
    <w:p>
      <w:r/>
      <w:r>
        <w:rPr>
          <w:b/>
        </w:rPr>
        <w:t>C — Cause</w:t>
      </w:r>
      <w:r>
        <w:t>: Why did the gap occur? (root cause — not just symptoms)</w:t>
      </w:r>
    </w:p>
    <w:p>
      <w:r/>
      <w:r>
        <w:rPr>
          <w:b/>
        </w:rPr>
        <w:t>E — Effect</w:t>
      </w:r>
      <w:r>
        <w:t>: What are the consequences? (actual or potential, quantified where possible)</w:t>
      </w:r>
    </w:p>
    <w:p>
      <w:r/>
      <w:r>
        <w:rPr>
          <w:b/>
        </w:rPr>
        <w:t>+ Recommendation</w:t>
      </w:r>
      <w:r>
        <w:t>: What specific steps should management take?</w:t>
      </w:r>
    </w:p>
    <w:p>
      <w:r/>
      <w:r>
        <w:rPr>
          <w:b/>
        </w:rPr>
        <w:t>Guidance for each CCCE element:</w:t>
      </w:r>
      <w:r/>
    </w:p>
    <w:p>
      <w:r/>
      <w:r>
        <w:rPr>
          <w:b/>
        </w:rPr>
        <w:t>Condition — Writing tips:</w:t>
      </w:r>
      <w:r/>
    </w:p>
    <w:p>
      <w:pPr>
        <w:pStyle w:val="ListBullet"/>
      </w:pPr>
      <w:r>
        <w:t>Always state facts, not opinions: "12 of 25 (48%) invoices reviewed did not have a matching goods receipt" NOT "many invoices were not properly supported"</w:t>
      </w:r>
    </w:p>
    <w:p>
      <w:pPr>
        <w:pStyle w:val="ListBullet"/>
      </w:pPr>
      <w:r>
        <w:t>Quantify where possible (percentage, dollar amount, time period)</w:t>
      </w:r>
    </w:p>
    <w:p>
      <w:pPr>
        <w:pStyle w:val="ListBullet"/>
      </w:pPr>
      <w:r>
        <w:t>Include specific examples with identifiers where useful ("Invoice INV-4521 for $45,000 was paid without a goods receipt")</w:t>
      </w:r>
    </w:p>
    <w:p>
      <w:pPr>
        <w:pStyle w:val="ListBullet"/>
      </w:pPr>
      <w:r>
        <w:t>Avoid characterizations: "inadequate" is a conclusion, not a fact</w:t>
      </w:r>
    </w:p>
    <w:p>
      <w:r/>
      <w:r>
        <w:rPr>
          <w:b/>
        </w:rPr>
        <w:t>Criteria — Writing tips:</w:t>
      </w:r>
      <w:r/>
    </w:p>
    <w:p>
      <w:pPr>
        <w:pStyle w:val="ListBullet"/>
      </w:pPr>
      <w:r>
        <w:t>Cite the specific policy, regulation, or standard: "Per ACME Accounts Payable Policy v3.2, Section 4.1, all vendor invoices above $5,000 must be matched to a purchase order and goods receipt before payment is released"</w:t>
      </w:r>
    </w:p>
    <w:p>
      <w:pPr>
        <w:pStyle w:val="ListBullet"/>
      </w:pPr>
      <w:r>
        <w:t>If no formal policy exists, cite industry standard: "COSO Framework Principle 10 requires management to implement control activities through relevant policies"</w:t>
      </w:r>
    </w:p>
    <w:p>
      <w:pPr>
        <w:pStyle w:val="ListBullet"/>
      </w:pPr>
      <w:r>
        <w:t>Use "should" when criteria is best practice (not mandatory): "Industry best practice dictates that goods receipt matching should be performed at the invoice level, not the purchase order level"</w:t>
      </w:r>
    </w:p>
    <w:p>
      <w:r/>
      <w:r>
        <w:rPr>
          <w:b/>
        </w:rPr>
        <w:t>Cause — Writing tips:</w:t>
      </w:r>
      <w:r/>
    </w:p>
    <w:p>
      <w:pPr>
        <w:pStyle w:val="ListBullet"/>
      </w:pPr>
      <w:r>
        <w:t>Distinguish immediate cause from root cause: the immediate cause may be "the control was not performed," but the root cause is "why was the control not performed?"</w:t>
      </w:r>
    </w:p>
    <w:p>
      <w:pPr>
        <w:pStyle w:val="ListBullet"/>
      </w:pPr>
      <w:r>
        <w:t>Common root causes in access/IT audits: lack of monitoring, lack of training, role design deficiencies, inadequate segregation, system configuration, policy not updated for new processes</w:t>
      </w:r>
    </w:p>
    <w:p>
      <w:pPr>
        <w:pStyle w:val="ListBullet"/>
      </w:pPr>
      <w:r>
        <w:t>Avoid placing root cause entirely on individuals — system and process factors are usually the primary cause</w:t>
      </w:r>
    </w:p>
    <w:p>
      <w:r/>
      <w:r>
        <w:rPr>
          <w:b/>
        </w:rPr>
        <w:t>Effect — Writing tips:</w:t>
      </w:r>
      <w:r/>
    </w:p>
    <w:p>
      <w:pPr>
        <w:pStyle w:val="ListBullet"/>
      </w:pPr>
      <w:r>
        <w:t>Quantify when possible: "$X at risk," "N transactions undetected"</w:t>
      </w:r>
    </w:p>
    <w:p>
      <w:pPr>
        <w:pStyle w:val="ListBullet"/>
      </w:pPr>
      <w:r>
        <w:t>If cannot quantify, clearly state potential impact: "Could result in unauthorized payments being processed without detection"</w:t>
      </w:r>
    </w:p>
    <w:p>
      <w:pPr>
        <w:pStyle w:val="ListBullet"/>
      </w:pPr>
      <w:r>
        <w:t>Include regulatory consequence where applicable: "Non-compliance with SOX Section 302 management certification requirements"</w:t>
      </w:r>
    </w:p>
    <w:p>
      <w:pPr>
        <w:pStyle w:val="ListBullet"/>
      </w:pPr>
      <w:r>
        <w:t>Distinguish actual effect (it happened) from potential effect (it could happen)</w:t>
      </w:r>
    </w:p>
    <w:p>
      <w:r/>
      <w:r>
        <w:rPr>
          <w:b/>
        </w:rPr>
        <w:t>Recommendation — Writing tips:</w:t>
      </w:r>
      <w:r/>
    </w:p>
    <w:p>
      <w:pPr>
        <w:pStyle w:val="ListBullet"/>
      </w:pPr>
      <w:r>
        <w:t>Be specific and actionable: "Implement system configuration in SAP to automatically block invoice payment when no matching goods receipt exists in the system (MIRO transaction, GR-based invoice verification flag)" NOT "Strengthen controls over invoice processing"</w:t>
      </w:r>
    </w:p>
    <w:p>
      <w:pPr>
        <w:pStyle w:val="ListBullet"/>
      </w:pPr>
      <w:r>
        <w:t>Address root cause, not just symptoms</w:t>
      </w:r>
    </w:p>
    <w:p>
      <w:pPr>
        <w:pStyle w:val="ListBullet"/>
      </w:pPr>
      <w:r>
        <w:t>Include a suggested completion timeframe</w:t>
      </w:r>
    </w:p>
    <w:p>
      <w:pPr>
        <w:pStyle w:val="ListBullet"/>
      </w:pPr>
      <w:r>
        <w:t>If appropriate, suggest interim mitigating controls until permanent fix is implemented</w:t>
      </w:r>
    </w:p>
    <w:p>
      <w:pPr>
        <w:pStyle w:val="Heading3"/>
      </w:pPr>
      <w:r>
        <w:t>7.2 Creating a Finding</w:t>
      </w:r>
    </w:p>
    <w:p>
      <w:r/>
      <w:r>
        <w:rPr>
          <w:b/>
        </w:rPr>
        <w:t>Navigate to: Engagement → Findings → New Finding</w:t>
      </w:r>
      <w:r/>
    </w:p>
    <w:p>
      <w:r>
        <w:t>[Screenshot: New Finding form with CCCE section fields, severity selector, and cross-module link panel]</w:t>
      </w:r>
    </w:p>
    <w:p>
      <w:r/>
      <w:r>
        <w:rPr>
          <w:b/>
        </w:rPr>
        <w:t>Step-by-step finding creation:</w:t>
      </w:r>
      <w:r/>
    </w:p>
    <w:p>
      <w:r/>
      <w:r>
        <w:rPr>
          <w:b/>
        </w:rPr>
        <w:t>1. Title:</w:t>
      </w:r>
      <w:r/>
    </w:p>
    <w:p>
      <w:r>
        <w:t>A good finding title states the issue clearly in 5–10 words:</w:t>
      </w:r>
    </w:p>
    <w:p>
      <w:pPr>
        <w:pStyle w:val="ListBullet"/>
      </w:pPr>
      <w:r>
        <w:t>"Duplicate Invoice Detection Control Not Operating Effectively"</w:t>
      </w:r>
    </w:p>
    <w:p>
      <w:pPr>
        <w:pStyle w:val="ListBullet"/>
      </w:pPr>
      <w:r>
        <w:t>"Vendor Bank Account Changes Lack Dual Authorization"</w:t>
      </w:r>
    </w:p>
    <w:p>
      <w:pPr>
        <w:pStyle w:val="ListBullet"/>
      </w:pPr>
      <w:r>
        <w:t>"SoD Violation: AP Clerk Can Post and Approve Invoices (FI-012)"</w:t>
      </w:r>
    </w:p>
    <w:p>
      <w:r/>
      <w:r>
        <w:rPr>
          <w:b/>
        </w:rPr>
        <w:t>2. Condition (draft):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During testing of 25 vendor invoices randomly selected from the population of</w:t>
        <w:br/>
      </w:r>
      <w:r>
        <w:rPr>
          <w:rFonts w:ascii="Consolas" w:hAnsi="Consolas"/>
          <w:color w:val="333333"/>
          <w:sz w:val="18"/>
        </w:rPr>
        <w:t>1,247 invoices processed in Q2 2026, 3 invoices (12%) were paid without a matching</w:t>
        <w:br/>
      </w:r>
      <w:r>
        <w:rPr>
          <w:rFonts w:ascii="Consolas" w:hAnsi="Consolas"/>
          <w:color w:val="333333"/>
          <w:sz w:val="18"/>
        </w:rPr>
        <w:t>goods receipt in SAP. These invoices totaled $134,567. Specifically:</w:t>
        <w:br/>
      </w:r>
      <w:r>
        <w:rPr>
          <w:rFonts w:ascii="Consolas" w:hAnsi="Consolas"/>
          <w:color w:val="333333"/>
          <w:sz w:val="18"/>
        </w:rPr>
        <w:t>- Invoice INV-4521 (Vendor ABC, $45,000): No goods receipt referenced</w:t>
        <w:br/>
      </w:r>
      <w:r>
        <w:rPr>
          <w:rFonts w:ascii="Consolas" w:hAnsi="Consolas"/>
          <w:color w:val="333333"/>
          <w:sz w:val="18"/>
        </w:rPr>
        <w:t>- Invoice INV-5102 (Vendor DEF, $67,890): Goods receipt GR-2890 referenced but</w:t>
        <w:br/>
      </w:r>
      <w:r>
        <w:rPr>
          <w:rFonts w:ascii="Consolas" w:hAnsi="Consolas"/>
          <w:color w:val="333333"/>
          <w:sz w:val="18"/>
        </w:rPr>
        <w:t xml:space="preserve">  goods receipt was for a different vendor</w:t>
        <w:br/>
      </w:r>
      <w:r>
        <w:rPr>
          <w:rFonts w:ascii="Consolas" w:hAnsi="Consolas"/>
          <w:color w:val="333333"/>
          <w:sz w:val="18"/>
        </w:rPr>
        <w:t>- Invoice INV-5344 (Vendor GHI, $21,677): Goods receipt dated 45 days after</w:t>
        <w:br/>
      </w:r>
      <w:r>
        <w:rPr>
          <w:rFonts w:ascii="Consolas" w:hAnsi="Consolas"/>
          <w:color w:val="333333"/>
          <w:sz w:val="18"/>
        </w:rPr>
        <w:t xml:space="preserve">  invoice payment</w:t>
        <w:br/>
      </w:r>
    </w:p>
    <w:p>
      <w:r/>
      <w:r>
        <w:rPr>
          <w:b/>
        </w:rPr>
        <w:t>3. Criteria: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ACME Accounts Payable Policy v3.2, Section 4.1 requires all vendor invoices above</w:t>
        <w:br/>
      </w:r>
      <w:r>
        <w:rPr>
          <w:rFonts w:ascii="Consolas" w:hAnsi="Consolas"/>
          <w:color w:val="333333"/>
          <w:sz w:val="18"/>
        </w:rPr>
        <w:t>$5,000 to be matched to a purchase order and a goods receipt before payment release.</w:t>
        <w:br/>
      </w:r>
      <w:r>
        <w:rPr>
          <w:rFonts w:ascii="Consolas" w:hAnsi="Consolas"/>
          <w:color w:val="333333"/>
          <w:sz w:val="18"/>
        </w:rPr>
        <w:t>Additionally, SAP S/4HANA is configured to enforce 3-way match; however, the system</w:t>
        <w:br/>
      </w:r>
      <w:r>
        <w:rPr>
          <w:rFonts w:ascii="Consolas" w:hAnsi="Consolas"/>
          <w:color w:val="333333"/>
          <w:sz w:val="18"/>
        </w:rPr>
        <w:t>configuration allows invoices to bypass the match requirement when a manual tolerance</w:t>
        <w:br/>
      </w:r>
      <w:r>
        <w:rPr>
          <w:rFonts w:ascii="Consolas" w:hAnsi="Consolas"/>
          <w:color w:val="333333"/>
          <w:sz w:val="18"/>
        </w:rPr>
        <w:t>exception is applied (transaction code MRBR).</w:t>
        <w:br/>
      </w:r>
    </w:p>
    <w:p>
      <w:r/>
      <w:r>
        <w:rPr>
          <w:b/>
        </w:rPr>
        <w:t>4. Cause: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Root cause: The MRBR (blocked invoice release) transaction does not require</w:t>
        <w:br/>
      </w:r>
      <w:r>
        <w:rPr>
          <w:rFonts w:ascii="Consolas" w:hAnsi="Consolas"/>
          <w:color w:val="333333"/>
          <w:sz w:val="18"/>
        </w:rPr>
        <w:t>supervisory authorization before releasing blocked invoices. Any user with the</w:t>
        <w:br/>
      </w:r>
      <w:r>
        <w:rPr>
          <w:rFonts w:ascii="Consolas" w:hAnsi="Consolas"/>
          <w:color w:val="333333"/>
          <w:sz w:val="18"/>
        </w:rPr>
        <w:t>MM_PROC_CLERK role can release a blocked invoice without approval from the AP</w:t>
        <w:br/>
      </w:r>
      <w:r>
        <w:rPr>
          <w:rFonts w:ascii="Consolas" w:hAnsi="Consolas"/>
          <w:color w:val="333333"/>
          <w:sz w:val="18"/>
        </w:rPr>
        <w:t>manager or a second reviewer. This allows invoices that failed 3-way match to be</w:t>
        <w:br/>
      </w:r>
      <w:r>
        <w:rPr>
          <w:rFonts w:ascii="Consolas" w:hAnsi="Consolas"/>
          <w:color w:val="333333"/>
          <w:sz w:val="18"/>
        </w:rPr>
        <w:t>released by the same user who processed them (defeating the intended control).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Contributing cause: The AP department's documented procedure does not address</w:t>
        <w:br/>
      </w:r>
      <w:r>
        <w:rPr>
          <w:rFonts w:ascii="Consolas" w:hAnsi="Consolas"/>
          <w:color w:val="333333"/>
          <w:sz w:val="18"/>
        </w:rPr>
        <w:t>the blocked invoice release process, leaving staff without clear guidance on when</w:t>
        <w:br/>
      </w:r>
      <w:r>
        <w:rPr>
          <w:rFonts w:ascii="Consolas" w:hAnsi="Consolas"/>
          <w:color w:val="333333"/>
          <w:sz w:val="18"/>
        </w:rPr>
        <w:t>invoice release is appropriate.</w:t>
        <w:br/>
      </w:r>
    </w:p>
    <w:p>
      <w:r/>
      <w:r>
        <w:rPr>
          <w:b/>
        </w:rPr>
        <w:t>5. Effect: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Actual effect: 3 invoices totaling $134,567 were paid without proper authorization.</w:t>
        <w:br/>
      </w:r>
      <w:r>
        <w:rPr>
          <w:rFonts w:ascii="Consolas" w:hAnsi="Consolas"/>
          <w:color w:val="333333"/>
          <w:sz w:val="18"/>
        </w:rPr>
        <w:t>While post-payment review by the CFO did not identify fraud, these payments were</w:t>
        <w:br/>
      </w:r>
      <w:r>
        <w:rPr>
          <w:rFonts w:ascii="Consolas" w:hAnsi="Consolas"/>
          <w:color w:val="333333"/>
          <w:sz w:val="18"/>
        </w:rPr>
        <w:t>made without adequate controls.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Potential effect: The absence of a dual-authorization requirement for blocked</w:t>
        <w:br/>
      </w:r>
      <w:r>
        <w:rPr>
          <w:rFonts w:ascii="Consolas" w:hAnsi="Consolas"/>
          <w:color w:val="333333"/>
          <w:sz w:val="18"/>
        </w:rPr>
        <w:t>invoice release creates risk that fraudulent or erroneous invoices could be paid</w:t>
        <w:br/>
      </w:r>
      <w:r>
        <w:rPr>
          <w:rFonts w:ascii="Consolas" w:hAnsi="Consolas"/>
          <w:color w:val="333333"/>
          <w:sz w:val="18"/>
        </w:rPr>
        <w:t>without detection. Based on the Q2 2026 population of 1,247 invoices, extrapolation</w:t>
        <w:br/>
      </w:r>
      <w:r>
        <w:rPr>
          <w:rFonts w:ascii="Consolas" w:hAnsi="Consolas"/>
          <w:color w:val="333333"/>
          <w:sz w:val="18"/>
        </w:rPr>
        <w:t>of the 12% exception rate suggests approximately 150 invoices per quarter may be</w:t>
        <w:br/>
      </w:r>
      <w:r>
        <w:rPr>
          <w:rFonts w:ascii="Consolas" w:hAnsi="Consolas"/>
          <w:color w:val="333333"/>
          <w:sz w:val="18"/>
        </w:rPr>
        <w:t>released without proper authorization, representing potential exposure of</w:t>
        <w:br/>
      </w:r>
      <w:r>
        <w:rPr>
          <w:rFonts w:ascii="Consolas" w:hAnsi="Consolas"/>
          <w:color w:val="333333"/>
          <w:sz w:val="18"/>
        </w:rPr>
        <w:t>approximately $15M–$20M annually.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Regulatory implication: This control failure affects SOX Section 404 management's</w:t>
        <w:br/>
      </w:r>
      <w:r>
        <w:rPr>
          <w:rFonts w:ascii="Consolas" w:hAnsi="Consolas"/>
          <w:color w:val="333333"/>
          <w:sz w:val="18"/>
        </w:rPr>
        <w:t>assessment of the effectiveness of internal controls over financial reporting.</w:t>
        <w:br/>
      </w:r>
    </w:p>
    <w:p>
      <w:r/>
      <w:r>
        <w:rPr>
          <w:b/>
        </w:rPr>
        <w:t>6. Recommendation: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Management should: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Immediate actions (complete within 30 days):</w:t>
        <w:br/>
      </w:r>
      <w:r>
        <w:rPr>
          <w:rFonts w:ascii="Consolas" w:hAnsi="Consolas"/>
          <w:color w:val="333333"/>
          <w:sz w:val="18"/>
        </w:rPr>
        <w:t>1. Configure SAP MRBR transaction to require a second approver (different from the</w:t>
        <w:br/>
      </w:r>
      <w:r>
        <w:rPr>
          <w:rFonts w:ascii="Consolas" w:hAnsi="Consolas"/>
          <w:color w:val="333333"/>
          <w:sz w:val="18"/>
        </w:rPr>
        <w:t xml:space="preserve">   invoice processor) before a blocked invoice can be released. This is achievable</w:t>
        <w:br/>
      </w:r>
      <w:r>
        <w:rPr>
          <w:rFonts w:ascii="Consolas" w:hAnsi="Consolas"/>
          <w:color w:val="333333"/>
          <w:sz w:val="18"/>
        </w:rPr>
        <w:t xml:space="preserve">   through SAP workflow configuration and does not require ABAP development.</w:t>
        <w:br/>
      </w:r>
      <w:r>
        <w:rPr>
          <w:rFonts w:ascii="Consolas" w:hAnsi="Consolas"/>
          <w:color w:val="333333"/>
          <w:sz w:val="18"/>
        </w:rPr>
        <w:t>2. Implement a compensating control: CFO or AP Manager reviews all MRBR releases</w:t>
        <w:br/>
      </w:r>
      <w:r>
        <w:rPr>
          <w:rFonts w:ascii="Consolas" w:hAnsi="Consolas"/>
          <w:color w:val="333333"/>
          <w:sz w:val="18"/>
        </w:rPr>
        <w:t xml:space="preserve">   weekly until the system configuration is complete.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Longer-term actions (complete within 90 days):</w:t>
        <w:br/>
      </w:r>
      <w:r>
        <w:rPr>
          <w:rFonts w:ascii="Consolas" w:hAnsi="Consolas"/>
          <w:color w:val="333333"/>
          <w:sz w:val="18"/>
        </w:rPr>
        <w:t>3. Update the AP Accounts Payable Procedure document to clearly define when MRBR</w:t>
        <w:br/>
      </w:r>
      <w:r>
        <w:rPr>
          <w:rFonts w:ascii="Consolas" w:hAnsi="Consolas"/>
          <w:color w:val="333333"/>
          <w:sz w:val="18"/>
        </w:rPr>
        <w:t xml:space="preserve">   release is appropriate and required authorization steps.</w:t>
        <w:br/>
      </w:r>
      <w:r>
        <w:rPr>
          <w:rFonts w:ascii="Consolas" w:hAnsi="Consolas"/>
          <w:color w:val="333333"/>
          <w:sz w:val="18"/>
        </w:rPr>
        <w:t>4. Conduct a retrospective review of all MRBR releases in the last 12 months</w:t>
        <w:br/>
      </w:r>
      <w:r>
        <w:rPr>
          <w:rFonts w:ascii="Consolas" w:hAnsi="Consolas"/>
          <w:color w:val="333333"/>
          <w:sz w:val="18"/>
        </w:rPr>
        <w:t xml:space="preserve">   to identify any unauthorized releases requiring follow-up.</w:t>
        <w:br/>
      </w:r>
    </w:p>
    <w:p>
      <w:pPr>
        <w:pStyle w:val="Heading3"/>
      </w:pPr>
      <w:r>
        <w:t>7.3 Severity Rating</w:t>
      </w:r>
    </w:p>
    <w:p>
      <w:r/>
      <w:r>
        <w:rPr>
          <w:b/>
        </w:rPr>
        <w:t>Severity definitions: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Critical</w:t>
            </w:r>
            <w:r/>
          </w:p>
        </w:tc>
        <w:tc>
          <w:tcPr>
            <w:tcW w:type="dxa" w:w="2880"/>
          </w:tcPr>
          <w:p>
            <w:r/>
            <w:r>
              <w:t>Represents a material weakness; significant financial exposure or immediate regulatory consequence</w:t>
            </w:r>
          </w:p>
        </w:tc>
        <w:tc>
          <w:tcPr>
            <w:tcW w:type="dxa" w:w="2880"/>
          </w:tcPr>
          <w:p>
            <w:r/>
            <w:r>
              <w:t>Fraud scheme undetected for 12 months; financial statements materially misstated; SAP_ALL in production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High</w:t>
            </w:r>
            <w:r/>
          </w:p>
        </w:tc>
        <w:tc>
          <w:tcPr>
            <w:tcW w:type="dxa" w:w="2880"/>
          </w:tcPr>
          <w:p>
            <w:r/>
            <w:r>
              <w:t>Significant deficiency; high probability of material misstatement if not addressed; significant audit findings in SOX context</w:t>
            </w:r>
          </w:p>
        </w:tc>
        <w:tc>
          <w:tcPr>
            <w:tcW w:type="dxa" w:w="2880"/>
          </w:tcPr>
          <w:p>
            <w:r/>
            <w:r>
              <w:t>Duplicate payment control not operating; payment made without authorization; Critical SoD violation unmitigated for 6+ months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Medium</w:t>
            </w:r>
            <w:r/>
          </w:p>
        </w:tc>
        <w:tc>
          <w:tcPr>
            <w:tcW w:type="dxa" w:w="2880"/>
          </w:tcPr>
          <w:p>
            <w:r/>
            <w:r>
              <w:t>Control deficiency with moderate risk; limited financial exposure; non-compliance with policy but no immediate harm</w:t>
            </w:r>
          </w:p>
        </w:tc>
        <w:tc>
          <w:tcPr>
            <w:tcW w:type="dxa" w:w="2880"/>
          </w:tcPr>
          <w:p>
            <w:r/>
            <w:r>
              <w:t>3-way match exceptions for small-value invoices; procedure document out of date; High SoD violation unmitigated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Low</w:t>
            </w:r>
            <w:r/>
          </w:p>
        </w:tc>
        <w:tc>
          <w:tcPr>
            <w:tcW w:type="dxa" w:w="2880"/>
          </w:tcPr>
          <w:p>
            <w:r/>
            <w:r>
              <w:t>Minor weakness; limited control impact; easily remediated</w:t>
            </w:r>
          </w:p>
        </w:tc>
        <w:tc>
          <w:tcPr>
            <w:tcW w:type="dxa" w:w="2880"/>
          </w:tcPr>
          <w:p>
            <w:r/>
            <w:r>
              <w:t>Incomplete sign-off on one control test; filing error; duplicate vendor records (not paid)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Observation</w:t>
            </w:r>
            <w:r/>
          </w:p>
        </w:tc>
        <w:tc>
          <w:tcPr>
            <w:tcW w:type="dxa" w:w="2880"/>
          </w:tcPr>
          <w:p>
            <w:r/>
            <w:r>
              <w:t>Best practice improvement; no control failure; opportunity identified</w:t>
            </w:r>
          </w:p>
        </w:tc>
        <w:tc>
          <w:tcPr>
            <w:tcW w:type="dxa" w:w="2880"/>
          </w:tcPr>
          <w:p>
            <w:r/>
            <w:r>
              <w:t>Process inefficiency; manual process that could be automated; enhanced reporting opportunity</w:t>
            </w:r>
          </w:p>
        </w:tc>
      </w:tr>
    </w:tbl>
    <w:p/>
    <w:p>
      <w:r/>
      <w:r>
        <w:rPr>
          <w:b/>
        </w:rPr>
        <w:t>Common mistake</w:t>
      </w:r>
      <w:r>
        <w:t>: Inflating severity. A finding classified Critical implies a material weakness requiring immediate escalation to the Audit Committee and disclosure implications in a SOX context. Reserve Critical for genuine material weaknesses.</w:t>
      </w:r>
    </w:p>
    <w:p>
      <w:pPr>
        <w:pStyle w:val="Heading3"/>
      </w:pPr>
      <w:r>
        <w:t>7.4 Cross-Module Linking</w:t>
      </w:r>
    </w:p>
    <w:p>
      <w:r>
        <w:t>One of GovernexPlus's most powerful features for auditors: every finding can be linked directly to evidence and records in other GRC pillars.</w:t>
      </w:r>
    </w:p>
    <w:p>
      <w:r/>
      <w:r>
        <w:rPr>
          <w:b/>
        </w:rPr>
        <w:t>Links available: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Link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You Can Link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Useful</w:t>
            </w:r>
          </w:p>
        </w:tc>
      </w:tr>
      <w:tr>
        <w:tc>
          <w:tcPr>
            <w:tcW w:type="dxa" w:w="2880"/>
          </w:tcPr>
          <w:p>
            <w:r/>
            <w:r>
              <w:t>AC — SoD Violation</w:t>
            </w:r>
          </w:p>
        </w:tc>
        <w:tc>
          <w:tcPr>
            <w:tcW w:type="dxa" w:w="2880"/>
          </w:tcPr>
          <w:p>
            <w:r/>
            <w:r>
              <w:t>Specific violation record from ARA</w:t>
            </w:r>
          </w:p>
        </w:tc>
        <w:tc>
          <w:tcPr>
            <w:tcW w:type="dxa" w:w="2880"/>
          </w:tcPr>
          <w:p>
            <w:r/>
            <w:r>
              <w:t>"This finding is supported by the ARA violation record for user J.Smith showing FI-012 active"</w:t>
            </w:r>
          </w:p>
        </w:tc>
      </w:tr>
      <w:tr>
        <w:tc>
          <w:tcPr>
            <w:tcW w:type="dxa" w:w="2880"/>
          </w:tcPr>
          <w:p>
            <w:r/>
            <w:r>
              <w:t>AC — Firefighter Session</w:t>
            </w:r>
          </w:p>
        </w:tc>
        <w:tc>
          <w:tcPr>
            <w:tcW w:type="dxa" w:w="2880"/>
          </w:tcPr>
          <w:p>
            <w:r/>
            <w:r>
              <w:t>Specific session log</w:t>
            </w:r>
          </w:p>
        </w:tc>
        <w:tc>
          <w:tcPr>
            <w:tcW w:type="dxa" w:w="2880"/>
          </w:tcPr>
          <w:p>
            <w:r/>
            <w:r>
              <w:t>"The unauthorized access was executed under firefighter ID FF_FIN_ACME on 2026-08-05 (see session log)"</w:t>
            </w:r>
          </w:p>
        </w:tc>
      </w:tr>
      <w:tr>
        <w:tc>
          <w:tcPr>
            <w:tcW w:type="dxa" w:w="2880"/>
          </w:tcPr>
          <w:p>
            <w:r/>
            <w:r>
              <w:t>AC — Certification Decision</w:t>
            </w:r>
          </w:p>
        </w:tc>
        <w:tc>
          <w:tcPr>
            <w:tcW w:type="dxa" w:w="2880"/>
          </w:tcPr>
          <w:p>
            <w:r/>
            <w:r>
              <w:t>Prior UAR decision</w:t>
            </w:r>
          </w:p>
        </w:tc>
        <w:tc>
          <w:tcPr>
            <w:tcW w:type="dxa" w:w="2880"/>
          </w:tcPr>
          <w:p>
            <w:r/>
            <w:r>
              <w:t>"User's access was certified in the Q1 2026 UAR despite having this violation"</w:t>
            </w:r>
          </w:p>
        </w:tc>
      </w:tr>
      <w:tr>
        <w:tc>
          <w:tcPr>
            <w:tcW w:type="dxa" w:w="2880"/>
          </w:tcPr>
          <w:p>
            <w:r/>
            <w:r>
              <w:t>RM — Risk Record</w:t>
            </w:r>
          </w:p>
        </w:tc>
        <w:tc>
          <w:tcPr>
            <w:tcW w:type="dxa" w:w="2880"/>
          </w:tcPr>
          <w:p>
            <w:r/>
            <w:r>
              <w:t>Risk register entry</w:t>
            </w:r>
          </w:p>
        </w:tc>
        <w:tc>
          <w:tcPr>
            <w:tcW w:type="dxa" w:w="2880"/>
          </w:tcPr>
          <w:p>
            <w:r/>
            <w:r>
              <w:t>"This finding relates to Risk RM-056: AP Process Fraud Risk (rated High residual)"</w:t>
            </w:r>
          </w:p>
        </w:tc>
      </w:tr>
      <w:tr>
        <w:tc>
          <w:tcPr>
            <w:tcW w:type="dxa" w:w="2880"/>
          </w:tcPr>
          <w:p>
            <w:r/>
            <w:r>
              <w:t>PC — Control Record</w:t>
            </w:r>
          </w:p>
        </w:tc>
        <w:tc>
          <w:tcPr>
            <w:tcW w:type="dxa" w:w="2880"/>
          </w:tcPr>
          <w:p>
            <w:r/>
            <w:r>
              <w:t>Control in the PC library</w:t>
            </w:r>
          </w:p>
        </w:tc>
        <w:tc>
          <w:tcPr>
            <w:tcW w:type="dxa" w:w="2880"/>
          </w:tcPr>
          <w:p>
            <w:r/>
            <w:r>
              <w:t>"This finding indicates Control PC-AP-003 (3-Way Match) is not operating effectively"</w:t>
            </w:r>
          </w:p>
        </w:tc>
      </w:tr>
      <w:tr>
        <w:tc>
          <w:tcPr>
            <w:tcW w:type="dxa" w:w="2880"/>
          </w:tcPr>
          <w:p>
            <w:r/>
            <w:r>
              <w:t>PC — Deficiency</w:t>
            </w:r>
          </w:p>
        </w:tc>
        <w:tc>
          <w:tcPr>
            <w:tcW w:type="dxa" w:w="2880"/>
          </w:tcPr>
          <w:p>
            <w:r/>
            <w:r>
              <w:t>PC deficiency record</w:t>
            </w:r>
          </w:p>
        </w:tc>
        <w:tc>
          <w:tcPr>
            <w:tcW w:type="dxa" w:w="2880"/>
          </w:tcPr>
          <w:p>
            <w:r/>
            <w:r>
              <w:t>"A deficiency record has been created in the Process Control module (DC-2026-047)"</w:t>
            </w:r>
          </w:p>
        </w:tc>
      </w:tr>
      <w:tr>
        <w:tc>
          <w:tcPr>
            <w:tcW w:type="dxa" w:w="2880"/>
          </w:tcPr>
          <w:p>
            <w:r/>
            <w:r>
              <w:t>Prior Finding</w:t>
            </w:r>
          </w:p>
        </w:tc>
        <w:tc>
          <w:tcPr>
            <w:tcW w:type="dxa" w:w="2880"/>
          </w:tcPr>
          <w:p>
            <w:r/>
            <w:r>
              <w:t>Finding from prior engagement</w:t>
            </w:r>
          </w:p>
        </w:tc>
        <w:tc>
          <w:tcPr>
            <w:tcW w:type="dxa" w:w="2880"/>
          </w:tcPr>
          <w:p>
            <w:r/>
            <w:r>
              <w:t>"This is a repeat finding; identical issue noted in the 2025 AP audit (Finding F2025-012)"</w:t>
            </w:r>
          </w:p>
        </w:tc>
      </w:tr>
    </w:tbl>
    <w:p/>
    <w:p>
      <w:r/>
      <w:r>
        <w:rPr>
          <w:b/>
        </w:rPr>
        <w:t>Creating cross-module links: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Finding Detail → Cross-Module Links tab → Add Link</w:t>
        <w:br/>
      </w:r>
      <w:r>
        <w:rPr>
          <w:rFonts w:ascii="Consolas" w:hAnsi="Consolas"/>
          <w:color w:val="333333"/>
          <w:sz w:val="18"/>
        </w:rPr>
        <w:t>Select link type → Search for the specific record → Add</w:t>
        <w:br/>
      </w:r>
    </w:p>
    <w:p>
      <w:r>
        <w:t>When a link is added, the record in the other module is also notified:</w:t>
      </w:r>
    </w:p>
    <w:p>
      <w:pPr>
        <w:pStyle w:val="ListBullet"/>
      </w:pPr>
      <w:r>
        <w:t>The linked risk record displays: "Referenced in Audit Finding F-2026-003"</w:t>
      </w:r>
    </w:p>
    <w:p>
      <w:pPr>
        <w:pStyle w:val="ListBullet"/>
      </w:pPr>
      <w:r>
        <w:t>The linked SoD violation displays: "Referenced in Audit Finding F-2026-003"</w:t>
      </w:r>
    </w:p>
    <w:p>
      <w:r>
        <w:t>This bi-directional linking creates a fully traceable GRC evidence graph.</w:t>
      </w:r>
    </w:p>
    <w:p>
      <w:pPr>
        <w:pStyle w:val="Heading3"/>
      </w:pPr>
      <w:r>
        <w:t>7.5 Repeat Finding Detection</w:t>
      </w:r>
    </w:p>
    <w:p>
      <w:r>
        <w:t>GovernexPlus automatically checks each new finding against all prior findings in your tenant to identify potential repeats:</w:t>
      </w:r>
    </w:p>
    <w:p>
      <w:r/>
      <w:r>
        <w:rPr>
          <w:b/>
        </w:rPr>
        <w:t>Detection logic:</w:t>
      </w:r>
      <w:r/>
    </w:p>
    <w:p>
      <w:pPr>
        <w:pStyle w:val="ListBullet"/>
      </w:pPr>
      <w:r>
        <w:t>Matches on: Same entity + Same control theme + Similar finding title keywords</w:t>
      </w:r>
    </w:p>
    <w:p>
      <w:pPr>
        <w:pStyle w:val="ListBullet"/>
      </w:pPr>
      <w:r>
        <w:t>Presents potential matches for auditor review</w:t>
      </w:r>
    </w:p>
    <w:p>
      <w:pPr>
        <w:pStyle w:val="ListBullet"/>
      </w:pPr>
      <w:r>
        <w:t>Auditor confirms: "Yes, this is a repeat" or "No, different issue"</w:t>
      </w:r>
    </w:p>
    <w:p>
      <w:r/>
      <w:r>
        <w:rPr>
          <w:b/>
        </w:rPr>
        <w:t>Consequences of marking as repeat:</w:t>
      </w:r>
      <w:r/>
    </w:p>
    <w:p>
      <w:pPr>
        <w:pStyle w:val="ListBullet"/>
      </w:pPr>
      <w:r>
        <w:t>Severity is automatically elevated one level (a prior High becomes Critical if repeated)</w:t>
      </w:r>
    </w:p>
    <w:p>
      <w:pPr>
        <w:pStyle w:val="ListBullet"/>
      </w:pPr>
      <w:r>
        <w:t>Finding narrative automatically notes the prior occurrence and year</w:t>
      </w:r>
    </w:p>
    <w:p>
      <w:pPr>
        <w:pStyle w:val="ListBullet"/>
      </w:pPr>
      <w:r>
        <w:t>Management response must acknowledge the repeat nature</w:t>
      </w:r>
    </w:p>
    <w:p>
      <w:pPr>
        <w:pStyle w:val="ListBullet"/>
      </w:pPr>
      <w:r>
        <w:t>CAE receives special notification about the repeat finding</w:t>
      </w:r>
    </w:p>
    <w:p>
      <w:pPr>
        <w:pStyle w:val="ListBullet"/>
      </w:pPr>
      <w:r>
        <w:t>Dashboard shows "Repeat Finding Count" as a KPI (high count indicates systemic management response issues)</w:t>
      </w:r>
    </w:p>
    <w:p>
      <w:pPr>
        <w:pStyle w:val="Heading3"/>
      </w:pPr>
      <w:r>
        <w:t>7.6 Management Response Capture</w:t>
      </w:r>
    </w:p>
    <w:p>
      <w:r>
        <w:t>After draft report is issued, management provides a formal response for each finding:</w:t>
      </w:r>
    </w:p>
    <w:p>
      <w:r/>
      <w:r>
        <w:rPr>
          <w:b/>
        </w:rPr>
        <w:t>Management response elements:</w:t>
      </w:r>
      <w:r/>
    </w:p>
    <w:p>
      <w:pPr>
        <w:pStyle w:val="ListNumber"/>
      </w:pPr>
      <w:r/>
      <w:r>
        <w:rPr>
          <w:b/>
        </w:rPr>
        <w:t>Agreement</w:t>
      </w:r>
      <w:r>
        <w:t>: Agree / Partially Agree / Disagree</w:t>
      </w:r>
    </w:p>
    <w:p>
      <w:pPr>
        <w:pStyle w:val="ListNumber"/>
      </w:pPr>
      <w:r/>
      <w:r>
        <w:rPr>
          <w:b/>
        </w:rPr>
        <w:t>Response narrative</w:t>
      </w:r>
      <w:r>
        <w:t>: Management's explanation and position</w:t>
      </w:r>
    </w:p>
    <w:p>
      <w:pPr>
        <w:pStyle w:val="ListNumber"/>
      </w:pPr>
      <w:r/>
      <w:r>
        <w:rPr>
          <w:b/>
        </w:rPr>
        <w:t>Remediation actions</w:t>
      </w:r>
      <w:r>
        <w:t>: What specific steps will be taken (at least one action required if Agree/Partially Agree)</w:t>
      </w:r>
    </w:p>
    <w:p>
      <w:pPr>
        <w:pStyle w:val="ListNumber"/>
      </w:pPr>
      <w:r/>
      <w:r>
        <w:rPr>
          <w:b/>
        </w:rPr>
        <w:t>Action owner</w:t>
      </w:r>
      <w:r>
        <w:t>: Who is responsible</w:t>
      </w:r>
    </w:p>
    <w:p>
      <w:pPr>
        <w:pStyle w:val="ListNumber"/>
      </w:pPr>
      <w:r/>
      <w:r>
        <w:rPr>
          <w:b/>
        </w:rPr>
        <w:t>Target completion date</w:t>
      </w:r>
      <w:r>
        <w:t>: When will this be done</w:t>
      </w:r>
    </w:p>
    <w:p>
      <w:r/>
      <w:r>
        <w:rPr>
          <w:b/>
        </w:rPr>
        <w:t>Auditor review of management response:</w:t>
      </w:r>
      <w:r/>
    </w:p>
    <w:p>
      <w:r>
        <w:t>After receiving management responses, the auditor reviews each:</w:t>
      </w:r>
    </w:p>
    <w:p>
      <w:pPr>
        <w:pStyle w:val="ListBullet"/>
      </w:pPr>
      <w:r>
        <w:t>Is the response adequate? Does it address the root cause, not just the symptom?</w:t>
      </w:r>
    </w:p>
    <w:p>
      <w:pPr>
        <w:pStyle w:val="ListBullet"/>
      </w:pPr>
      <w:r>
        <w:t>Are the proposed actions specific enough to be verifiable?</w:t>
      </w:r>
    </w:p>
    <w:p>
      <w:pPr>
        <w:pStyle w:val="ListBullet"/>
      </w:pPr>
      <w:r>
        <w:t>Is the timeline reasonable?</w:t>
      </w:r>
    </w:p>
    <w:p>
      <w:pPr>
        <w:pStyle w:val="ListBullet"/>
      </w:pPr>
      <w:r>
        <w:t>If Disagree: is the basis for disagreement factually sound?</w:t>
      </w:r>
    </w:p>
    <w:p>
      <w:r>
        <w:t xml:space="preserve">Auditor can add a </w:t>
      </w:r>
      <w:r>
        <w:rPr>
          <w:b/>
        </w:rPr>
        <w:t>Closing Note</w:t>
      </w:r>
      <w:r>
        <w:t xml:space="preserve"> to the finding: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Auditor note: "Management response is adequate. The proposed system configuration</w:t>
        <w:br/>
      </w:r>
      <w:r>
        <w:rPr>
          <w:rFonts w:ascii="Consolas" w:hAnsi="Consolas"/>
          <w:color w:val="333333"/>
          <w:sz w:val="18"/>
        </w:rPr>
        <w:t>change (action A-001) will address the root cause. The interim compensating control</w:t>
        <w:br/>
      </w:r>
      <w:r>
        <w:rPr>
          <w:rFonts w:ascii="Consolas" w:hAnsi="Consolas"/>
          <w:color w:val="333333"/>
          <w:sz w:val="18"/>
        </w:rPr>
        <w:t>(action A-002) provides coverage until the permanent fix is implemented. Internal</w:t>
        <w:br/>
      </w:r>
      <w:r>
        <w:rPr>
          <w:rFonts w:ascii="Consolas" w:hAnsi="Consolas"/>
          <w:color w:val="333333"/>
          <w:sz w:val="18"/>
        </w:rPr>
        <w:t>Audit concurs with the proposed approach."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Action Tracking</w:t>
      </w:r>
    </w:p>
    <w:p>
      <w:pPr>
        <w:pStyle w:val="Heading3"/>
      </w:pPr>
      <w:r>
        <w:t>8.1 Creating Remediation Actions</w:t>
      </w:r>
    </w:p>
    <w:p>
      <w:r>
        <w:t>Each finding generates one or more remediation actions. Actions can be created by the auditor or by management in their response:</w:t>
      </w:r>
    </w:p>
    <w:p>
      <w:r/>
      <w:r>
        <w:rPr>
          <w:b/>
        </w:rPr>
        <w:t>Navigate to: Finding → Actions → New Action</w:t>
      </w:r>
      <w:r/>
    </w:p>
    <w:p>
      <w:r/>
      <w:r>
        <w:rPr>
          <w:b/>
        </w:rPr>
        <w:t>Action fields: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Action Title</w:t>
            </w:r>
          </w:p>
        </w:tc>
        <w:tc>
          <w:tcPr>
            <w:tcW w:type="dxa" w:w="2880"/>
          </w:tcPr>
          <w:p>
            <w:r/>
            <w:r>
              <w:t>Configure MRBR dual authorization in SAP</w:t>
            </w:r>
          </w:p>
        </w:tc>
        <w:tc>
          <w:tcPr>
            <w:tcW w:type="dxa" w:w="2880"/>
          </w:tcPr>
          <w:p>
            <w:r/>
            <w:r>
              <w:t>Short, specific</w:t>
            </w:r>
          </w:p>
        </w:tc>
      </w:tr>
      <w:tr>
        <w:tc>
          <w:tcPr>
            <w:tcW w:type="dxa" w:w="2880"/>
          </w:tcPr>
          <w:p>
            <w:r/>
            <w:r>
              <w:t>Action Description</w:t>
            </w:r>
          </w:p>
        </w:tc>
        <w:tc>
          <w:tcPr>
            <w:tcW w:type="dxa" w:w="2880"/>
          </w:tcPr>
          <w:p>
            <w:r/>
            <w:r>
              <w:t>Configure SAP workflow to require...</w:t>
            </w:r>
          </w:p>
        </w:tc>
        <w:tc>
          <w:tcPr>
            <w:tcW w:type="dxa" w:w="2880"/>
          </w:tcPr>
          <w:p>
            <w:r/>
            <w:r>
              <w:t>Detailed steps</w:t>
            </w:r>
          </w:p>
        </w:tc>
      </w:tr>
      <w:tr>
        <w:tc>
          <w:tcPr>
            <w:tcW w:type="dxa" w:w="2880"/>
          </w:tcPr>
          <w:p>
            <w:r/>
            <w:r>
              <w:t>Action Owner</w:t>
            </w:r>
          </w:p>
        </w:tc>
        <w:tc>
          <w:tcPr>
            <w:tcW w:type="dxa" w:w="2880"/>
          </w:tcPr>
          <w:p>
            <w:r/>
            <w:r>
              <w:t>Jane Smith (IT SAP Team)</w:t>
            </w:r>
          </w:p>
        </w:tc>
        <w:tc>
          <w:tcPr>
            <w:tcW w:type="dxa" w:w="2880"/>
          </w:tcPr>
          <w:p>
            <w:r/>
            <w:r>
              <w:t>Individual accountable</w:t>
            </w:r>
          </w:p>
        </w:tc>
      </w:tr>
      <w:tr>
        <w:tc>
          <w:tcPr>
            <w:tcW w:type="dxa" w:w="2880"/>
          </w:tcPr>
          <w:p>
            <w:r/>
            <w:r>
              <w:t>Due Date</w:t>
            </w:r>
          </w:p>
        </w:tc>
        <w:tc>
          <w:tcPr>
            <w:tcW w:type="dxa" w:w="2880"/>
          </w:tcPr>
          <w:p>
            <w:r/>
            <w:r>
              <w:t>2026-10-31</w:t>
            </w:r>
          </w:p>
        </w:tc>
        <w:tc>
          <w:tcPr>
            <w:tcW w:type="dxa" w:w="2880"/>
          </w:tcPr>
          <w:p>
            <w:r/>
            <w:r>
              <w:t>Specific date</w:t>
            </w:r>
          </w:p>
        </w:tc>
      </w:tr>
      <w:tr>
        <w:tc>
          <w:tcPr>
            <w:tcW w:type="dxa" w:w="2880"/>
          </w:tcPr>
          <w:p>
            <w:r/>
            <w:r>
              <w:t>Priority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Inherited from finding severity</w:t>
            </w:r>
          </w:p>
        </w:tc>
      </w:tr>
      <w:tr>
        <w:tc>
          <w:tcPr>
            <w:tcW w:type="dxa" w:w="2880"/>
          </w:tcPr>
          <w:p>
            <w:r/>
            <w:r>
              <w:t>Evidence Required</w:t>
            </w:r>
          </w:p>
        </w:tc>
        <w:tc>
          <w:tcPr>
            <w:tcW w:type="dxa" w:w="2880"/>
          </w:tcPr>
          <w:p>
            <w:r/>
            <w:r>
              <w:t>Screenshot of SAP configuration + test evidence</w:t>
            </w:r>
          </w:p>
        </w:tc>
        <w:tc>
          <w:tcPr>
            <w:tcW w:type="dxa" w:w="2880"/>
          </w:tcPr>
          <w:p>
            <w:r/>
            <w:r>
              <w:t>What must be provided on completion</w:t>
            </w:r>
          </w:p>
        </w:tc>
      </w:tr>
      <w:tr>
        <w:tc>
          <w:tcPr>
            <w:tcW w:type="dxa" w:w="2880"/>
          </w:tcPr>
          <w:p>
            <w:r/>
            <w:r>
              <w:t>Verification Required</w:t>
            </w:r>
          </w:p>
        </w:tc>
        <w:tc>
          <w:tcPr>
            <w:tcW w:type="dxa" w:w="2880"/>
          </w:tcPr>
          <w:p>
            <w:r/>
            <w:r>
              <w:t>Yes — auditor will independently verify</w:t>
            </w:r>
          </w:p>
        </w:tc>
        <w:tc>
          <w:tcPr>
            <w:tcW w:type="dxa" w:w="2880"/>
          </w:tcPr>
          <w:p>
            <w:r/>
            <w:r>
              <w:t>Whether audit team verifies</w:t>
            </w:r>
          </w:p>
        </w:tc>
      </w:tr>
      <w:tr>
        <w:tc>
          <w:tcPr>
            <w:tcW w:type="dxa" w:w="2880"/>
          </w:tcPr>
          <w:p>
            <w:r/>
            <w:r>
              <w:t>Finding Reference</w:t>
            </w:r>
          </w:p>
        </w:tc>
        <w:tc>
          <w:tcPr>
            <w:tcW w:type="dxa" w:w="2880"/>
          </w:tcPr>
          <w:p>
            <w:r/>
            <w:r>
              <w:t>F-2026-003</w:t>
            </w:r>
          </w:p>
        </w:tc>
        <w:tc>
          <w:tcPr>
            <w:tcW w:type="dxa" w:w="2880"/>
          </w:tcPr>
          <w:p>
            <w:r/>
            <w:r>
              <w:t>Auto-linked</w:t>
            </w:r>
          </w:p>
        </w:tc>
      </w:tr>
    </w:tbl>
    <w:p/>
    <w:p>
      <w:pPr>
        <w:pStyle w:val="Heading3"/>
      </w:pPr>
      <w:r>
        <w:t>8.2 Owner Assignment and Acceptance</w:t>
      </w:r>
    </w:p>
    <w:p>
      <w:r>
        <w:t>When an action is created, the assigned owner receives a notification: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Subject: Action Required — Audit Finding Remediation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You have been assigned an audit remediation action:</w:t>
        <w:br/>
      </w:r>
      <w:r>
        <w:rPr>
          <w:rFonts w:ascii="Consolas" w:hAnsi="Consolas"/>
          <w:color w:val="333333"/>
          <w:sz w:val="18"/>
        </w:rPr>
        <w:t>Finding: Duplicate Invoice Detection Control Not Operating Effectively (Finding F-2026-003)</w:t>
        <w:br/>
      </w:r>
      <w:r>
        <w:rPr>
          <w:rFonts w:ascii="Consolas" w:hAnsi="Consolas"/>
          <w:color w:val="333333"/>
          <w:sz w:val="18"/>
        </w:rPr>
        <w:t>Action: Configure SAP MRBR dual authorization</w:t>
        <w:br/>
      </w:r>
      <w:r>
        <w:rPr>
          <w:rFonts w:ascii="Consolas" w:hAnsi="Consolas"/>
          <w:color w:val="333333"/>
          <w:sz w:val="18"/>
        </w:rPr>
        <w:t>Due Date: 31 October 2026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Please review and accept or escalate this action via the GovernexPlus portal.</w:t>
        <w:br/>
      </w:r>
    </w:p>
    <w:p>
      <w:r>
        <w:t xml:space="preserve">The owner must </w:t>
      </w:r>
      <w:r>
        <w:rPr>
          <w:b/>
        </w:rPr>
        <w:t>accept</w:t>
      </w:r>
      <w:r>
        <w:t xml:space="preserve"> the action (acknowledging responsibility) or escalate to their manager if they cannot be accountable. Unaccepted actions are escalated automatically after 5 business days.</w:t>
      </w:r>
    </w:p>
    <w:p>
      <w:pPr>
        <w:pStyle w:val="Heading3"/>
      </w:pPr>
      <w:r>
        <w:t>8.3 Progress Updates</w:t>
      </w:r>
    </w:p>
    <w:p>
      <w:r>
        <w:t>Action owners provide progress updates throughout the remediation period:</w:t>
      </w:r>
    </w:p>
    <w:p>
      <w:pPr>
        <w:pStyle w:val="ListNumber"/>
      </w:pPr>
      <w:r>
        <w:t xml:space="preserve">Navigate to </w:t>
      </w:r>
      <w:r>
        <w:rPr>
          <w:b/>
        </w:rPr>
        <w:t>Actions → [Action]</w:t>
      </w:r>
      <w:r/>
    </w:p>
    <w:p>
      <w:pPr>
        <w:pStyle w:val="ListNumber"/>
      </w:pPr>
      <w:r>
        <w:t xml:space="preserve">Click </w:t>
      </w:r>
      <w:r>
        <w:rPr>
          <w:b/>
        </w:rPr>
        <w:t>Add Update</w:t>
      </w:r>
      <w:r>
        <w:t>:</w:t>
      </w:r>
    </w:p>
    <w:p>
      <w:r>
        <w:t xml:space="preserve">   ```</w:t>
      </w:r>
    </w:p>
    <w:p>
      <w:r>
        <w:t xml:space="preserve">   Date: 2026-09-15</w:t>
      </w:r>
    </w:p>
    <w:p>
      <w:r>
        <w:t xml:space="preserve">   Update: SAP configuration change has been submitted as a change request (CR-4521).</w:t>
      </w:r>
    </w:p>
    <w:p>
      <w:r>
        <w:t xml:space="preserve">   Change scheduled for the next maintenance window on 2026-10-05.</w:t>
      </w:r>
    </w:p>
    <w:p>
      <w:r>
        <w:t xml:space="preserve">   Testing will be conducted 2026-10-06–10.</w:t>
      </w:r>
    </w:p>
    <w:p>
      <w:r>
        <w:t xml:space="preserve">   Completion expected by 2026-10-15, ahead of the 2026-10-31 deadline.</w:t>
      </w:r>
    </w:p>
    <w:p>
      <w:r>
        <w:t xml:space="preserve">   ```</w:t>
      </w:r>
    </w:p>
    <w:p>
      <w:pPr>
        <w:pStyle w:val="ListNumber"/>
      </w:pPr>
      <w:r>
        <w:t>Updates are timestamped and logged</w:t>
      </w:r>
    </w:p>
    <w:p>
      <w:pPr>
        <w:pStyle w:val="ListNumber"/>
      </w:pPr>
      <w:r>
        <w:t>The finding's action dashboard reflects the latest status</w:t>
      </w:r>
    </w:p>
    <w:p>
      <w:pPr>
        <w:pStyle w:val="Heading3"/>
      </w:pPr>
      <w:r>
        <w:t>8.4 Closing with Evidence</w:t>
      </w:r>
    </w:p>
    <w:p>
      <w:r>
        <w:t>When the action is complete:</w:t>
      </w:r>
    </w:p>
    <w:p>
      <w:pPr>
        <w:pStyle w:val="ListNumber"/>
      </w:pPr>
      <w:r>
        <w:t xml:space="preserve">Action owner navigates to the action and clicks </w:t>
      </w:r>
      <w:r>
        <w:rPr>
          <w:b/>
        </w:rPr>
        <w:t>Submit for Closure</w:t>
      </w:r>
      <w:r/>
    </w:p>
    <w:p>
      <w:pPr>
        <w:pStyle w:val="ListNumber"/>
      </w:pPr>
      <w:r>
        <w:t>Uploads completion evidence (screenshot, test results, confirmation email)</w:t>
      </w:r>
    </w:p>
    <w:p>
      <w:pPr>
        <w:pStyle w:val="ListNumber"/>
      </w:pPr>
      <w:r>
        <w:t>Writes completion narrative:</w:t>
      </w:r>
    </w:p>
    <w:p>
      <w:r>
        <w:t xml:space="preserve">   ```</w:t>
      </w:r>
    </w:p>
    <w:p>
      <w:r>
        <w:t xml:space="preserve">   MRBR dual authorization configured and tested. System now requires manager</w:t>
      </w:r>
    </w:p>
    <w:p>
      <w:r>
        <w:t xml:space="preserve">   approval before any blocked invoice can be released. Test performed on</w:t>
      </w:r>
    </w:p>
    <w:p>
      <w:r>
        <w:t xml:space="preserve">   2026-10-07 confirming control operates as designed (screenshots attached).</w:t>
      </w:r>
    </w:p>
    <w:p>
      <w:r>
        <w:t xml:space="preserve">   Also attached: IT change request CR-4521 approved and implemented record.</w:t>
      </w:r>
    </w:p>
    <w:p>
      <w:r>
        <w:t xml:space="preserve">   ```</w:t>
      </w:r>
    </w:p>
    <w:p>
      <w:pPr>
        <w:pStyle w:val="ListNumber"/>
      </w:pPr>
      <w:r>
        <w:t xml:space="preserve">Marks action as </w:t>
      </w:r>
      <w:r>
        <w:rPr>
          <w:b/>
        </w:rPr>
        <w:t>Completed — Pending Verification</w:t>
      </w:r>
      <w:r/>
    </w:p>
    <w:p>
      <w:pPr>
        <w:pStyle w:val="Heading3"/>
      </w:pPr>
      <w:r>
        <w:t>8.5 Independent Verification by Auditor</w:t>
      </w:r>
    </w:p>
    <w:p>
      <w:r>
        <w:t>After the owner submits for closure:</w:t>
      </w:r>
    </w:p>
    <w:p>
      <w:pPr>
        <w:pStyle w:val="ListNumber"/>
      </w:pPr>
      <w:r>
        <w:t>Auditor receives notification: "Action A-001 submitted for verification"</w:t>
      </w:r>
    </w:p>
    <w:p>
      <w:pPr>
        <w:pStyle w:val="ListNumber"/>
      </w:pPr>
      <w:r>
        <w:t xml:space="preserve">Navigate to </w:t>
      </w:r>
      <w:r>
        <w:rPr>
          <w:b/>
        </w:rPr>
        <w:t>Actions → [Action]</w:t>
      </w:r>
      <w:r/>
    </w:p>
    <w:p>
      <w:pPr>
        <w:pStyle w:val="ListNumber"/>
      </w:pPr>
      <w:r>
        <w:t>Review the completion evidence:</w:t>
      </w:r>
    </w:p>
    <w:p>
      <w:r>
        <w:t xml:space="preserve">   - Is the evidence specific enough?</w:t>
      </w:r>
    </w:p>
    <w:p>
      <w:r>
        <w:t xml:space="preserve">   - Does it demonstrate the control is now operating effectively?</w:t>
      </w:r>
    </w:p>
    <w:p>
      <w:r>
        <w:t xml:space="preserve">   - Is it consistent with the finding's root cause being addressed?</w:t>
      </w:r>
    </w:p>
    <w:p>
      <w:pPr>
        <w:pStyle w:val="ListNumber"/>
      </w:pPr>
      <w:r>
        <w:t>Run a verification procedure if needed (e.g., test the control yourself)</w:t>
      </w:r>
    </w:p>
    <w:p>
      <w:pPr>
        <w:pStyle w:val="ListNumber"/>
      </w:pPr>
      <w:r>
        <w:t>Conclude:</w:t>
      </w:r>
    </w:p>
    <w:p>
      <w:r>
        <w:t xml:space="preserve">   - </w:t>
      </w:r>
      <w:r>
        <w:rPr>
          <w:b/>
        </w:rPr>
        <w:t>Verified — Closed</w:t>
      </w:r>
      <w:r>
        <w:t>: Evidence is sufficient, action is complete, finding is remediated</w:t>
      </w:r>
    </w:p>
    <w:p>
      <w:r>
        <w:t xml:space="preserve">   - </w:t>
      </w:r>
      <w:r>
        <w:rPr>
          <w:b/>
        </w:rPr>
        <w:t>Verification Failed — Reopen</w:t>
      </w:r>
      <w:r>
        <w:t>: Evidence is inadequate, action is not complete, return to owner with explanation</w:t>
      </w:r>
    </w:p>
    <w:p>
      <w:pPr>
        <w:pStyle w:val="Heading3"/>
      </w:pPr>
      <w:r>
        <w:t>8.6 Overdue Escalation</w:t>
      </w:r>
    </w:p>
    <w:p>
      <w:r>
        <w:t>GovernexPlus automatically escalates overdue actions: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Days Past Due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7 days</w:t>
            </w:r>
          </w:p>
        </w:tc>
        <w:tc>
          <w:tcPr>
            <w:tcW w:type="dxa" w:w="4320"/>
          </w:tcPr>
          <w:p>
            <w:r/>
            <w:r>
              <w:t>Email reminder to action owner</w:t>
            </w:r>
          </w:p>
        </w:tc>
      </w:tr>
      <w:tr>
        <w:tc>
          <w:tcPr>
            <w:tcW w:type="dxa" w:w="4320"/>
          </w:tcPr>
          <w:p>
            <w:r/>
            <w:r>
              <w:t>14 days</w:t>
            </w:r>
          </w:p>
        </w:tc>
        <w:tc>
          <w:tcPr>
            <w:tcW w:type="dxa" w:w="4320"/>
          </w:tcPr>
          <w:p>
            <w:r/>
            <w:r>
              <w:t>Email to action owner + their manager</w:t>
            </w:r>
          </w:p>
        </w:tc>
      </w:tr>
      <w:tr>
        <w:tc>
          <w:tcPr>
            <w:tcW w:type="dxa" w:w="4320"/>
          </w:tcPr>
          <w:p>
            <w:r/>
            <w:r>
              <w:t>30 days</w:t>
            </w:r>
          </w:p>
        </w:tc>
        <w:tc>
          <w:tcPr>
            <w:tcW w:type="dxa" w:w="4320"/>
          </w:tcPr>
          <w:p>
            <w:r/>
            <w:r>
              <w:t>Email to action owner + manager + CAE</w:t>
            </w:r>
          </w:p>
        </w:tc>
      </w:tr>
      <w:tr>
        <w:tc>
          <w:tcPr>
            <w:tcW w:type="dxa" w:w="4320"/>
          </w:tcPr>
          <w:p>
            <w:r/>
            <w:r>
              <w:t>60 days</w:t>
            </w:r>
          </w:p>
        </w:tc>
        <w:tc>
          <w:tcPr>
            <w:tcW w:type="dxa" w:w="4320"/>
          </w:tcPr>
          <w:p>
            <w:r/>
            <w:r>
              <w:t>CAE may escalate to Audit Committee</w:t>
            </w:r>
          </w:p>
        </w:tc>
      </w:tr>
    </w:tbl>
    <w:p/>
    <w:p>
      <w:r/>
      <w:r>
        <w:rPr>
          <w:b/>
        </w:rPr>
        <w:t>Action aging dashboard:</w:t>
      </w:r>
      <w:r/>
    </w:p>
    <w:p>
      <w:r>
        <w:t xml:space="preserve">Navigate to </w:t>
      </w:r>
      <w:r>
        <w:rPr>
          <w:b/>
        </w:rPr>
        <w:t>Audit → Action Tracker</w:t>
      </w:r>
      <w:r>
        <w:t xml:space="preserve"> for a cross-engagement view: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Action Aging Summary — All Engagements</w:t>
        <w:br/>
      </w:r>
      <w:r>
        <w:rPr>
          <w:rFonts w:ascii="Consolas" w:hAnsi="Consolas"/>
          <w:color w:val="333333"/>
          <w:sz w:val="18"/>
        </w:rPr>
        <w:t>Open Actions: 47</w:t>
        <w:br/>
      </w:r>
      <w:r>
        <w:rPr>
          <w:rFonts w:ascii="Consolas" w:hAnsi="Consolas"/>
          <w:color w:val="333333"/>
          <w:sz w:val="18"/>
        </w:rPr>
        <w:t xml:space="preserve">  Current (not due): 28</w:t>
        <w:br/>
      </w:r>
      <w:r>
        <w:rPr>
          <w:rFonts w:ascii="Consolas" w:hAnsi="Consolas"/>
          <w:color w:val="333333"/>
          <w:sz w:val="18"/>
        </w:rPr>
        <w:t xml:space="preserve">  Due within 7 days: 6</w:t>
        <w:br/>
      </w:r>
      <w:r>
        <w:rPr>
          <w:rFonts w:ascii="Consolas" w:hAnsi="Consolas"/>
          <w:color w:val="333333"/>
          <w:sz w:val="18"/>
        </w:rPr>
        <w:t xml:space="preserve">  Overdue 1–30 days: 9</w:t>
        <w:br/>
      </w:r>
      <w:r>
        <w:rPr>
          <w:rFonts w:ascii="Consolas" w:hAnsi="Consolas"/>
          <w:color w:val="333333"/>
          <w:sz w:val="18"/>
        </w:rPr>
        <w:t xml:space="preserve">  Overdue 31–60 days: 3</w:t>
        <w:br/>
      </w:r>
      <w:r>
        <w:rPr>
          <w:rFonts w:ascii="Consolas" w:hAnsi="Consolas"/>
          <w:color w:val="333333"/>
          <w:sz w:val="18"/>
        </w:rPr>
        <w:t xml:space="preserve">  Overdue 60+ days: 1 ← Escalated to Audit Committee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9. Evidence Management</w:t>
      </w:r>
    </w:p>
    <w:p>
      <w:pPr>
        <w:pStyle w:val="Heading3"/>
      </w:pPr>
      <w:r>
        <w:t>9.1 The Evidence Repository</w:t>
      </w:r>
    </w:p>
    <w:p>
      <w:r>
        <w:t>GovernexPlus maintains a centralized evidence repository separate from (but linked to) the workpaper system:</w:t>
      </w:r>
    </w:p>
    <w:p>
      <w:pPr>
        <w:pStyle w:val="ListBullet"/>
      </w:pPr>
      <w:r/>
      <w:r>
        <w:rPr>
          <w:b/>
        </w:rPr>
        <w:t>Workpapers</w:t>
      </w:r>
      <w:r>
        <w:t>: Auditor-prepared documentation (your analysis, narratives, test workpapers)</w:t>
      </w:r>
    </w:p>
    <w:p>
      <w:pPr>
        <w:pStyle w:val="ListBullet"/>
      </w:pPr>
      <w:r/>
      <w:r>
        <w:rPr>
          <w:b/>
        </w:rPr>
        <w:t>Evidence</w:t>
      </w:r>
      <w:r>
        <w:t>: Source documents, system extracts, and raw material (what you obtained from management or systems)</w:t>
      </w:r>
    </w:p>
    <w:p>
      <w:r>
        <w:t>Both are stored in GovernexPlus, but evidence has additional features: integrity hashing, legal hold, and auto-collection.</w:t>
      </w:r>
    </w:p>
    <w:p>
      <w:pPr>
        <w:pStyle w:val="Heading3"/>
      </w:pPr>
      <w:r>
        <w:t>9.2 Uploading Evidence</w:t>
      </w:r>
    </w:p>
    <w:p>
      <w:r/>
      <w:r>
        <w:rPr>
          <w:b/>
        </w:rPr>
        <w:t>Navigate to: Evidence → New Evidence Item</w:t>
      </w:r>
      <w:r/>
    </w:p>
    <w:p>
      <w:r>
        <w:t xml:space="preserve">Or upload directly from a workpaper or finding: </w:t>
      </w:r>
      <w:r>
        <w:rPr>
          <w:b/>
        </w:rPr>
        <w:t>[Workpaper] → Attach Evidence</w:t>
      </w:r>
      <w:r/>
    </w:p>
    <w:p>
      <w:r/>
      <w:r>
        <w:rPr>
          <w:b/>
        </w:rPr>
        <w:t>Evidence metadata: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Title</w:t>
            </w:r>
          </w:p>
        </w:tc>
        <w:tc>
          <w:tcPr>
            <w:tcW w:type="dxa" w:w="2880"/>
          </w:tcPr>
          <w:p>
            <w:r/>
            <w:r>
              <w:t>Q2 2026 AP Invoice Population Extract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Document Type</w:t>
            </w:r>
          </w:p>
        </w:tc>
        <w:tc>
          <w:tcPr>
            <w:tcW w:type="dxa" w:w="2880"/>
          </w:tcPr>
          <w:p>
            <w:r/>
            <w:r>
              <w:t>System Extract</w:t>
            </w:r>
          </w:p>
        </w:tc>
        <w:tc>
          <w:tcPr>
            <w:tcW w:type="dxa" w:w="2880"/>
          </w:tcPr>
          <w:p>
            <w:r/>
            <w:r>
              <w:t>Document/Screenshot/Email/Extract/Report</w:t>
            </w:r>
          </w:p>
        </w:tc>
      </w:tr>
      <w:tr>
        <w:tc>
          <w:tcPr>
            <w:tcW w:type="dxa" w:w="2880"/>
          </w:tcPr>
          <w:p>
            <w:r/>
            <w:r>
              <w:t>Source</w:t>
            </w:r>
          </w:p>
        </w:tc>
        <w:tc>
          <w:tcPr>
            <w:tcW w:type="dxa" w:w="2880"/>
          </w:tcPr>
          <w:p>
            <w:r/>
            <w:r>
              <w:t>SAP S/4HANA PRD — ME2M report</w:t>
            </w:r>
          </w:p>
        </w:tc>
        <w:tc>
          <w:tcPr>
            <w:tcW w:type="dxa" w:w="2880"/>
          </w:tcPr>
          <w:p>
            <w:r/>
            <w:r>
              <w:t>Who/what provided this</w:t>
            </w:r>
          </w:p>
        </w:tc>
      </w:tr>
      <w:tr>
        <w:tc>
          <w:tcPr>
            <w:tcW w:type="dxa" w:w="2880"/>
          </w:tcPr>
          <w:p>
            <w:r/>
            <w:r>
              <w:t>Collection Method</w:t>
            </w:r>
          </w:p>
        </w:tc>
        <w:tc>
          <w:tcPr>
            <w:tcW w:type="dxa" w:w="2880"/>
          </w:tcPr>
          <w:p>
            <w:r/>
            <w:r>
              <w:t>System query (automated) / Manual request / Evidence Agent</w:t>
            </w:r>
          </w:p>
        </w:tc>
        <w:tc>
          <w:tcPr>
            <w:tcW w:type="dxa" w:w="2880"/>
          </w:tcPr>
          <w:p>
            <w:r/>
            <w:r>
              <w:t>How obtained</w:t>
            </w:r>
          </w:p>
        </w:tc>
      </w:tr>
      <w:tr>
        <w:tc>
          <w:tcPr>
            <w:tcW w:type="dxa" w:w="2880"/>
          </w:tcPr>
          <w:p>
            <w:r/>
            <w:r>
              <w:t>Collection Date</w:t>
            </w:r>
          </w:p>
        </w:tc>
        <w:tc>
          <w:tcPr>
            <w:tcW w:type="dxa" w:w="2880"/>
          </w:tcPr>
          <w:p>
            <w:r/>
            <w:r>
              <w:t>2026-08-10</w:t>
            </w:r>
          </w:p>
        </w:tc>
        <w:tc>
          <w:tcPr>
            <w:tcW w:type="dxa" w:w="2880"/>
          </w:tcPr>
          <w:p>
            <w:r/>
            <w:r>
              <w:t>When obtained</w:t>
            </w:r>
          </w:p>
        </w:tc>
      </w:tr>
      <w:tr>
        <w:tc>
          <w:tcPr>
            <w:tcW w:type="dxa" w:w="2880"/>
          </w:tcPr>
          <w:p>
            <w:r/>
            <w:r>
              <w:t>Period Covered</w:t>
            </w:r>
          </w:p>
        </w:tc>
        <w:tc>
          <w:tcPr>
            <w:tcW w:type="dxa" w:w="2880"/>
          </w:tcPr>
          <w:p>
            <w:r/>
            <w:r>
              <w:t>April–June 2026</w:t>
            </w:r>
          </w:p>
        </w:tc>
        <w:tc>
          <w:tcPr>
            <w:tcW w:type="dxa" w:w="2880"/>
          </w:tcPr>
          <w:p>
            <w:r/>
            <w:r>
              <w:t>Data period</w:t>
            </w:r>
          </w:p>
        </w:tc>
      </w:tr>
      <w:tr>
        <w:tc>
          <w:tcPr>
            <w:tcW w:type="dxa" w:w="2880"/>
          </w:tcPr>
          <w:p>
            <w:r/>
            <w:r>
              <w:t>Format</w:t>
            </w:r>
          </w:p>
        </w:tc>
        <w:tc>
          <w:tcPr>
            <w:tcW w:type="dxa" w:w="2880"/>
          </w:tcPr>
          <w:p>
            <w:r/>
            <w:r>
              <w:t>XLSX</w:t>
            </w:r>
          </w:p>
        </w:tc>
        <w:tc>
          <w:tcPr>
            <w:tcW w:type="dxa" w:w="2880"/>
          </w:tcPr>
          <w:p>
            <w:r/>
            <w:r>
              <w:t>File type</w:t>
            </w:r>
          </w:p>
        </w:tc>
      </w:tr>
      <w:tr>
        <w:tc>
          <w:tcPr>
            <w:tcW w:type="dxa" w:w="2880"/>
          </w:tcPr>
          <w:p>
            <w:r/>
            <w:r>
              <w:t>SHA-256 Hash</w:t>
            </w:r>
          </w:p>
        </w:tc>
        <w:tc>
          <w:tcPr>
            <w:tcW w:type="dxa" w:w="2880"/>
          </w:tcPr>
          <w:p>
            <w:r/>
            <w:r>
              <w:t>(auto-calculated on upload)</w:t>
            </w:r>
          </w:p>
        </w:tc>
        <w:tc>
          <w:tcPr>
            <w:tcW w:type="dxa" w:w="2880"/>
          </w:tcPr>
          <w:p>
            <w:r/>
            <w:r>
              <w:t>Integrity fingerprint</w:t>
            </w:r>
          </w:p>
        </w:tc>
      </w:tr>
      <w:tr>
        <w:tc>
          <w:tcPr>
            <w:tcW w:type="dxa" w:w="2880"/>
          </w:tcPr>
          <w:p>
            <w:r/>
            <w:r>
              <w:t>Engagement</w:t>
            </w:r>
          </w:p>
        </w:tc>
        <w:tc>
          <w:tcPr>
            <w:tcW w:type="dxa" w:w="2880"/>
          </w:tcPr>
          <w:p>
            <w:r/>
            <w:r>
              <w:t>AP Review Q3 2026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Procedure Reference</w:t>
            </w:r>
          </w:p>
        </w:tc>
        <w:tc>
          <w:tcPr>
            <w:tcW w:type="dxa" w:w="2880"/>
          </w:tcPr>
          <w:p>
            <w:r/>
            <w:r>
              <w:t>WP-1.1</w:t>
            </w:r>
          </w:p>
        </w:tc>
        <w:tc>
          <w:tcPr>
            <w:tcW w:type="dxa" w:w="2880"/>
          </w:tcPr>
          <w:p>
            <w:r/>
            <w:r/>
          </w:p>
        </w:tc>
      </w:tr>
      <w:tr>
        <w:tc>
          <w:tcPr>
            <w:tcW w:type="dxa" w:w="2880"/>
          </w:tcPr>
          <w:p>
            <w:r/>
            <w:r>
              <w:t>Sensitivity</w:t>
            </w:r>
          </w:p>
        </w:tc>
        <w:tc>
          <w:tcPr>
            <w:tcW w:type="dxa" w:w="2880"/>
          </w:tcPr>
          <w:p>
            <w:r/>
            <w:r>
              <w:t>Standard / Restricted / Confidential</w:t>
            </w:r>
          </w:p>
        </w:tc>
        <w:tc>
          <w:tcPr>
            <w:tcW w:type="dxa" w:w="2880"/>
          </w:tcPr>
          <w:p>
            <w:r/>
            <w:r>
              <w:t>Access controls</w:t>
            </w:r>
          </w:p>
        </w:tc>
      </w:tr>
    </w:tbl>
    <w:p/>
    <w:p>
      <w:pPr>
        <w:pStyle w:val="Heading3"/>
      </w:pPr>
      <w:r>
        <w:t>9.3 SHA-256 Integrity Verification</w:t>
      </w:r>
    </w:p>
    <w:p>
      <w:r>
        <w:t>Every file uploaded to the evidence repository is:</w:t>
      </w:r>
    </w:p>
    <w:p>
      <w:pPr>
        <w:pStyle w:val="ListNumber"/>
      </w:pPr>
      <w:r/>
      <w:r>
        <w:rPr>
          <w:b/>
        </w:rPr>
        <w:t>Hashed at upload time</w:t>
      </w:r>
      <w:r>
        <w:t>: SHA-256 hash calculated and stored</w:t>
      </w:r>
    </w:p>
    <w:p>
      <w:pPr>
        <w:pStyle w:val="ListNumber"/>
      </w:pPr>
      <w:r/>
      <w:r>
        <w:rPr>
          <w:b/>
        </w:rPr>
        <w:t>Periodically re-verified</w:t>
      </w:r>
      <w:r>
        <w:t>: System re-hashes the file weekly and compares to stored hash</w:t>
      </w:r>
    </w:p>
    <w:p>
      <w:pPr>
        <w:pStyle w:val="ListNumber"/>
      </w:pPr>
      <w:r/>
      <w:r>
        <w:rPr>
          <w:b/>
        </w:rPr>
        <w:t>Verified on access</w:t>
      </w:r>
      <w:r>
        <w:t>: Hash is recalculated when you open the file and compared</w:t>
      </w:r>
    </w:p>
    <w:p>
      <w:r>
        <w:t>If a hash mismatch is detected (indicating the file was altered after upload):</w:t>
      </w:r>
    </w:p>
    <w:p>
      <w:pPr>
        <w:pStyle w:val="ListBullet"/>
      </w:pPr>
      <w:r>
        <w:t>An alert is generated for the CAE and the relevant auditor</w:t>
      </w:r>
    </w:p>
    <w:p>
      <w:pPr>
        <w:pStyle w:val="ListBullet"/>
      </w:pPr>
      <w:r>
        <w:t>The file is marked "INTEGRITY ALERT — Do not use as evidence without investigation"</w:t>
      </w:r>
    </w:p>
    <w:p>
      <w:pPr>
        <w:pStyle w:val="ListBullet"/>
      </w:pPr>
      <w:r>
        <w:t>A security incident is created for investigation</w:t>
      </w:r>
    </w:p>
    <w:p>
      <w:r/>
      <w:r>
        <w:rPr>
          <w:b/>
        </w:rPr>
        <w:t>Manual integrity check:</w:t>
      </w:r>
      <w:r/>
    </w:p>
    <w:p>
      <w:r>
        <w:t>At any time, an auditor can re-verify evidence integrity: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Evidence → [Item] → Verify Integrity</w:t>
        <w:br/>
      </w:r>
      <w:r>
        <w:rPr>
          <w:rFonts w:ascii="Consolas" w:hAnsi="Consolas"/>
          <w:color w:val="333333"/>
          <w:sz w:val="18"/>
        </w:rPr>
        <w:t>Result: "Verified — File matches stored hash (SHA-256: a1b2c3...)"</w:t>
        <w:br/>
      </w:r>
    </w:p>
    <w:p>
      <w:r>
        <w:t>This is important for external audit or legal proceedings — you can demonstrate that evidence was not altered after collection.</w:t>
      </w:r>
    </w:p>
    <w:p>
      <w:pPr>
        <w:pStyle w:val="Heading3"/>
      </w:pPr>
      <w:r>
        <w:t>9.4 Legal Hold</w:t>
      </w:r>
    </w:p>
    <w:p>
      <w:r>
        <w:t>Evidence under legal hold cannot be deleted or modified:</w:t>
      </w:r>
    </w:p>
    <w:p>
      <w:r/>
      <w:r>
        <w:rPr>
          <w:b/>
        </w:rPr>
        <w:t>Placing legal hold: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Evidence → [Item] → Actions → Apply Legal Hold</w:t>
        <w:br/>
      </w:r>
      <w:r>
        <w:rPr>
          <w:rFonts w:ascii="Consolas" w:hAnsi="Consolas"/>
          <w:color w:val="333333"/>
          <w:sz w:val="18"/>
        </w:rPr>
        <w:t>Reason: "SEC investigation, notice received 2026-08-01"</w:t>
        <w:br/>
      </w:r>
    </w:p>
    <w:p>
      <w:r>
        <w:t>Effects:</w:t>
      </w:r>
    </w:p>
    <w:p>
      <w:pPr>
        <w:pStyle w:val="ListBullet"/>
      </w:pPr>
      <w:r>
        <w:t>File is locked from modification or deletion by anyone (including admins)</w:t>
      </w:r>
    </w:p>
    <w:p>
      <w:pPr>
        <w:pStyle w:val="ListBullet"/>
      </w:pPr>
      <w:r>
        <w:t>Hold reason and date are permanently recorded</w:t>
      </w:r>
    </w:p>
    <w:p>
      <w:pPr>
        <w:pStyle w:val="ListBullet"/>
      </w:pPr>
      <w:r>
        <w:t>Deletion attempt generates an error and an audit log entry</w:t>
      </w:r>
    </w:p>
    <w:p>
      <w:r/>
      <w:r>
        <w:rPr>
          <w:b/>
        </w:rPr>
        <w:t>Releasing legal hold</w:t>
      </w:r>
      <w:r>
        <w:t xml:space="preserve"> (requires CAE authorization):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Evidence → [Item] → Actions → Release Legal Hold</w:t>
        <w:br/>
      </w:r>
      <w:r>
        <w:rPr>
          <w:rFonts w:ascii="Consolas" w:hAnsi="Consolas"/>
          <w:color w:val="333333"/>
          <w:sz w:val="18"/>
        </w:rPr>
        <w:t>Authorization: Requires second approval from CAE or legal team</w:t>
        <w:br/>
      </w:r>
    </w:p>
    <w:p>
      <w:pPr>
        <w:pStyle w:val="Heading3"/>
      </w:pPr>
      <w:r>
        <w:t>9.5 Evidence Agent — Automated Collection</w:t>
      </w:r>
    </w:p>
    <w:p>
      <w:r>
        <w:t>The Evidence Agent AI module automatically collects evidence from connected systems, dramatically reducing the time spent on manual evidence gathering.</w:t>
      </w:r>
    </w:p>
    <w:p>
      <w:r/>
      <w:r>
        <w:rPr>
          <w:b/>
        </w:rPr>
        <w:t>Navigate to: AI → Evidence Agent</w:t>
      </w:r>
      <w:r/>
    </w:p>
    <w:p>
      <w:r/>
      <w:r>
        <w:rPr>
          <w:b/>
        </w:rPr>
        <w:t>Configuring Evidence Agent for an engagement:</w:t>
      </w:r>
      <w:r/>
    </w:p>
    <w:p>
      <w:pPr>
        <w:pStyle w:val="ListNumber"/>
      </w:pPr>
      <w:r>
        <w:t>Select engagement</w:t>
      </w:r>
    </w:p>
    <w:p>
      <w:pPr>
        <w:pStyle w:val="ListNumber"/>
      </w:pPr>
      <w:r>
        <w:t>Select the procedures needing evidence</w:t>
      </w:r>
    </w:p>
    <w:p>
      <w:pPr>
        <w:pStyle w:val="ListNumber"/>
      </w:pPr>
      <w:r>
        <w:t>Agent presents a collection plan:</w:t>
      </w:r>
    </w:p>
    <w:p>
      <w:r>
        <w:t xml:space="preserve">   ```</w:t>
      </w:r>
    </w:p>
    <w:p>
      <w:r>
        <w:t xml:space="preserve">   Procedure WP-4.1 (AP User SoD Analysis):</w:t>
      </w:r>
    </w:p>
    <w:p>
      <w:r>
        <w:t xml:space="preserve">   Auto-collect: ARA analysis for all AP department users</w:t>
      </w:r>
    </w:p>
    <w:p>
      <w:r>
        <w:t xml:space="preserve">   Source: GovernexPlus ARA module</w:t>
      </w:r>
    </w:p>
    <w:p>
      <w:r>
        <w:t xml:space="preserve">   Format: PDF report + Excel detail</w:t>
      </w:r>
    </w:p>
    <w:p>
      <w:r>
        <w:t xml:space="preserve">   Status: Ready to collect</w:t>
      </w:r>
    </w:p>
    <w:p>
      <w:r>
        <w:t xml:space="preserve">   Procedure WP-4.3 (Certification Campaign Completeness):</w:t>
      </w:r>
    </w:p>
    <w:p>
      <w:r>
        <w:t xml:space="preserve">   Auto-collect: Q2 2026 UAR campaign results for Finance scope</w:t>
      </w:r>
    </w:p>
    <w:p>
      <w:r>
        <w:t xml:space="preserve">   Source: GovernexPlus Certification module</w:t>
      </w:r>
    </w:p>
    <w:p>
      <w:r>
        <w:t xml:space="preserve">   Format: PDF campaign report</w:t>
      </w:r>
    </w:p>
    <w:p>
      <w:r>
        <w:t xml:space="preserve">   Status: Ready to collect</w:t>
      </w:r>
    </w:p>
    <w:p>
      <w:r>
        <w:t xml:space="preserve">   Procedure WP-1.1 (3-Way Match Testing):</w:t>
      </w:r>
    </w:p>
    <w:p>
      <w:r>
        <w:t xml:space="preserve">   Requires: Population extract from SAP (MIRO/LIV transactions)</w:t>
      </w:r>
    </w:p>
    <w:p>
      <w:r>
        <w:t xml:space="preserve">   Manual request needed: Send documentation request to IT team</w:t>
      </w:r>
    </w:p>
    <w:p>
      <w:r>
        <w:t xml:space="preserve">   Cannot auto-collect: SAP direct query requires admin approval</w:t>
      </w:r>
    </w:p>
    <w:p>
      <w:r>
        <w:t xml:space="preserve">   Status: Manual request needed</w:t>
      </w:r>
    </w:p>
    <w:p>
      <w:r>
        <w:t xml:space="preserve">   ```</w:t>
      </w:r>
    </w:p>
    <w:p>
      <w:pPr>
        <w:pStyle w:val="ListNumber"/>
      </w:pPr>
      <w:r>
        <w:t>Approve the collection plan</w:t>
      </w:r>
    </w:p>
    <w:p>
      <w:pPr>
        <w:pStyle w:val="ListNumber"/>
      </w:pPr>
      <w:r>
        <w:t>Agent collects what it can automatically (with timestamp and hash)</w:t>
      </w:r>
    </w:p>
    <w:p>
      <w:pPr>
        <w:pStyle w:val="ListNumber"/>
      </w:pPr>
      <w:r>
        <w:t>Agent generates documentation requests for items requiring manual collection</w:t>
      </w:r>
    </w:p>
    <w:p>
      <w:r/>
      <w:r>
        <w:rPr>
          <w:b/>
        </w:rPr>
        <w:t>Typical evidence reduction:</w:t>
      </w:r>
      <w:r/>
    </w:p>
    <w:p>
      <w:r>
        <w:t>For ITGC and access control procedures, Evidence Agent auto-collects 60–70% of required evidence, reducing manual collection burden significantly.</w:t>
      </w:r>
    </w:p>
    <w:p>
      <w:pPr>
        <w:pStyle w:val="Heading3"/>
      </w:pPr>
      <w:r>
        <w:t>9.6 Evidence Inventory and Gap Analysis</w:t>
      </w:r>
    </w:p>
    <w:p>
      <w:r>
        <w:t>Before concluding fieldwork, run the evidence gap analysis:</w:t>
      </w:r>
    </w:p>
    <w:p>
      <w:r/>
      <w:r>
        <w:rPr>
          <w:b/>
        </w:rPr>
        <w:t>Navigate to: Engagement → Evidence → Gap Analysis</w:t>
      </w:r>
      <w:r/>
    </w:p>
    <w:p>
      <w:r>
        <w:t>The system checks:</w:t>
      </w:r>
    </w:p>
    <w:p>
      <w:pPr>
        <w:pStyle w:val="ListBullet"/>
      </w:pPr>
      <w:r>
        <w:t>Every procedure that is cleared has at least one piece of evidence linked</w:t>
      </w:r>
    </w:p>
    <w:p>
      <w:pPr>
        <w:pStyle w:val="ListBullet"/>
      </w:pPr>
      <w:r>
        <w:t>Every finding has supporting workpapers and evidence</w:t>
      </w:r>
    </w:p>
    <w:p>
      <w:pPr>
        <w:pStyle w:val="ListBullet"/>
      </w:pPr>
      <w:r>
        <w:t>Every exception has a corresponding source document</w:t>
      </w:r>
    </w:p>
    <w:p>
      <w:pPr>
        <w:pStyle w:val="ListBullet"/>
      </w:pPr>
      <w:r>
        <w:t>No evidence is linked to a procedure that was marked N/A</w:t>
      </w:r>
    </w:p>
    <w:p>
      <w:r>
        <w:t>Any gaps are flagged for resolution before the report is issued.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10. Reporting</w:t>
      </w:r>
    </w:p>
    <w:p>
      <w:pPr>
        <w:pStyle w:val="Heading3"/>
      </w:pPr>
      <w:r>
        <w:t>10.1 Engagement Reports</w:t>
      </w:r>
    </w:p>
    <w:p>
      <w:r/>
      <w:r>
        <w:rPr>
          <w:b/>
        </w:rPr>
        <w:t>Navigate to: Engagement → Generate Report → Engagement Report</w:t>
      </w:r>
      <w:r/>
    </w:p>
    <w:p>
      <w:r/>
      <w:r>
        <w:rPr>
          <w:b/>
        </w:rPr>
        <w:t>Report structure (auto-generated):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INTERNAL AUDIT REPORT</w:t>
        <w:br/>
      </w:r>
      <w:r>
        <w:rPr>
          <w:rFonts w:ascii="Consolas" w:hAnsi="Consolas"/>
          <w:color w:val="333333"/>
          <w:sz w:val="18"/>
        </w:rPr>
        <w:t>Accounts Payable Process Review — Q3 2026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1. EXECUTIVE SUMMARY</w:t>
        <w:br/>
      </w:r>
      <w:r>
        <w:rPr>
          <w:rFonts w:ascii="Consolas" w:hAnsi="Consolas"/>
          <w:color w:val="333333"/>
          <w:sz w:val="18"/>
        </w:rPr>
        <w:t xml:space="preserve">   [Auto-generated from engagement objectives + finding summary]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2. BACKGROUND AND SCOPE</w:t>
        <w:br/>
      </w:r>
      <w:r>
        <w:rPr>
          <w:rFonts w:ascii="Consolas" w:hAnsi="Consolas"/>
          <w:color w:val="333333"/>
          <w:sz w:val="18"/>
        </w:rPr>
        <w:t xml:space="preserve">   Entity: Accounts Payable Process</w:t>
        <w:br/>
      </w:r>
      <w:r>
        <w:rPr>
          <w:rFonts w:ascii="Consolas" w:hAnsi="Consolas"/>
          <w:color w:val="333333"/>
          <w:sz w:val="18"/>
        </w:rPr>
        <w:t xml:space="preserve">   Audit Period: April–June 2026</w:t>
        <w:br/>
      </w:r>
      <w:r>
        <w:rPr>
          <w:rFonts w:ascii="Consolas" w:hAnsi="Consolas"/>
          <w:color w:val="333333"/>
          <w:sz w:val="18"/>
        </w:rPr>
        <w:t xml:space="preserve">   Systems: SAP S/4HANA PRD, SAP SRM</w:t>
        <w:br/>
      </w:r>
      <w:r>
        <w:rPr>
          <w:rFonts w:ascii="Consolas" w:hAnsi="Consolas"/>
          <w:color w:val="333333"/>
          <w:sz w:val="18"/>
        </w:rPr>
        <w:t xml:space="preserve">   Scope: Invoice processing, payment execution, vendor master management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3. AUDIT OBJECTIVES AND METHODOLOGY</w:t>
        <w:br/>
      </w:r>
      <w:r>
        <w:rPr>
          <w:rFonts w:ascii="Consolas" w:hAnsi="Consolas"/>
          <w:color w:val="333333"/>
          <w:sz w:val="18"/>
        </w:rPr>
        <w:t xml:space="preserve">   [From engagement setup + work program]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4. SUMMARY OF FINDINGS</w:t>
        <w:br/>
      </w:r>
      <w:r>
        <w:rPr>
          <w:rFonts w:ascii="Consolas" w:hAnsi="Consolas"/>
          <w:color w:val="333333"/>
          <w:sz w:val="18"/>
        </w:rPr>
        <w:t xml:space="preserve">   [Auto-generated table: Finding ID, Title, Severity, Action Count, Status]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5. DETAILED FINDINGS</w:t>
        <w:br/>
      </w:r>
      <w:r>
        <w:rPr>
          <w:rFonts w:ascii="Consolas" w:hAnsi="Consolas"/>
          <w:color w:val="333333"/>
          <w:sz w:val="18"/>
        </w:rPr>
        <w:t xml:space="preserve">   Finding F-2026-003: Duplicate Invoice Detection Control...</w:t>
        <w:br/>
      </w:r>
      <w:r>
        <w:rPr>
          <w:rFonts w:ascii="Consolas" w:hAnsi="Consolas"/>
          <w:color w:val="333333"/>
          <w:sz w:val="18"/>
        </w:rPr>
        <w:t xml:space="preserve">   [CCCE full text, management response, auditor note]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Finding F-2026-004: Vendor Bank Account Changes...</w:t>
        <w:br/>
      </w:r>
      <w:r>
        <w:rPr>
          <w:rFonts w:ascii="Consolas" w:hAnsi="Consolas"/>
          <w:color w:val="333333"/>
          <w:sz w:val="18"/>
        </w:rPr>
        <w:t xml:space="preserve">   [CCCE full text, management response, auditor note]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6. MANAGEMENT RESPONSES</w:t>
        <w:br/>
      </w:r>
      <w:r>
        <w:rPr>
          <w:rFonts w:ascii="Consolas" w:hAnsi="Consolas"/>
          <w:color w:val="333333"/>
          <w:sz w:val="18"/>
        </w:rPr>
        <w:t xml:space="preserve">   [Compiled management responses with action due dates]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7. APPENDICES</w:t>
        <w:br/>
      </w:r>
      <w:r>
        <w:rPr>
          <w:rFonts w:ascii="Consolas" w:hAnsi="Consolas"/>
          <w:color w:val="333333"/>
          <w:sz w:val="18"/>
        </w:rPr>
        <w:t xml:space="preserve">   A. Scope details and population information</w:t>
        <w:br/>
      </w:r>
      <w:r>
        <w:rPr>
          <w:rFonts w:ascii="Consolas" w:hAnsi="Consolas"/>
          <w:color w:val="333333"/>
          <w:sz w:val="18"/>
        </w:rPr>
        <w:t xml:space="preserve">   B. ARA analysis summary for AP users</w:t>
        <w:br/>
      </w:r>
      <w:r>
        <w:rPr>
          <w:rFonts w:ascii="Consolas" w:hAnsi="Consolas"/>
          <w:color w:val="333333"/>
          <w:sz w:val="18"/>
        </w:rPr>
        <w:t xml:space="preserve">   C. Certification campaign completeness data</w:t>
        <w:br/>
      </w:r>
      <w:r>
        <w:rPr>
          <w:rFonts w:ascii="Consolas" w:hAnsi="Consolas"/>
          <w:color w:val="333333"/>
          <w:sz w:val="18"/>
        </w:rPr>
        <w:t xml:space="preserve">   D. Open action tracker</w:t>
        <w:br/>
      </w:r>
    </w:p>
    <w:p>
      <w:r/>
      <w:r>
        <w:rPr>
          <w:b/>
        </w:rPr>
        <w:t>Customizing the report:</w:t>
      </w:r>
      <w:r/>
    </w:p>
    <w:p>
      <w:r>
        <w:t>Before generating, you can:</w:t>
      </w:r>
    </w:p>
    <w:p>
      <w:pPr>
        <w:pStyle w:val="ListBullet"/>
      </w:pPr>
      <w:r>
        <w:t>Select which sections to include/exclude</w:t>
      </w:r>
    </w:p>
    <w:p>
      <w:pPr>
        <w:pStyle w:val="ListBullet"/>
      </w:pPr>
      <w:r>
        <w:t>Add an overall audit conclusion (Satisfactory / Needs Improvement / Unsatisfactory)</w:t>
      </w:r>
    </w:p>
    <w:p>
      <w:pPr>
        <w:pStyle w:val="ListBullet"/>
      </w:pPr>
      <w:r>
        <w:t>Include/exclude specific appendices</w:t>
      </w:r>
    </w:p>
    <w:p>
      <w:pPr>
        <w:pStyle w:val="ListBullet"/>
      </w:pPr>
      <w:r>
        <w:t>Select format: Word (editable), PDF (final), PPTX (committee presentation)</w:t>
      </w:r>
    </w:p>
    <w:p>
      <w:pPr>
        <w:pStyle w:val="Heading3"/>
      </w:pPr>
      <w:r>
        <w:t>10.2 Audit Dashboard</w:t>
      </w:r>
    </w:p>
    <w:p>
      <w:r/>
      <w:r>
        <w:rPr>
          <w:b/>
        </w:rPr>
        <w:t>Navigate to: Audit → Dashboard</w:t>
      </w:r>
      <w:r/>
    </w:p>
    <w:p>
      <w:r>
        <w:t>The audit dashboard provides a real-time view of the internal audit program:</w:t>
      </w:r>
    </w:p>
    <w:p>
      <w:r>
        <w:t>[Screenshot: Audit Dashboard with engagement pipeline, finding severity chart, action aging, and annual plan progress]</w:t>
      </w:r>
    </w:p>
    <w:p>
      <w:r/>
      <w:r>
        <w:rPr>
          <w:b/>
        </w:rPr>
        <w:t>Key metrics:</w:t>
      </w:r>
      <w:r/>
    </w:p>
    <w:p>
      <w:pPr>
        <w:pStyle w:val="ListBullet"/>
      </w:pPr>
      <w:r/>
      <w:r>
        <w:rPr>
          <w:b/>
        </w:rPr>
        <w:t>Engagements by Stage</w:t>
      </w:r>
      <w:r>
        <w:t>: Pipeline view showing how many engagements are in each stage</w:t>
      </w:r>
    </w:p>
    <w:p>
      <w:pPr>
        <w:pStyle w:val="ListBullet"/>
      </w:pPr>
      <w:r/>
      <w:r>
        <w:rPr>
          <w:b/>
        </w:rPr>
        <w:t>Finding Severity Distribution</w:t>
      </w:r>
      <w:r>
        <w:t>: This period vs. prior period</w:t>
      </w:r>
    </w:p>
    <w:p>
      <w:pPr>
        <w:pStyle w:val="ListBullet"/>
      </w:pPr>
      <w:r/>
      <w:r>
        <w:rPr>
          <w:b/>
        </w:rPr>
        <w:t>Action Aging</w:t>
      </w:r>
      <w:r>
        <w:t>: Open actions by age bucket</w:t>
      </w:r>
    </w:p>
    <w:p>
      <w:pPr>
        <w:pStyle w:val="ListBullet"/>
      </w:pPr>
      <w:r/>
      <w:r>
        <w:rPr>
          <w:b/>
        </w:rPr>
        <w:t>Plan Completion</w:t>
      </w:r>
      <w:r>
        <w:t>: % of annual plan engagements in Closed status</w:t>
      </w:r>
    </w:p>
    <w:p>
      <w:pPr>
        <w:pStyle w:val="ListBullet"/>
      </w:pPr>
      <w:r/>
      <w:r>
        <w:rPr>
          <w:b/>
        </w:rPr>
        <w:t>Issue Recurrence Rate</w:t>
      </w:r>
      <w:r>
        <w:t>: % of current findings that are repeats of prior findings</w:t>
      </w:r>
    </w:p>
    <w:p>
      <w:pPr>
        <w:pStyle w:val="ListBullet"/>
      </w:pPr>
      <w:r/>
      <w:r>
        <w:rPr>
          <w:b/>
        </w:rPr>
        <w:t>Average Issue Age</w:t>
      </w:r>
      <w:r>
        <w:t>: How long findings stay open before being verified closed</w:t>
      </w:r>
    </w:p>
    <w:p>
      <w:pPr>
        <w:pStyle w:val="ListBullet"/>
      </w:pPr>
      <w:r/>
      <w:r>
        <w:rPr>
          <w:b/>
        </w:rPr>
        <w:t>Coverage by Risk Score</w:t>
      </w:r>
      <w:r>
        <w:t>: % of Priority 1 entities audited this year</w:t>
      </w:r>
    </w:p>
    <w:p>
      <w:pPr>
        <w:pStyle w:val="Heading3"/>
      </w:pPr>
      <w:r>
        <w:t>10.3 Board-Level / Committee Reports</w:t>
      </w:r>
    </w:p>
    <w:p>
      <w:r>
        <w:t>For presentation to the Board Audit Committee or senior management:</w:t>
      </w:r>
    </w:p>
    <w:p>
      <w:r/>
      <w:r>
        <w:rPr>
          <w:b/>
        </w:rPr>
        <w:t>Navigate to: Audit → Reports → Committee Report</w:t>
      </w:r>
      <w:r/>
    </w:p>
    <w:p>
      <w:r/>
      <w:r>
        <w:rPr>
          <w:b/>
        </w:rPr>
        <w:t>Committee report includes:</w:t>
      </w:r>
      <w:r/>
    </w:p>
    <w:p>
      <w:pPr>
        <w:pStyle w:val="ListBullet"/>
      </w:pPr>
      <w:r>
        <w:t>GRC Health Score (0–100 composite score from all four pillars)</w:t>
      </w:r>
    </w:p>
    <w:p>
      <w:pPr>
        <w:pStyle w:val="ListBullet"/>
      </w:pPr>
      <w:r>
        <w:t>Risk profile summary (RM heat map, trend)</w:t>
      </w:r>
    </w:p>
    <w:p>
      <w:pPr>
        <w:pStyle w:val="ListBullet"/>
      </w:pPr>
      <w:r>
        <w:t>Access risk exposure (AC violations, trend)</w:t>
      </w:r>
    </w:p>
    <w:p>
      <w:pPr>
        <w:pStyle w:val="ListBullet"/>
      </w:pPr>
      <w:r>
        <w:t>Control effectiveness (PC testing results, deficiency count)</w:t>
      </w:r>
    </w:p>
    <w:p>
      <w:pPr>
        <w:pStyle w:val="ListBullet"/>
      </w:pPr>
      <w:r>
        <w:t>Audit program status (plan completion, key findings, action status)</w:t>
      </w:r>
    </w:p>
    <w:p>
      <w:pPr>
        <w:pStyle w:val="ListBullet"/>
      </w:pPr>
      <w:r>
        <w:t>Key metrics vs. prior quarter</w:t>
      </w:r>
    </w:p>
    <w:p>
      <w:pPr>
        <w:pStyle w:val="ListBullet"/>
      </w:pPr>
      <w:r>
        <w:t>Forward look (upcoming engagements, key risks on horizon)</w:t>
      </w:r>
    </w:p>
    <w:p>
      <w:r/>
      <w:r>
        <w:rPr>
          <w:b/>
        </w:rPr>
        <w:t>PPTX generation:</w:t>
      </w:r>
      <w:r/>
    </w:p>
    <w:p>
      <w:r>
        <w:t>GovernexPlus generates a boardroom-ready PowerPoint presentation:</w:t>
      </w:r>
    </w:p>
    <w:p>
      <w:pPr>
        <w:pStyle w:val="ListBullet"/>
      </w:pPr>
      <w:r>
        <w:t>Clean slide design with your organization's logo (configurable)</w:t>
      </w:r>
    </w:p>
    <w:p>
      <w:pPr>
        <w:pStyle w:val="ListBullet"/>
      </w:pPr>
      <w:r>
        <w:t>Charts auto-generated from live data</w:t>
      </w:r>
    </w:p>
    <w:p>
      <w:pPr>
        <w:pStyle w:val="ListBullet"/>
      </w:pPr>
      <w:r>
        <w:t>Narrative text from AI-generated summaries</w:t>
      </w:r>
    </w:p>
    <w:p>
      <w:pPr>
        <w:pStyle w:val="ListBullet"/>
      </w:pPr>
      <w:r>
        <w:t>Presenter notes populated for each slide</w:t>
      </w:r>
    </w:p>
    <w:p>
      <w:pPr>
        <w:pStyle w:val="Heading3"/>
      </w:pPr>
      <w:r>
        <w:t>10.4 Cross-Pillar Evidence for External Auditors</w:t>
      </w:r>
    </w:p>
    <w:p>
      <w:r>
        <w:t>External auditors (Big 4 or local CPA firms) performing the annual financial statement audit often rely on internal audit's work. GovernexPlus facilitates this through:</w:t>
      </w:r>
    </w:p>
    <w:p>
      <w:r/>
      <w:r>
        <w:rPr>
          <w:b/>
        </w:rPr>
        <w:t>External auditor access:</w:t>
      </w:r>
      <w:r/>
    </w:p>
    <w:p>
      <w:r>
        <w:t xml:space="preserve">Create a time-limited guest account with </w:t>
      </w:r>
      <w:r>
        <w:rPr>
          <w:rFonts w:ascii="Consolas" w:hAnsi="Consolas"/>
          <w:color w:val="1A1A2E"/>
          <w:sz w:val="18"/>
        </w:rPr>
        <w:t>auditor</w:t>
      </w:r>
      <w:r>
        <w:t xml:space="preserve"> role scoped to specific engagements: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Admin → Users → New External Auditor</w:t>
        <w:br/>
      </w:r>
      <w:r>
        <w:rPr>
          <w:rFonts w:ascii="Consolas" w:hAnsi="Consolas"/>
          <w:color w:val="333333"/>
          <w:sz w:val="18"/>
        </w:rPr>
        <w:t>Access scope: Engagement ID: ENG-2026-047 (SOX Testing Q3)</w:t>
        <w:br/>
      </w:r>
      <w:r>
        <w:rPr>
          <w:rFonts w:ascii="Consolas" w:hAnsi="Consolas"/>
          <w:color w:val="333333"/>
          <w:sz w:val="18"/>
        </w:rPr>
        <w:t>Access expires: 2026-12-31</w:t>
        <w:br/>
      </w:r>
      <w:r>
        <w:rPr>
          <w:rFonts w:ascii="Consolas" w:hAnsi="Consolas"/>
          <w:color w:val="333333"/>
          <w:sz w:val="18"/>
        </w:rPr>
        <w:t>Can export: Yes (watermarked PDFs)</w:t>
        <w:br/>
      </w:r>
    </w:p>
    <w:p>
      <w:r/>
      <w:r>
        <w:rPr>
          <w:b/>
        </w:rPr>
        <w:t>SOX reliance package:</w:t>
      </w:r>
      <w:r/>
    </w:p>
    <w:p>
      <w:r>
        <w:t xml:space="preserve">Navigate to </w:t>
      </w:r>
      <w:r>
        <w:rPr>
          <w:b/>
        </w:rPr>
        <w:t>Reports → SOX Reliance Package</w:t>
      </w:r>
      <w:r/>
    </w:p>
    <w:p>
      <w:r>
        <w:t>Auto-generates a structured package for the external auditor containing:</w:t>
      </w:r>
    </w:p>
    <w:p>
      <w:pPr>
        <w:pStyle w:val="ListBullet"/>
      </w:pPr>
      <w:r>
        <w:t>Internal audit's SOX engagement reports</w:t>
      </w:r>
    </w:p>
    <w:p>
      <w:pPr>
        <w:pStyle w:val="ListBullet"/>
      </w:pPr>
      <w:r>
        <w:t>ITGC testing results with evidence links</w:t>
      </w:r>
    </w:p>
    <w:p>
      <w:pPr>
        <w:pStyle w:val="ListBullet"/>
      </w:pPr>
      <w:r>
        <w:t>Key control certifications with sign-off chain</w:t>
      </w:r>
    </w:p>
    <w:p>
      <w:pPr>
        <w:pStyle w:val="ListBullet"/>
      </w:pPr>
      <w:r>
        <w:t>Open deficiency status</w:t>
      </w:r>
    </w:p>
    <w:p>
      <w:pPr>
        <w:pStyle w:val="ListBullet"/>
      </w:pPr>
      <w:r>
        <w:t>Management representation letters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11. Compliance Workflows</w:t>
      </w:r>
    </w:p>
    <w:p>
      <w:pPr>
        <w:pStyle w:val="Heading3"/>
      </w:pPr>
      <w:r>
        <w:t>11.1 SOX Sign-Off Cascade</w:t>
      </w:r>
    </w:p>
    <w:p>
      <w:r>
        <w:t>The SOX sign-off cascade in GovernexPlus formalizes the management certification process required by SOX Section 302 and supports Section 404 attestation.</w:t>
      </w:r>
    </w:p>
    <w:p>
      <w:r/>
      <w:r>
        <w:rPr>
          <w:b/>
        </w:rPr>
        <w:t>The cascade structure: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Level 1 — Control Owner Sign-Off</w:t>
        <w:br/>
      </w:r>
      <w:r>
        <w:rPr>
          <w:rFonts w:ascii="Consolas" w:hAnsi="Consolas"/>
          <w:color w:val="333333"/>
          <w:sz w:val="18"/>
        </w:rPr>
        <w:t xml:space="preserve">  Each control owner certifies their controls operated effectively</w:t>
        <w:br/>
      </w:r>
      <w:r>
        <w:rPr>
          <w:rFonts w:ascii="Consolas" w:hAnsi="Consolas"/>
          <w:color w:val="333333"/>
          <w:sz w:val="18"/>
        </w:rPr>
        <w:t xml:space="preserve">  Provides supporting evidence reference</w:t>
        <w:br/>
      </w:r>
      <w:r>
        <w:rPr>
          <w:rFonts w:ascii="Consolas" w:hAnsi="Consolas"/>
          <w:color w:val="333333"/>
          <w:sz w:val="18"/>
        </w:rPr>
        <w:t xml:space="preserve">  Discloses any exceptions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Level 2 — Process Owner Sign-Off</w:t>
        <w:br/>
      </w:r>
      <w:r>
        <w:rPr>
          <w:rFonts w:ascii="Consolas" w:hAnsi="Consolas"/>
          <w:color w:val="333333"/>
          <w:sz w:val="18"/>
        </w:rPr>
        <w:t xml:space="preserve">  Reviews and certifies all control sign-offs in their process</w:t>
        <w:br/>
      </w:r>
      <w:r>
        <w:rPr>
          <w:rFonts w:ascii="Consolas" w:hAnsi="Consolas"/>
          <w:color w:val="333333"/>
          <w:sz w:val="18"/>
        </w:rPr>
        <w:t xml:space="preserve">  Aggregates exceptions and assesses materiality</w:t>
        <w:br/>
      </w:r>
      <w:r>
        <w:rPr>
          <w:rFonts w:ascii="Consolas" w:hAnsi="Consolas"/>
          <w:color w:val="333333"/>
          <w:sz w:val="18"/>
        </w:rPr>
        <w:t xml:space="preserve">  Can override control owner's effective conclusion (with documentation)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Level 3 — Management Sign-Off (CFO/CEO)</w:t>
        <w:br/>
      </w:r>
      <w:r>
        <w:rPr>
          <w:rFonts w:ascii="Consolas" w:hAnsi="Consolas"/>
          <w:color w:val="333333"/>
          <w:sz w:val="18"/>
        </w:rPr>
        <w:t xml:space="preserve">  Reviews aggregated process certifications</w:t>
        <w:br/>
      </w:r>
      <w:r>
        <w:rPr>
          <w:rFonts w:ascii="Consolas" w:hAnsi="Consolas"/>
          <w:color w:val="333333"/>
          <w:sz w:val="18"/>
        </w:rPr>
        <w:t xml:space="preserve">  Certifies that internal controls over financial reporting are effective</w:t>
        <w:br/>
      </w:r>
      <w:r>
        <w:rPr>
          <w:rFonts w:ascii="Consolas" w:hAnsi="Consolas"/>
          <w:color w:val="333333"/>
          <w:sz w:val="18"/>
        </w:rPr>
        <w:t xml:space="preserve">  Discloses any material weaknesses or significant deficiencies</w:t>
        <w:br/>
      </w:r>
      <w:r>
        <w:rPr>
          <w:rFonts w:ascii="Consolas" w:hAnsi="Consolas"/>
          <w:color w:val="333333"/>
          <w:sz w:val="18"/>
        </w:rPr>
        <w:t xml:space="preserve">  This sign-off feeds the 302 certification language</w:t>
        <w:br/>
      </w:r>
    </w:p>
    <w:p>
      <w:r/>
      <w:r>
        <w:rPr>
          <w:b/>
        </w:rPr>
        <w:t>Configuring the cascade:</w:t>
      </w:r>
      <w:r/>
    </w:p>
    <w:p>
      <w:r>
        <w:t xml:space="preserve">Navigate to </w:t>
      </w:r>
      <w:r>
        <w:rPr>
          <w:b/>
        </w:rPr>
        <w:t>Compliance → SOX → Configure Cascade</w:t>
      </w:r>
      <w:r/>
    </w:p>
    <w:p>
      <w:pPr>
        <w:pStyle w:val="ListNumber"/>
      </w:pPr>
      <w:r>
        <w:t>Define the sign-off levels and who is responsible at each level</w:t>
      </w:r>
    </w:p>
    <w:p>
      <w:pPr>
        <w:pStyle w:val="ListNumber"/>
      </w:pPr>
      <w:r>
        <w:t>Map controls to the appropriate process owners</w:t>
      </w:r>
    </w:p>
    <w:p>
      <w:pPr>
        <w:pStyle w:val="ListNumber"/>
      </w:pPr>
      <w:r>
        <w:t>Map process owners to the CFO/CEO sign-off</w:t>
      </w:r>
    </w:p>
    <w:p>
      <w:pPr>
        <w:pStyle w:val="ListNumber"/>
      </w:pPr>
      <w:r>
        <w:t>Set the sign-off period and deadlines</w:t>
      </w:r>
    </w:p>
    <w:p>
      <w:pPr>
        <w:pStyle w:val="ListNumber"/>
      </w:pPr>
      <w:r>
        <w:t>Configure reminder and escalation schedule</w:t>
      </w:r>
    </w:p>
    <w:p>
      <w:r/>
      <w:r>
        <w:rPr>
          <w:b/>
        </w:rPr>
        <w:t>Running a sign-off cycle:</w:t>
      </w:r>
      <w:r/>
    </w:p>
    <w:p>
      <w:pPr>
        <w:pStyle w:val="ListNumber"/>
      </w:pPr>
      <w:r>
        <w:t xml:space="preserve">Navigate to </w:t>
      </w:r>
      <w:r>
        <w:rPr>
          <w:b/>
        </w:rPr>
        <w:t>Compliance → SOX → New Sign-Off Cycle</w:t>
      </w:r>
      <w:r/>
    </w:p>
    <w:p>
      <w:pPr>
        <w:pStyle w:val="ListNumber"/>
      </w:pPr>
      <w:r>
        <w:t>Select the period (Q1 2026, Year-end 2026, etc.)</w:t>
      </w:r>
    </w:p>
    <w:p>
      <w:pPr>
        <w:pStyle w:val="ListNumber"/>
      </w:pPr>
      <w:r>
        <w:t xml:space="preserve">Click </w:t>
      </w:r>
      <w:r>
        <w:rPr>
          <w:b/>
        </w:rPr>
        <w:t>Launch</w:t>
      </w:r>
      <w:r>
        <w:t xml:space="preserve"> — all Level 1 control owners receive notification</w:t>
      </w:r>
    </w:p>
    <w:p>
      <w:pPr>
        <w:pStyle w:val="ListNumber"/>
      </w:pPr>
      <w:r>
        <w:t>Monitor completion dashboard:</w:t>
      </w:r>
    </w:p>
    <w:p>
      <w:r>
        <w:t xml:space="preserve">   - Level 1 completion: XX% complete</w:t>
      </w:r>
    </w:p>
    <w:p>
      <w:r>
        <w:t xml:space="preserve">   - Exceptions disclosed: N</w:t>
      </w:r>
    </w:p>
    <w:p>
      <w:r>
        <w:t xml:space="preserve">   - Issues escalated to Level 2: N</w:t>
      </w:r>
    </w:p>
    <w:p>
      <w:pPr>
        <w:pStyle w:val="ListNumber"/>
      </w:pPr>
      <w:r>
        <w:t>When Level 1 complete, auto-advance to Level 2</w:t>
      </w:r>
    </w:p>
    <w:p>
      <w:pPr>
        <w:pStyle w:val="ListNumber"/>
      </w:pPr>
      <w:r>
        <w:t>When Level 2 complete, auto-advance to Level 3 (CFO/CEO)</w:t>
      </w:r>
    </w:p>
    <w:p>
      <w:r/>
      <w:r>
        <w:rPr>
          <w:b/>
        </w:rPr>
        <w:t>Audit trail for sign-off:</w:t>
      </w:r>
      <w:r/>
    </w:p>
    <w:p>
      <w:r>
        <w:t>Every sign-off is digitally recorded with:</w:t>
      </w:r>
    </w:p>
    <w:p>
      <w:pPr>
        <w:pStyle w:val="ListBullet"/>
      </w:pPr>
      <w:r>
        <w:t>Signer identity (verified against JWT — cannot be forged)</w:t>
      </w:r>
    </w:p>
    <w:p>
      <w:pPr>
        <w:pStyle w:val="ListBullet"/>
      </w:pPr>
      <w:r>
        <w:t>Timestamp</w:t>
      </w:r>
    </w:p>
    <w:p>
      <w:pPr>
        <w:pStyle w:val="ListBullet"/>
      </w:pPr>
      <w:r>
        <w:t>Representation text (standard language + any qualifications)</w:t>
      </w:r>
    </w:p>
    <w:p>
      <w:pPr>
        <w:pStyle w:val="ListBullet"/>
      </w:pPr>
      <w:r>
        <w:t>Exception disclosures</w:t>
      </w:r>
    </w:p>
    <w:p>
      <w:pPr>
        <w:pStyle w:val="ListBullet"/>
      </w:pPr>
      <w:r>
        <w:t>Supporting control test reference</w:t>
      </w:r>
    </w:p>
    <w:p>
      <w:r>
        <w:t>This provides a legally defensible audit trail for management certifications.</w:t>
      </w:r>
    </w:p>
    <w:p>
      <w:r>
        <w:t>[Screenshot: SOX Sign-Off cascade dashboard showing three levels with completion status and exception disclosures]</w:t>
      </w:r>
    </w:p>
    <w:p>
      <w:pPr>
        <w:pStyle w:val="Heading3"/>
      </w:pPr>
      <w:r>
        <w:t>11.2 Framework Mapping</w:t>
      </w:r>
    </w:p>
    <w:p>
      <w:r>
        <w:t>GovernexPlus maps controls to regulatory and best-practice frameworks:</w:t>
      </w:r>
    </w:p>
    <w:p>
      <w:r/>
      <w:r>
        <w:rPr>
          <w:b/>
        </w:rPr>
        <w:t>Supported frameworks: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/>
            <w:r>
              <w:t>COSO Internal Control — Integrated Framework</w:t>
            </w:r>
          </w:p>
        </w:tc>
        <w:tc>
          <w:tcPr>
            <w:tcW w:type="dxa" w:w="2880"/>
          </w:tcPr>
          <w:p>
            <w:r/>
            <w:r>
              <w:t>2013</w:t>
            </w:r>
          </w:p>
        </w:tc>
        <w:tc>
          <w:tcPr>
            <w:tcW w:type="dxa" w:w="2880"/>
          </w:tcPr>
          <w:p>
            <w:r/>
            <w:r>
              <w:t>17 principles, 5 components</w:t>
            </w:r>
          </w:p>
        </w:tc>
      </w:tr>
      <w:tr>
        <w:tc>
          <w:tcPr>
            <w:tcW w:type="dxa" w:w="2880"/>
          </w:tcPr>
          <w:p>
            <w:r/>
            <w:r>
              <w:t>COBIT</w:t>
            </w:r>
          </w:p>
        </w:tc>
        <w:tc>
          <w:tcPr>
            <w:tcW w:type="dxa" w:w="2880"/>
          </w:tcPr>
          <w:p>
            <w:r/>
            <w:r>
              <w:t>2019</w:t>
            </w:r>
          </w:p>
        </w:tc>
        <w:tc>
          <w:tcPr>
            <w:tcW w:type="dxa" w:w="2880"/>
          </w:tcPr>
          <w:p>
            <w:r/>
            <w:r>
              <w:t>40 governance objectives</w:t>
            </w:r>
          </w:p>
        </w:tc>
      </w:tr>
      <w:tr>
        <w:tc>
          <w:tcPr>
            <w:tcW w:type="dxa" w:w="2880"/>
          </w:tcPr>
          <w:p>
            <w:r/>
            <w:r>
              <w:t>ISO 27001</w:t>
            </w:r>
          </w:p>
        </w:tc>
        <w:tc>
          <w:tcPr>
            <w:tcW w:type="dxa" w:w="2880"/>
          </w:tcPr>
          <w:p>
            <w:r/>
            <w:r>
              <w:t>2022</w:t>
            </w:r>
          </w:p>
        </w:tc>
        <w:tc>
          <w:tcPr>
            <w:tcW w:type="dxa" w:w="2880"/>
          </w:tcPr>
          <w:p>
            <w:r/>
            <w:r>
              <w:t>93 Annex A controls</w:t>
            </w:r>
          </w:p>
        </w:tc>
      </w:tr>
      <w:tr>
        <w:tc>
          <w:tcPr>
            <w:tcW w:type="dxa" w:w="2880"/>
          </w:tcPr>
          <w:p>
            <w:r/>
            <w:r>
              <w:t>SOX</w:t>
            </w:r>
          </w:p>
        </w:tc>
        <w:tc>
          <w:tcPr>
            <w:tcW w:type="dxa" w:w="2880"/>
          </w:tcPr>
          <w:p>
            <w:r/>
            <w:r>
              <w:t>Section 302, 404</w:t>
            </w:r>
          </w:p>
        </w:tc>
        <w:tc>
          <w:tcPr>
            <w:tcW w:type="dxa" w:w="2880"/>
          </w:tcPr>
          <w:p>
            <w:r/>
            <w:r>
              <w:t>Financial reporting controls</w:t>
            </w:r>
          </w:p>
        </w:tc>
      </w:tr>
      <w:tr>
        <w:tc>
          <w:tcPr>
            <w:tcW w:type="dxa" w:w="2880"/>
          </w:tcPr>
          <w:p>
            <w:r/>
            <w:r>
              <w:t>NIST CSF</w:t>
            </w:r>
          </w:p>
        </w:tc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6 functions, 22 categories</w:t>
            </w:r>
          </w:p>
        </w:tc>
      </w:tr>
      <w:tr>
        <w:tc>
          <w:tcPr>
            <w:tcW w:type="dxa" w:w="2880"/>
          </w:tcPr>
          <w:p>
            <w:r/>
            <w:r>
              <w:t>GDPR</w:t>
            </w:r>
          </w:p>
        </w:tc>
        <w:tc>
          <w:tcPr>
            <w:tcW w:type="dxa" w:w="2880"/>
          </w:tcPr>
          <w:p>
            <w:r/>
            <w:r>
              <w:t>2018</w:t>
            </w:r>
          </w:p>
        </w:tc>
        <w:tc>
          <w:tcPr>
            <w:tcW w:type="dxa" w:w="2880"/>
          </w:tcPr>
          <w:p>
            <w:r/>
            <w:r>
              <w:t>99 articles, key processing controls</w:t>
            </w:r>
          </w:p>
        </w:tc>
      </w:tr>
      <w:tr>
        <w:tc>
          <w:tcPr>
            <w:tcW w:type="dxa" w:w="2880"/>
          </w:tcPr>
          <w:p>
            <w:r/>
            <w:r>
              <w:t>HIPAA</w:t>
            </w:r>
          </w:p>
        </w:tc>
        <w:tc>
          <w:tcPr>
            <w:tcW w:type="dxa" w:w="2880"/>
          </w:tcPr>
          <w:p>
            <w:r/>
            <w:r>
              <w:t>Security Rule</w:t>
            </w:r>
          </w:p>
        </w:tc>
        <w:tc>
          <w:tcPr>
            <w:tcW w:type="dxa" w:w="2880"/>
          </w:tcPr>
          <w:p>
            <w:r/>
            <w:r>
              <w:t>Administrative, physical, technical safeguards</w:t>
            </w:r>
          </w:p>
        </w:tc>
      </w:tr>
      <w:tr>
        <w:tc>
          <w:tcPr>
            <w:tcW w:type="dxa" w:w="2880"/>
          </w:tcPr>
          <w:p>
            <w:r/>
            <w:r>
              <w:t>PCI DSS</w:t>
            </w:r>
          </w:p>
        </w:tc>
        <w:tc>
          <w:tcPr>
            <w:tcW w:type="dxa" w:w="2880"/>
          </w:tcPr>
          <w:p>
            <w:r/>
            <w:r>
              <w:t>4.0</w:t>
            </w:r>
          </w:p>
        </w:tc>
        <w:tc>
          <w:tcPr>
            <w:tcW w:type="dxa" w:w="2880"/>
          </w:tcPr>
          <w:p>
            <w:r/>
            <w:r>
              <w:t>12 requirements</w:t>
            </w:r>
          </w:p>
        </w:tc>
      </w:tr>
    </w:tbl>
    <w:p/>
    <w:p>
      <w:r/>
      <w:r>
        <w:rPr>
          <w:b/>
        </w:rPr>
        <w:t>Configuring framework mappings:</w:t>
      </w:r>
      <w:r/>
    </w:p>
    <w:p>
      <w:r>
        <w:t>Each control in the PC library can be mapped to one or more framework requirements: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Control: AP-003 — 3-Way Match Verification</w:t>
        <w:br/>
      </w:r>
      <w:r>
        <w:rPr>
          <w:rFonts w:ascii="Consolas" w:hAnsi="Consolas"/>
          <w:color w:val="333333"/>
          <w:sz w:val="18"/>
        </w:rPr>
        <w:t>COSO Mapping:</w:t>
        <w:br/>
      </w:r>
      <w:r>
        <w:rPr>
          <w:rFonts w:ascii="Consolas" w:hAnsi="Consolas"/>
          <w:color w:val="333333"/>
          <w:sz w:val="18"/>
        </w:rPr>
        <w:t xml:space="preserve">  Component: Control Activities (Principle 10.3)</w:t>
        <w:br/>
      </w:r>
      <w:r>
        <w:rPr>
          <w:rFonts w:ascii="Consolas" w:hAnsi="Consolas"/>
          <w:color w:val="333333"/>
          <w:sz w:val="18"/>
        </w:rPr>
        <w:t xml:space="preserve">  Principle: Select and Develop Control Activities</w:t>
        <w:br/>
      </w:r>
      <w:r>
        <w:rPr>
          <w:rFonts w:ascii="Consolas" w:hAnsi="Consolas"/>
          <w:color w:val="333333"/>
          <w:sz w:val="18"/>
        </w:rPr>
        <w:t>ISO 27001 Mapping:</w:t>
        <w:br/>
      </w:r>
      <w:r>
        <w:rPr>
          <w:rFonts w:ascii="Consolas" w:hAnsi="Consolas"/>
          <w:color w:val="333333"/>
          <w:sz w:val="18"/>
        </w:rPr>
        <w:t xml:space="preserve">  A.12.4.1 — Event logging</w:t>
        <w:br/>
      </w:r>
      <w:r>
        <w:rPr>
          <w:rFonts w:ascii="Consolas" w:hAnsi="Consolas"/>
          <w:color w:val="333333"/>
          <w:sz w:val="18"/>
        </w:rPr>
        <w:t>SOX Mapping:</w:t>
        <w:br/>
      </w:r>
      <w:r>
        <w:rPr>
          <w:rFonts w:ascii="Consolas" w:hAnsi="Consolas"/>
          <w:color w:val="333333"/>
          <w:sz w:val="18"/>
        </w:rPr>
        <w:t xml:space="preserve">  Section 404: Financial reporting control</w:t>
        <w:br/>
      </w:r>
      <w:r>
        <w:rPr>
          <w:rFonts w:ascii="Consolas" w:hAnsi="Consolas"/>
          <w:color w:val="333333"/>
          <w:sz w:val="18"/>
        </w:rPr>
        <w:t xml:space="preserve">  PCAOB AS 2201 relevant assertion: Authorization</w:t>
        <w:br/>
      </w:r>
    </w:p>
    <w:p>
      <w:r/>
      <w:r>
        <w:rPr>
          <w:b/>
        </w:rPr>
        <w:t>Framework coverage report:</w:t>
      </w:r>
      <w:r/>
    </w:p>
    <w:p>
      <w:r>
        <w:t xml:space="preserve">Navigate to </w:t>
      </w:r>
      <w:r>
        <w:rPr>
          <w:b/>
        </w:rPr>
        <w:t>Compliance → Framework Coverage</w:t>
      </w:r>
      <w:r/>
    </w:p>
    <w:p>
      <w:r>
        <w:t>Shows heat map of which framework requirements are covered by existing controls and which have gaps:</w:t>
      </w:r>
    </w:p>
    <w:p>
      <w:pPr>
        <w:pStyle w:val="ListBullet"/>
      </w:pPr>
      <w:r>
        <w:t>Green: Covered by effective controls</w:t>
      </w:r>
    </w:p>
    <w:p>
      <w:pPr>
        <w:pStyle w:val="ListBullet"/>
      </w:pPr>
      <w:r>
        <w:t>Yellow: Covered by controls with open deficiencies</w:t>
      </w:r>
    </w:p>
    <w:p>
      <w:pPr>
        <w:pStyle w:val="ListBullet"/>
      </w:pPr>
      <w:r>
        <w:t>Red: Not covered (gap)</w:t>
      </w:r>
    </w:p>
    <w:p>
      <w:r>
        <w:t>This is invaluable for framework gap assessments and regulatory readiness reviews.</w:t>
      </w:r>
    </w:p>
    <w:p>
      <w:pPr>
        <w:pStyle w:val="Heading3"/>
      </w:pPr>
      <w:r>
        <w:t>11.3 Control Testing Schedules</w:t>
      </w:r>
    </w:p>
    <w:p>
      <w:r>
        <w:t>Maintain a master control testing schedule aligned to risk and regulatory requirements:</w:t>
      </w:r>
    </w:p>
    <w:p>
      <w:r/>
      <w:r>
        <w:rPr>
          <w:b/>
        </w:rPr>
        <w:t>Navigate to: Compliance → Testing Schedule</w:t>
      </w:r>
      <w:r/>
    </w:p>
    <w:p>
      <w:r/>
      <w:r>
        <w:rPr>
          <w:b/>
        </w:rPr>
        <w:t>Schedule view: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Control Testing Schedule — FY2027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Control | Type | Frequency | Q1 | Q2 | Q3 | Q4 | Owner | Tester</w:t>
        <w:br/>
      </w:r>
      <w:r>
        <w:rPr>
          <w:rFonts w:ascii="Consolas" w:hAnsi="Consolas"/>
          <w:color w:val="333333"/>
          <w:sz w:val="18"/>
        </w:rPr>
        <w:t>AP-003  | Detective | Quarterly | ✓ | 🕐 | 📋 | 📋 | J.Smith | L.Park</w:t>
        <w:br/>
      </w:r>
      <w:r>
        <w:rPr>
          <w:rFonts w:ascii="Consolas" w:hAnsi="Consolas"/>
          <w:color w:val="333333"/>
          <w:sz w:val="18"/>
        </w:rPr>
        <w:t>AP-011  | Preventive | Annual | | | ✓ | | M.Chen | S.Johnson</w:t>
        <w:br/>
      </w:r>
      <w:r>
        <w:rPr>
          <w:rFonts w:ascii="Consolas" w:hAnsi="Consolas"/>
          <w:color w:val="333333"/>
          <w:sz w:val="18"/>
        </w:rPr>
        <w:t>IT-001  | Automated | Continuous | ∞ | ∞ | ∞ | ∞ | IT Team | CCM</w:t>
        <w:br/>
      </w:r>
      <w:r>
        <w:rPr>
          <w:rFonts w:ascii="Consolas" w:hAnsi="Consolas"/>
          <w:color w:val="333333"/>
          <w:sz w:val="18"/>
        </w:rPr>
        <w:t>SOX-FI-3| Manual | Semi-annual | ✓ | | 📋 | | CFO | M.Chen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Legend: ✓=Complete  🕐=In Progress  📋=Planned  ∞=Continuous</w:t>
        <w:br/>
      </w:r>
    </w:p>
    <w:p>
      <w:r/>
      <w:r>
        <w:rPr>
          <w:b/>
        </w:rPr>
        <w:t>Schedule management:</w:t>
      </w:r>
      <w:r/>
    </w:p>
    <w:p>
      <w:pPr>
        <w:pStyle w:val="ListBullet"/>
      </w:pPr>
      <w:r>
        <w:t>Automatically reminds testers 30 days before scheduled test</w:t>
      </w:r>
    </w:p>
    <w:p>
      <w:pPr>
        <w:pStyle w:val="ListBullet"/>
      </w:pPr>
      <w:r>
        <w:t>Links to work program template for efficient setup</w:t>
      </w:r>
    </w:p>
    <w:p>
      <w:pPr>
        <w:pStyle w:val="ListBullet"/>
      </w:pPr>
      <w:r>
        <w:t>Tracks actual vs. planned dates</w:t>
      </w:r>
    </w:p>
    <w:p>
      <w:pPr>
        <w:pStyle w:val="ListBullet"/>
      </w:pPr>
      <w:r>
        <w:t>Generates testing calendar for CAE planning</w:t>
      </w:r>
    </w:p>
    <w:p>
      <w:pPr>
        <w:pStyle w:val="Heading3"/>
      </w:pPr>
      <w:r>
        <w:t>11.4 Deficiency Tracking</w:t>
      </w:r>
    </w:p>
    <w:p>
      <w:r/>
      <w:r>
        <w:rPr>
          <w:b/>
        </w:rPr>
        <w:t>Navigate to: Compliance → Deficiencies</w:t>
      </w:r>
      <w:r/>
    </w:p>
    <w:p>
      <w:r>
        <w:t>All control deficiencies (from PC testing + ARA SoD bridge) are tracked in a unified register:</w:t>
      </w:r>
    </w:p>
    <w:p>
      <w:r/>
      <w:r>
        <w:rPr>
          <w:b/>
        </w:rPr>
        <w:t>Deficiency classification: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Disclosure</w:t>
            </w:r>
          </w:p>
        </w:tc>
      </w:tr>
      <w:tr>
        <w:tc>
          <w:tcPr>
            <w:tcW w:type="dxa" w:w="2880"/>
          </w:tcPr>
          <w:p>
            <w:r/>
            <w:r>
              <w:t>Control Deficiency</w:t>
            </w:r>
          </w:p>
        </w:tc>
        <w:tc>
          <w:tcPr>
            <w:tcW w:type="dxa" w:w="2880"/>
          </w:tcPr>
          <w:p>
            <w:r/>
            <w:r>
              <w:t>A deficiency in the design or operation of a control that does not rise to a significant deficiency</w:t>
            </w:r>
          </w:p>
        </w:tc>
        <w:tc>
          <w:tcPr>
            <w:tcW w:type="dxa" w:w="2880"/>
          </w:tcPr>
          <w:p>
            <w:r/>
            <w:r>
              <w:t>Internal management report</w:t>
            </w:r>
          </w:p>
        </w:tc>
      </w:tr>
      <w:tr>
        <w:tc>
          <w:tcPr>
            <w:tcW w:type="dxa" w:w="2880"/>
          </w:tcPr>
          <w:p>
            <w:r/>
            <w:r>
              <w:t>Significant Deficiency</w:t>
            </w:r>
          </w:p>
        </w:tc>
        <w:tc>
          <w:tcPr>
            <w:tcW w:type="dxa" w:w="2880"/>
          </w:tcPr>
          <w:p>
            <w:r/>
            <w:r>
              <w:t>A deficiency, or a combination of deficiencies, that is less severe than a material weakness yet important enough to merit attention by those responsible for oversight</w:t>
            </w:r>
          </w:p>
        </w:tc>
        <w:tc>
          <w:tcPr>
            <w:tcW w:type="dxa" w:w="2880"/>
          </w:tcPr>
          <w:p>
            <w:r/>
            <w:r>
              <w:t>Audit committee disclosure</w:t>
            </w:r>
          </w:p>
        </w:tc>
      </w:tr>
      <w:tr>
        <w:tc>
          <w:tcPr>
            <w:tcW w:type="dxa" w:w="2880"/>
          </w:tcPr>
          <w:p>
            <w:r/>
            <w:r>
              <w:t>Material Weakness</w:t>
            </w:r>
          </w:p>
        </w:tc>
        <w:tc>
          <w:tcPr>
            <w:tcW w:type="dxa" w:w="2880"/>
          </w:tcPr>
          <w:p>
            <w:r/>
            <w:r>
              <w:t>A deficiency, or a combination of deficiencies, that results in a reasonable possibility that a material misstatement of the company's annual or interim financial statements will not be prevented or detected on a timely basis</w:t>
            </w:r>
          </w:p>
        </w:tc>
        <w:tc>
          <w:tcPr>
            <w:tcW w:type="dxa" w:w="2880"/>
          </w:tcPr>
          <w:p>
            <w:r/>
            <w:r>
              <w:t>Public disclosure (SOX)</w:t>
            </w:r>
          </w:p>
        </w:tc>
      </w:tr>
    </w:tbl>
    <w:p/>
    <w:p>
      <w:r/>
      <w:r>
        <w:rPr>
          <w:b/>
        </w:rPr>
        <w:t>Deficiency lifecycle: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Deficiency Identified</w:t>
        <w:br/>
      </w:r>
      <w:r>
        <w:rPr>
          <w:rFonts w:ascii="Consolas" w:hAnsi="Consolas"/>
          <w:color w:val="333333"/>
          <w:sz w:val="18"/>
        </w:rPr>
        <w:t xml:space="preserve">  → Classification Assessment</w:t>
        <w:br/>
      </w:r>
      <w:r>
        <w:rPr>
          <w:rFonts w:ascii="Consolas" w:hAnsi="Consolas"/>
          <w:color w:val="333333"/>
          <w:sz w:val="18"/>
        </w:rPr>
        <w:t xml:space="preserve">  → Management Response</w:t>
        <w:br/>
      </w:r>
      <w:r>
        <w:rPr>
          <w:rFonts w:ascii="Consolas" w:hAnsi="Consolas"/>
          <w:color w:val="333333"/>
          <w:sz w:val="18"/>
        </w:rPr>
        <w:t xml:space="preserve">  → Remediation Plan</w:t>
        <w:br/>
      </w:r>
      <w:r>
        <w:rPr>
          <w:rFonts w:ascii="Consolas" w:hAnsi="Consolas"/>
          <w:color w:val="333333"/>
          <w:sz w:val="18"/>
        </w:rPr>
        <w:t xml:space="preserve">  → Remediation Execution</w:t>
        <w:br/>
      </w:r>
      <w:r>
        <w:rPr>
          <w:rFonts w:ascii="Consolas" w:hAnsi="Consolas"/>
          <w:color w:val="333333"/>
          <w:sz w:val="18"/>
        </w:rPr>
        <w:t xml:space="preserve">  → Retesting</w:t>
        <w:br/>
      </w:r>
      <w:r>
        <w:rPr>
          <w:rFonts w:ascii="Consolas" w:hAnsi="Consolas"/>
          <w:color w:val="333333"/>
          <w:sz w:val="18"/>
        </w:rPr>
        <w:t xml:space="preserve">  → Closed (if remediated effectively)</w:t>
        <w:br/>
      </w:r>
      <w:r>
        <w:rPr>
          <w:rFonts w:ascii="Consolas" w:hAnsi="Consolas"/>
          <w:color w:val="333333"/>
          <w:sz w:val="18"/>
        </w:rPr>
        <w:t xml:space="preserve">  OR</w:t>
        <w:br/>
      </w:r>
      <w:r>
        <w:rPr>
          <w:rFonts w:ascii="Consolas" w:hAnsi="Consolas"/>
          <w:color w:val="333333"/>
          <w:sz w:val="18"/>
        </w:rPr>
        <w:t xml:space="preserve">  → Escalated (if remediation ineffective or delayed)</w:t>
        <w:br/>
      </w:r>
    </w:p>
    <w:p>
      <w:r/>
      <w:r>
        <w:rPr>
          <w:b/>
        </w:rPr>
        <w:t>Deficiency dashboard:</w:t>
      </w:r>
      <w:r/>
    </w:p>
    <w:p>
      <w:pPr>
        <w:pStyle w:val="ListBullet"/>
      </w:pPr>
      <w:r>
        <w:t>Open deficiencies by severity (Material Weakness / Significant Deficiency / Control Deficiency)</w:t>
      </w:r>
    </w:p>
    <w:p>
      <w:pPr>
        <w:pStyle w:val="ListBullet"/>
      </w:pPr>
      <w:r>
        <w:t>Days open distribution (are deficiencies getting older?)</w:t>
      </w:r>
    </w:p>
    <w:p>
      <w:pPr>
        <w:pStyle w:val="ListBullet"/>
      </w:pPr>
      <w:r>
        <w:t>Remediation plan status (on track / at risk / overdue)</w:t>
      </w:r>
    </w:p>
    <w:p>
      <w:pPr>
        <w:pStyle w:val="ListBullet"/>
      </w:pPr>
      <w:r>
        <w:t>Deficiency source (internal audit finding / management self-assessment / external audit)</w:t>
      </w:r>
    </w:p>
    <w:p>
      <w:pPr>
        <w:pStyle w:val="ListBullet"/>
      </w:pPr>
      <w:r>
        <w:t>Entity and process breakdown</w:t>
      </w:r>
    </w:p>
    <w:p>
      <w:pPr>
        <w:pStyle w:val="Heading3"/>
      </w:pPr>
      <w:r>
        <w:t>11.5 GovernexPlus as Audit Evidence</w:t>
      </w:r>
    </w:p>
    <w:p>
      <w:r>
        <w:t>When presenting GovernexPlus data as audit evidence (to external auditors or regulators):</w:t>
      </w:r>
    </w:p>
    <w:p>
      <w:r/>
      <w:r>
        <w:rPr>
          <w:b/>
        </w:rPr>
        <w:t>Citing GovernexPlus data:</w:t>
      </w:r>
      <w:r/>
    </w:p>
    <w:p>
      <w:r>
        <w:t>Always include:</w:t>
      </w:r>
    </w:p>
    <w:p>
      <w:pPr>
        <w:pStyle w:val="ListBullet"/>
      </w:pPr>
      <w:r>
        <w:t>Data query date and time</w:t>
      </w:r>
    </w:p>
    <w:p>
      <w:pPr>
        <w:pStyle w:val="ListBullet"/>
      </w:pPr>
      <w:r>
        <w:t>Tenant ID and environment (production)</w:t>
      </w:r>
    </w:p>
    <w:p>
      <w:pPr>
        <w:pStyle w:val="ListBullet"/>
      </w:pPr>
      <w:r>
        <w:t>Query parameters (date range, filters applied)</w:t>
      </w:r>
    </w:p>
    <w:p>
      <w:pPr>
        <w:pStyle w:val="ListBullet"/>
      </w:pPr>
      <w:r>
        <w:t>Record count at time of extraction</w:t>
      </w:r>
    </w:p>
    <w:p>
      <w:pPr>
        <w:pStyle w:val="ListBullet"/>
      </w:pPr>
      <w:r>
        <w:t>GovernexPlus version</w:t>
      </w:r>
    </w:p>
    <w:p>
      <w:r/>
      <w:r>
        <w:rPr>
          <w:b/>
        </w:rPr>
        <w:t>Providing to external auditors:</w:t>
      </w:r>
      <w:r/>
    </w:p>
    <w:p>
      <w:r>
        <w:t>Use the export function which includes a cover page with:</w:t>
      </w:r>
    </w:p>
    <w:p>
      <w:pPr>
        <w:pStyle w:val="ListBullet"/>
      </w:pPr>
      <w:r>
        <w:t>Organization name and tenant</w:t>
      </w:r>
    </w:p>
    <w:p>
      <w:pPr>
        <w:pStyle w:val="ListBullet"/>
      </w:pPr>
      <w:r>
        <w:t>Report type and parameters</w:t>
      </w:r>
    </w:p>
    <w:p>
      <w:pPr>
        <w:pStyle w:val="ListBullet"/>
      </w:pPr>
      <w:r>
        <w:t>Extraction date and time</w:t>
      </w:r>
    </w:p>
    <w:p>
      <w:pPr>
        <w:pStyle w:val="ListBullet"/>
      </w:pPr>
      <w:r>
        <w:t>SHA-256 hash of the extract</w:t>
      </w:r>
    </w:p>
    <w:p>
      <w:pPr>
        <w:pStyle w:val="ListBullet"/>
      </w:pPr>
      <w:r>
        <w:t>GovernexPlus version and environment</w:t>
      </w:r>
    </w:p>
    <w:p>
      <w:r/>
      <w:r>
        <w:rPr>
          <w:b/>
        </w:rPr>
        <w:t>Immutability representation:</w:t>
      </w:r>
      <w:r/>
    </w:p>
    <w:p>
      <w:r>
        <w:t>GovernexPlus audit logs are immutable (no update/delete operations). You can provide a representation letter to external auditors stating: "GovernexPlus [version] deployed at [organization] maintains an immutable audit trail for all state-changing operations. GovernexPlus data has not been modified since the period under audit."</w:t>
      </w:r>
    </w:p>
    <w:p>
      <w:r>
        <w:rPr>
          <w:color w:val="CCCCCC"/>
        </w:rPr>
        <w:t>____________________________________________________________</w:t>
      </w:r>
    </w:p>
    <w:p>
      <w:r/>
      <w:r>
        <w:rPr>
          <w:i/>
        </w:rPr>
        <w:t>This guide is maintained by the GovernexPlus Product Team. For corrections or feedback, contact product-docs@governexplus.io</w:t>
      </w:r>
      <w:r/>
    </w:p>
    <w:p>
      <w:r/>
      <w:r>
        <w:rPr>
          <w:i/>
        </w:rPr>
        <w:t>External Auditor Access: For questions about using GovernexPlus evidence in an external audit, contact your GovernexPlus engagement lead or support@governexplus.io</w:t>
      </w:r>
      <w:r/>
    </w:p>
    <w:p>
      <w:r/>
      <w:r>
        <w:rPr>
          <w:i/>
        </w:rPr>
        <w:t>Last updated: September 2026 | Version 2.0</w:t>
      </w:r>
      <w:r/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D6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D6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D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C2D6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C2D6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