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Risk Management (RM) Module Guide</w:t>
      </w:r>
    </w:p>
    <w:p>
      <w:r/>
      <w:r>
        <w:rPr>
          <w:b/>
        </w:rPr>
        <w:t>Enterprise Risk Register, Assessments, KRIs, Response Plans, Incidents, Heatmap</w:t>
      </w:r>
      <w:r/>
    </w:p>
    <w:p>
      <w:r>
        <w:rPr>
          <w:color w:val="CCCCCC"/>
        </w:rPr>
        <w:t>____________________________________________________________</w:t>
      </w:r>
    </w:p>
    <w:p>
      <w:pPr>
        <w:pStyle w:val="Heading2"/>
      </w:pPr>
      <w:r>
        <w:t>Table of Contents</w:t>
      </w:r>
    </w:p>
    <w:p>
      <w:pPr>
        <w:pStyle w:val="ListNumber"/>
      </w:pPr>
      <w:r>
        <w:t>Module Overview</w:t>
      </w:r>
    </w:p>
    <w:p>
      <w:pPr>
        <w:pStyle w:val="ListNumber"/>
      </w:pPr>
      <w:r>
        <w:t>Risk Register (RM-01 to RM-04)</w:t>
      </w:r>
    </w:p>
    <w:p>
      <w:r>
        <w:t xml:space="preserve">   - 2.1 Risk Structure</w:t>
      </w:r>
    </w:p>
    <w:p>
      <w:r>
        <w:t xml:space="preserve">   - 2.2 Risk Scoring</w:t>
      </w:r>
    </w:p>
    <w:p>
      <w:r>
        <w:t xml:space="preserve">   - 2.3 Creating a Risk</w:t>
      </w:r>
    </w:p>
    <w:p>
      <w:r>
        <w:t xml:space="preserve">   - 2.4 Updating Risks</w:t>
      </w:r>
    </w:p>
    <w:p>
      <w:r>
        <w:t xml:space="preserve">   - 2.5 Risk Status Lifecycle</w:t>
      </w:r>
    </w:p>
    <w:p>
      <w:r>
        <w:t xml:space="preserve">   - 2.6 Linking to Controls and Findings</w:t>
      </w:r>
    </w:p>
    <w:p>
      <w:r>
        <w:t xml:space="preserve">   - 2.7 Control Coverage Signal (XL-A)</w:t>
      </w:r>
    </w:p>
    <w:p>
      <w:pPr>
        <w:pStyle w:val="ListNumber"/>
      </w:pPr>
      <w:r>
        <w:t>Risk Assessment (RM-10 to RM-12)</w:t>
      </w:r>
    </w:p>
    <w:p>
      <w:r>
        <w:t xml:space="preserve">   - 3.1 Assessment Types</w:t>
      </w:r>
    </w:p>
    <w:p>
      <w:r>
        <w:t xml:space="preserve">   - 3.2 Creating Assessments</w:t>
      </w:r>
    </w:p>
    <w:p>
      <w:r>
        <w:t xml:space="preserve">   - 3.3 Assessment Workflow</w:t>
      </w:r>
    </w:p>
    <w:p>
      <w:r>
        <w:t xml:space="preserve">   - 3.4 Residual Score Update</w:t>
      </w:r>
    </w:p>
    <w:p>
      <w:r>
        <w:t xml:space="preserve">   - 3.5 Assessment Campaigns</w:t>
      </w:r>
    </w:p>
    <w:p>
      <w:r>
        <w:t xml:space="preserve">   - 3.6 Multi-Assessor Consensus</w:t>
      </w:r>
    </w:p>
    <w:p>
      <w:pPr>
        <w:pStyle w:val="ListNumber"/>
      </w:pPr>
      <w:r>
        <w:t>Risk Appetite and Tolerance (RM-03)</w:t>
      </w:r>
    </w:p>
    <w:p>
      <w:r>
        <w:t xml:space="preserve">   - 4.1 Setting Appetite</w:t>
      </w:r>
    </w:p>
    <w:p>
      <w:r>
        <w:t xml:space="preserve">   - 4.2 Appetite vs Tolerance</w:t>
      </w:r>
    </w:p>
    <w:p>
      <w:r>
        <w:t xml:space="preserve">   - 4.3 Breach Detection</w:t>
      </w:r>
    </w:p>
    <w:p>
      <w:r>
        <w:t xml:space="preserve">   - 4.4 System-Indicated Residual</w:t>
      </w:r>
    </w:p>
    <w:p>
      <w:pPr>
        <w:pStyle w:val="ListNumber"/>
      </w:pPr>
      <w:r>
        <w:t>Key Risk Indicators — KRI (RM-13)</w:t>
      </w:r>
    </w:p>
    <w:p>
      <w:r>
        <w:t xml:space="preserve">   - 5.1 KRI Structure</w:t>
      </w:r>
    </w:p>
    <w:p>
      <w:r>
        <w:t xml:space="preserve">   - 5.2 Creating KRIs</w:t>
      </w:r>
    </w:p>
    <w:p>
      <w:r>
        <w:t xml:space="preserve">   - 5.3 Recording Measurements</w:t>
      </w:r>
    </w:p>
    <w:p>
      <w:r>
        <w:t xml:space="preserve">   - 5.4 Traffic-Light Status Logic</w:t>
      </w:r>
    </w:p>
    <w:p>
      <w:r>
        <w:t xml:space="preserve">   - 5.5 KRI Dashboard</w:t>
      </w:r>
    </w:p>
    <w:p>
      <w:r>
        <w:t xml:space="preserve">   - 5.6 Breach Alerts and Notifications</w:t>
      </w:r>
    </w:p>
    <w:p>
      <w:pPr>
        <w:pStyle w:val="ListNumber"/>
      </w:pPr>
      <w:r>
        <w:t>Risk Response Plans (RM-20)</w:t>
      </w:r>
    </w:p>
    <w:p>
      <w:r>
        <w:t xml:space="preserve">   - 6.1 Response Types</w:t>
      </w:r>
    </w:p>
    <w:p>
      <w:r>
        <w:t xml:space="preserve">   - 6.2 Creating Response Plans</w:t>
      </w:r>
    </w:p>
    <w:p>
      <w:r>
        <w:t xml:space="preserve">   - 6.3 Status Tracking</w:t>
      </w:r>
    </w:p>
    <w:p>
      <w:r>
        <w:t xml:space="preserve">   - 6.4 Effectiveness Rating</w:t>
      </w:r>
    </w:p>
    <w:p>
      <w:pPr>
        <w:pStyle w:val="ListNumber"/>
      </w:pPr>
      <w:r>
        <w:t>Incidents and Loss Events (RM-22)</w:t>
      </w:r>
    </w:p>
    <w:p>
      <w:r>
        <w:t xml:space="preserve">   - 7.1 Incident Structure</w:t>
      </w:r>
    </w:p>
    <w:p>
      <w:r>
        <w:t xml:space="preserve">   - 7.2 Reporting an Incident</w:t>
      </w:r>
    </w:p>
    <w:p>
      <w:r>
        <w:t xml:space="preserve">   - 7.3 Linking to Risks</w:t>
      </w:r>
    </w:p>
    <w:p>
      <w:r>
        <w:t xml:space="preserve">   - 7.4 Root Cause Analysis</w:t>
      </w:r>
    </w:p>
    <w:p>
      <w:r>
        <w:t xml:space="preserve">   - 7.5 Corrective Actions</w:t>
      </w:r>
    </w:p>
    <w:p>
      <w:r>
        <w:t xml:space="preserve">   - 7.6 Status Lifecycle</w:t>
      </w:r>
    </w:p>
    <w:p>
      <w:pPr>
        <w:pStyle w:val="ListNumber"/>
      </w:pPr>
      <w:r>
        <w:t>Risk Review and Attestation (RM-23)</w:t>
      </w:r>
    </w:p>
    <w:p>
      <w:r>
        <w:t xml:space="preserve">   - 8.1 Review Frequency Setup</w:t>
      </w:r>
    </w:p>
    <w:p>
      <w:r>
        <w:t xml:space="preserve">   - 8.2 Overdue Review Detection</w:t>
      </w:r>
    </w:p>
    <w:p>
      <w:r>
        <w:t xml:space="preserve">   - 8.3 Review Attestation</w:t>
      </w:r>
    </w:p>
    <w:p>
      <w:r>
        <w:t xml:space="preserve">   - 8.4 Escalation for Overdue Reviews</w:t>
      </w:r>
    </w:p>
    <w:p>
      <w:pPr>
        <w:pStyle w:val="ListNumber"/>
      </w:pPr>
      <w:r>
        <w:t>RM Reporting (RM-12, RM-30, RM-31)</w:t>
      </w:r>
    </w:p>
    <w:p>
      <w:r>
        <w:t xml:space="preserve">   - 9.1 Risk Heatmap</w:t>
      </w:r>
    </w:p>
    <w:p>
      <w:r>
        <w:t xml:space="preserve">   - 9.2 Risk Trends</w:t>
      </w:r>
    </w:p>
    <w:p>
      <w:r>
        <w:t xml:space="preserve">   - 9.3 Top Risks</w:t>
      </w:r>
    </w:p>
    <w:p>
      <w:r>
        <w:t xml:space="preserve">   - 9.4 Risk-Control Coverage</w:t>
      </w:r>
    </w:p>
    <w:p>
      <w:r>
        <w:t xml:space="preserve">   - 9.5 Overdue Reviews Report</w:t>
      </w:r>
    </w:p>
    <w:p>
      <w:r>
        <w:t xml:space="preserve">   - 9.6 Board/Committee Risk Reports</w:t>
      </w:r>
    </w:p>
    <w:p>
      <w:r>
        <w:t xml:space="preserve">   - 9.7 PPTX/PDF Export</w:t>
      </w:r>
    </w:p>
    <w:p>
      <w:pPr>
        <w:pStyle w:val="ListNumber"/>
      </w:pPr>
      <w:r>
        <w:t>Integration with Other Modules</w:t>
      </w:r>
    </w:p>
    <w:p>
      <w:pPr>
        <w:pStyle w:val="ListNumber"/>
      </w:pPr>
      <w:r>
        <w:t>Configuration Reference</w:t>
      </w:r>
    </w:p>
    <w:p>
      <w:r>
        <w:rPr>
          <w:color w:val="CCCCCC"/>
        </w:rPr>
        <w:t>____________________________________________________________</w:t>
      </w:r>
    </w:p>
    <w:p>
      <w:pPr>
        <w:pStyle w:val="Heading2"/>
      </w:pPr>
      <w:r>
        <w:t>1. Module Overview</w:t>
      </w:r>
    </w:p>
    <w:p>
      <w:r>
        <w:t>The Risk Management (RM) module provides GovernexPlus with a full enterprise risk lifecycle — from the initial identification of a risk through assessment, appetite monitoring, response planning, incident recording, and board-level reporting. It is the GRC equivalent of SAP GRC Risk Management 12.0 and supersedes that product entirely for customers who have adopted GovernexPlus.</w:t>
      </w:r>
    </w:p>
    <w:p>
      <w:pPr>
        <w:pStyle w:val="Heading3"/>
      </w:pPr>
      <w:r>
        <w:t>What RM Covers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Capability</w:t>
            </w:r>
          </w:p>
        </w:tc>
        <w:tc>
          <w:tcPr>
            <w:tcW w:type="dxa" w:w="4320"/>
          </w:tcPr>
          <w:p>
            <w:r>
              <w:rPr>
                <w:b/>
              </w:rPr>
            </w:r>
            <w:r>
              <w:rPr>
                <w:b/>
              </w:rPr>
              <w:t>Requirement IDs</w:t>
            </w:r>
          </w:p>
        </w:tc>
      </w:tr>
      <w:tr>
        <w:tc>
          <w:tcPr>
            <w:tcW w:type="dxa" w:w="4320"/>
          </w:tcPr>
          <w:p>
            <w:r/>
            <w:r>
              <w:t>Enterprise risk register with bilingual support</w:t>
            </w:r>
          </w:p>
        </w:tc>
        <w:tc>
          <w:tcPr>
            <w:tcW w:type="dxa" w:w="4320"/>
          </w:tcPr>
          <w:p>
            <w:r/>
            <w:r>
              <w:t>RM-01, RM-02, RM-04</w:t>
            </w:r>
          </w:p>
        </w:tc>
      </w:tr>
      <w:tr>
        <w:tc>
          <w:tcPr>
            <w:tcW w:type="dxa" w:w="4320"/>
          </w:tcPr>
          <w:p>
            <w:r/>
            <w:r>
              <w:t>Inherent and residual risk scoring</w:t>
            </w:r>
          </w:p>
        </w:tc>
        <w:tc>
          <w:tcPr>
            <w:tcW w:type="dxa" w:w="4320"/>
          </w:tcPr>
          <w:p>
            <w:r/>
            <w:r>
              <w:t>RM-01</w:t>
            </w:r>
          </w:p>
        </w:tc>
      </w:tr>
      <w:tr>
        <w:tc>
          <w:tcPr>
            <w:tcW w:type="dxa" w:w="4320"/>
          </w:tcPr>
          <w:p>
            <w:r/>
            <w:r>
              <w:t>Risk appetite and tolerance framework</w:t>
            </w:r>
          </w:p>
        </w:tc>
        <w:tc>
          <w:tcPr>
            <w:tcW w:type="dxa" w:w="4320"/>
          </w:tcPr>
          <w:p>
            <w:r/>
            <w:r>
              <w:t>RM-03</w:t>
            </w:r>
          </w:p>
        </w:tc>
      </w:tr>
      <w:tr>
        <w:tc>
          <w:tcPr>
            <w:tcW w:type="dxa" w:w="4320"/>
          </w:tcPr>
          <w:p>
            <w:r/>
            <w:r>
              <w:t>Periodic, ad-hoc, and consensus assessments</w:t>
            </w:r>
          </w:p>
        </w:tc>
        <w:tc>
          <w:tcPr>
            <w:tcW w:type="dxa" w:w="4320"/>
          </w:tcPr>
          <w:p>
            <w:r/>
            <w:r>
              <w:t>RM-10, RM-11</w:t>
            </w:r>
          </w:p>
        </w:tc>
      </w:tr>
      <w:tr>
        <w:tc>
          <w:tcPr>
            <w:tcW w:type="dxa" w:w="4320"/>
          </w:tcPr>
          <w:p>
            <w:r/>
            <w:r>
              <w:t>Assessment workflow (draft → approved)</w:t>
            </w:r>
          </w:p>
        </w:tc>
        <w:tc>
          <w:tcPr>
            <w:tcW w:type="dxa" w:w="4320"/>
          </w:tcPr>
          <w:p>
            <w:r/>
            <w:r>
              <w:t>RM-12</w:t>
            </w:r>
          </w:p>
        </w:tc>
      </w:tr>
      <w:tr>
        <w:tc>
          <w:tcPr>
            <w:tcW w:type="dxa" w:w="4320"/>
          </w:tcPr>
          <w:p>
            <w:r/>
            <w:r>
              <w:t>Key Risk Indicators with traffic-light status</w:t>
            </w:r>
          </w:p>
        </w:tc>
        <w:tc>
          <w:tcPr>
            <w:tcW w:type="dxa" w:w="4320"/>
          </w:tcPr>
          <w:p>
            <w:r/>
            <w:r>
              <w:t>RM-13</w:t>
            </w:r>
          </w:p>
        </w:tc>
      </w:tr>
      <w:tr>
        <w:tc>
          <w:tcPr>
            <w:tcW w:type="dxa" w:w="4320"/>
          </w:tcPr>
          <w:p>
            <w:r/>
            <w:r>
              <w:t>Risk response plans (accept/mitigate/transfer/avoid)</w:t>
            </w:r>
          </w:p>
        </w:tc>
        <w:tc>
          <w:tcPr>
            <w:tcW w:type="dxa" w:w="4320"/>
          </w:tcPr>
          <w:p>
            <w:r/>
            <w:r>
              <w:t>RM-20</w:t>
            </w:r>
          </w:p>
        </w:tc>
      </w:tr>
      <w:tr>
        <w:tc>
          <w:tcPr>
            <w:tcW w:type="dxa" w:w="4320"/>
          </w:tcPr>
          <w:p>
            <w:r/>
            <w:r>
              <w:t>Incident and loss-event recording</w:t>
            </w:r>
          </w:p>
        </w:tc>
        <w:tc>
          <w:tcPr>
            <w:tcW w:type="dxa" w:w="4320"/>
          </w:tcPr>
          <w:p>
            <w:r/>
            <w:r>
              <w:t>RM-22</w:t>
            </w:r>
          </w:p>
        </w:tc>
      </w:tr>
      <w:tr>
        <w:tc>
          <w:tcPr>
            <w:tcW w:type="dxa" w:w="4320"/>
          </w:tcPr>
          <w:p>
            <w:r/>
            <w:r>
              <w:t>Risk review attestation and scheduling</w:t>
            </w:r>
          </w:p>
        </w:tc>
        <w:tc>
          <w:tcPr>
            <w:tcW w:type="dxa" w:w="4320"/>
          </w:tcPr>
          <w:p>
            <w:r/>
            <w:r>
              <w:t>RM-23</w:t>
            </w:r>
          </w:p>
        </w:tc>
      </w:tr>
      <w:tr>
        <w:tc>
          <w:tcPr>
            <w:tcW w:type="dxa" w:w="4320"/>
          </w:tcPr>
          <w:p>
            <w:r/>
            <w:r>
              <w:t>Heatmap, trends, coverage, and board reports</w:t>
            </w:r>
          </w:p>
        </w:tc>
        <w:tc>
          <w:tcPr>
            <w:tcW w:type="dxa" w:w="4320"/>
          </w:tcPr>
          <w:p>
            <w:r/>
            <w:r>
              <w:t>RM-25 to RM-31</w:t>
            </w:r>
          </w:p>
        </w:tc>
      </w:tr>
      <w:tr>
        <w:tc>
          <w:tcPr>
            <w:tcW w:type="dxa" w:w="4320"/>
          </w:tcPr>
          <w:p>
            <w:r/>
            <w:r>
              <w:t>Control-failure feedback to residual risk (XL-A)</w:t>
            </w:r>
          </w:p>
        </w:tc>
        <w:tc>
          <w:tcPr>
            <w:tcW w:type="dxa" w:w="4320"/>
          </w:tcPr>
          <w:p>
            <w:r/>
            <w:r>
              <w:t>XL-A cross-module</w:t>
            </w:r>
          </w:p>
        </w:tc>
      </w:tr>
    </w:tbl>
    <w:p/>
    <w:p>
      <w:pPr>
        <w:pStyle w:val="Heading3"/>
      </w:pPr>
      <w:r>
        <w:t>How RM Replaces SAP GRC Risk Management</w:t>
      </w:r>
    </w:p>
    <w:p>
      <w:r>
        <w:t>SAP GRC Risk Management 12.0 reaches general maintenance end in December 2027 (extended support to 2030). GovernexPlus replaces it with:</w:t>
      </w:r>
    </w:p>
    <w:p>
      <w:pPr>
        <w:pStyle w:val="ListBullet"/>
      </w:pPr>
      <w:r>
        <w:t>No SAP Basis dependency — runs on PostgreSQL/SQLite with a standard Python/FastAPI stack</w:t>
      </w:r>
    </w:p>
    <w:p>
      <w:pPr>
        <w:pStyle w:val="ListBullet"/>
      </w:pPr>
      <w:r>
        <w:t>SaaS economics — multi-tenant from the ground up, no per-landscape licensing</w:t>
      </w:r>
    </w:p>
    <w:p>
      <w:pPr>
        <w:pStyle w:val="ListBullet"/>
      </w:pPr>
      <w:r>
        <w:t>Actionable risk — KRIs connect to live data rather than requiring manual uploads</w:t>
      </w:r>
    </w:p>
    <w:p>
      <w:pPr>
        <w:pStyle w:val="ListBullet"/>
      </w:pPr>
      <w:r>
        <w:t>XL-A integration — control failures from the Process Control module automatically adjust the system-indicated residual risk score</w:t>
      </w:r>
    </w:p>
    <w:p>
      <w:pPr>
        <w:pStyle w:val="ListBullet"/>
      </w:pPr>
      <w:r>
        <w:t>LLM narratives — the AI assistant can generate plain-language board summaries directly from register data</w:t>
      </w:r>
    </w:p>
    <w:p>
      <w:pPr>
        <w:pStyle w:val="Heading3"/>
      </w:pPr>
      <w:r>
        <w:t>Key Statistics at a Glance</w:t>
      </w:r>
    </w:p>
    <w:p>
      <w:pPr>
        <w:pStyle w:val="ListBullet"/>
      </w:pPr>
      <w:r>
        <w:t>Risk categories: 6 (strategic, operational, financial, compliance, it_cyber, reputational)</w:t>
      </w:r>
    </w:p>
    <w:p>
      <w:pPr>
        <w:pStyle w:val="ListBullet"/>
      </w:pPr>
      <w:r>
        <w:t>Scoring dimensions: likelihood 1–5, impact 1–5, score = L × I (max 25)</w:t>
      </w:r>
    </w:p>
    <w:p>
      <w:pPr>
        <w:pStyle w:val="ListBullet"/>
      </w:pPr>
      <w:r>
        <w:t>Risk zones: low (1–5), medium (6–11), high (12–19), critical (20–25)</w:t>
      </w:r>
    </w:p>
    <w:p>
      <w:pPr>
        <w:pStyle w:val="ListBullet"/>
      </w:pPr>
      <w:r>
        <w:t>KRI statuses: normal, warning, breach</w:t>
      </w:r>
    </w:p>
    <w:p>
      <w:pPr>
        <w:pStyle w:val="ListBullet"/>
      </w:pPr>
      <w:r>
        <w:t>Response types: accept, mitigate, transfer, avoid</w:t>
      </w:r>
    </w:p>
    <w:p>
      <w:pPr>
        <w:pStyle w:val="ListBullet"/>
      </w:pPr>
      <w:r>
        <w:t>Assessment workflow states: draft, submitted, reviewed, approved</w:t>
      </w:r>
    </w:p>
    <w:p>
      <w:pPr>
        <w:pStyle w:val="ListBullet"/>
      </w:pPr>
      <w:r>
        <w:t>Incident states: reported, investigating, resolved, closed</w:t>
      </w:r>
    </w:p>
    <w:p>
      <w:r>
        <w:rPr>
          <w:color w:val="CCCCCC"/>
        </w:rPr>
        <w:t>____________________________________________________________</w:t>
      </w:r>
    </w:p>
    <w:p>
      <w:pPr>
        <w:pStyle w:val="Heading2"/>
      </w:pPr>
      <w:r>
        <w:t>2. Risk Register (RM-01 to RM-04)</w:t>
      </w:r>
    </w:p>
    <w:p>
      <w:r>
        <w:t>The risk register is the canonical source of truth for every identified organisational risk. All other RM sub-modules — assessments, appetite checks, KRIs, responses, incidents — link back to a record in the register.</w:t>
      </w:r>
    </w:p>
    <w:p>
      <w:pPr>
        <w:pStyle w:val="Heading3"/>
      </w:pPr>
      <w:r>
        <w:t>2.1 Risk Structure</w:t>
      </w:r>
    </w:p>
    <w:p>
      <w:r>
        <w:t xml:space="preserve">Each </w:t>
      </w:r>
      <w:r>
        <w:rPr>
          <w:rFonts w:ascii="Consolas" w:hAnsi="Consolas"/>
          <w:color w:val="1A1A2E"/>
          <w:sz w:val="18"/>
        </w:rPr>
        <w:t>EnterpriseRisk</w:t>
      </w:r>
      <w:r>
        <w:t xml:space="preserve"> record carries the following key fields: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Description</w:t>
            </w:r>
          </w:p>
        </w:tc>
      </w:tr>
      <w:tr>
        <w:tc>
          <w:tcPr>
            <w:tcW w:type="dxa" w:w="2880"/>
          </w:tcPr>
          <w:p>
            <w:r/>
            <w:r/>
            <w:r>
              <w:rPr>
                <w:rFonts w:ascii="Consolas" w:hAnsi="Consolas"/>
                <w:color w:val="1A1A2E"/>
                <w:sz w:val="18"/>
              </w:rPr>
              <w:t>risk_id</w:t>
            </w:r>
            <w:r/>
          </w:p>
        </w:tc>
        <w:tc>
          <w:tcPr>
            <w:tcW w:type="dxa" w:w="2880"/>
          </w:tcPr>
          <w:p>
            <w:r/>
            <w:r>
              <w:t>string</w:t>
            </w:r>
          </w:p>
        </w:tc>
        <w:tc>
          <w:tcPr>
            <w:tcW w:type="dxa" w:w="2880"/>
          </w:tcPr>
          <w:p>
            <w:r/>
            <w:r>
              <w:t xml:space="preserve">Unique identifier within the tenant (e.g. </w:t>
            </w:r>
            <w:r>
              <w:rPr>
                <w:rFonts w:ascii="Consolas" w:hAnsi="Consolas"/>
                <w:color w:val="1A1A2E"/>
                <w:sz w:val="18"/>
              </w:rPr>
              <w:t>RISK_a3f7b2c81d04</w:t>
            </w:r>
            <w:r>
              <w:t>)</w:t>
            </w:r>
          </w:p>
        </w:tc>
      </w:tr>
      <w:tr>
        <w:tc>
          <w:tcPr>
            <w:tcW w:type="dxa" w:w="2880"/>
          </w:tcPr>
          <w:p>
            <w:r/>
            <w:r/>
            <w:r>
              <w:rPr>
                <w:rFonts w:ascii="Consolas" w:hAnsi="Consolas"/>
                <w:color w:val="1A1A2E"/>
                <w:sz w:val="18"/>
              </w:rPr>
              <w:t>title</w:t>
            </w:r>
            <w:r/>
          </w:p>
        </w:tc>
        <w:tc>
          <w:tcPr>
            <w:tcW w:type="dxa" w:w="2880"/>
          </w:tcPr>
          <w:p>
            <w:r/>
            <w:r>
              <w:t>string</w:t>
            </w:r>
          </w:p>
        </w:tc>
        <w:tc>
          <w:tcPr>
            <w:tcW w:type="dxa" w:w="2880"/>
          </w:tcPr>
          <w:p>
            <w:r/>
            <w:r>
              <w:t>Short, clear risk title (English)</w:t>
            </w:r>
          </w:p>
        </w:tc>
      </w:tr>
      <w:tr>
        <w:tc>
          <w:tcPr>
            <w:tcW w:type="dxa" w:w="2880"/>
          </w:tcPr>
          <w:p>
            <w:r/>
            <w:r/>
            <w:r>
              <w:rPr>
                <w:rFonts w:ascii="Consolas" w:hAnsi="Consolas"/>
                <w:color w:val="1A1A2E"/>
                <w:sz w:val="18"/>
              </w:rPr>
              <w:t>description</w:t>
            </w:r>
            <w:r/>
          </w:p>
        </w:tc>
        <w:tc>
          <w:tcPr>
            <w:tcW w:type="dxa" w:w="2880"/>
          </w:tcPr>
          <w:p>
            <w:r/>
            <w:r>
              <w:t>text</w:t>
            </w:r>
          </w:p>
        </w:tc>
        <w:tc>
          <w:tcPr>
            <w:tcW w:type="dxa" w:w="2880"/>
          </w:tcPr>
          <w:p>
            <w:r/>
            <w:r>
              <w:t>Full description in English</w:t>
            </w:r>
          </w:p>
        </w:tc>
      </w:tr>
      <w:tr>
        <w:tc>
          <w:tcPr>
            <w:tcW w:type="dxa" w:w="2880"/>
          </w:tcPr>
          <w:p>
            <w:r/>
            <w:r/>
            <w:r>
              <w:rPr>
                <w:rFonts w:ascii="Consolas" w:hAnsi="Consolas"/>
                <w:color w:val="1A1A2E"/>
                <w:sz w:val="18"/>
              </w:rPr>
              <w:t>description_ar</w:t>
            </w:r>
            <w:r/>
          </w:p>
        </w:tc>
        <w:tc>
          <w:tcPr>
            <w:tcW w:type="dxa" w:w="2880"/>
          </w:tcPr>
          <w:p>
            <w:r/>
            <w:r>
              <w:t>text</w:t>
            </w:r>
          </w:p>
        </w:tc>
        <w:tc>
          <w:tcPr>
            <w:tcW w:type="dxa" w:w="2880"/>
          </w:tcPr>
          <w:p>
            <w:r/>
            <w:r>
              <w:t>Full description in Arabic (bilingual tenants)</w:t>
            </w:r>
          </w:p>
        </w:tc>
      </w:tr>
      <w:tr>
        <w:tc>
          <w:tcPr>
            <w:tcW w:type="dxa" w:w="2880"/>
          </w:tcPr>
          <w:p>
            <w:r/>
            <w:r/>
            <w:r>
              <w:rPr>
                <w:rFonts w:ascii="Consolas" w:hAnsi="Consolas"/>
                <w:color w:val="1A1A2E"/>
                <w:sz w:val="18"/>
              </w:rPr>
              <w:t>category</w:t>
            </w:r>
            <w:r/>
          </w:p>
        </w:tc>
        <w:tc>
          <w:tcPr>
            <w:tcW w:type="dxa" w:w="2880"/>
          </w:tcPr>
          <w:p>
            <w:r/>
            <w:r>
              <w:t>enum</w:t>
            </w:r>
          </w:p>
        </w:tc>
        <w:tc>
          <w:tcPr>
            <w:tcW w:type="dxa" w:w="2880"/>
          </w:tcPr>
          <w:p>
            <w:r/>
            <w:r/>
            <w:r>
              <w:rPr>
                <w:rFonts w:ascii="Consolas" w:hAnsi="Consolas"/>
                <w:color w:val="1A1A2E"/>
                <w:sz w:val="18"/>
              </w:rPr>
              <w:t>strategic</w:t>
            </w:r>
            <w:r>
              <w:t xml:space="preserve">, </w:t>
            </w:r>
            <w:r>
              <w:rPr>
                <w:rFonts w:ascii="Consolas" w:hAnsi="Consolas"/>
                <w:color w:val="1A1A2E"/>
                <w:sz w:val="18"/>
              </w:rPr>
              <w:t>operational</w:t>
            </w:r>
            <w:r>
              <w:t xml:space="preserve">, </w:t>
            </w:r>
            <w:r>
              <w:rPr>
                <w:rFonts w:ascii="Consolas" w:hAnsi="Consolas"/>
                <w:color w:val="1A1A2E"/>
                <w:sz w:val="18"/>
              </w:rPr>
              <w:t>financial</w:t>
            </w:r>
            <w:r>
              <w:t xml:space="preserve">, </w:t>
            </w:r>
            <w:r>
              <w:rPr>
                <w:rFonts w:ascii="Consolas" w:hAnsi="Consolas"/>
                <w:color w:val="1A1A2E"/>
                <w:sz w:val="18"/>
              </w:rPr>
              <w:t>compliance</w:t>
            </w:r>
            <w:r>
              <w:t xml:space="preserve">, </w:t>
            </w:r>
            <w:r>
              <w:rPr>
                <w:rFonts w:ascii="Consolas" w:hAnsi="Consolas"/>
                <w:color w:val="1A1A2E"/>
                <w:sz w:val="18"/>
              </w:rPr>
              <w:t>it_cyber</w:t>
            </w:r>
            <w:r>
              <w:t xml:space="preserve">, </w:t>
            </w:r>
            <w:r>
              <w:rPr>
                <w:rFonts w:ascii="Consolas" w:hAnsi="Consolas"/>
                <w:color w:val="1A1A2E"/>
                <w:sz w:val="18"/>
              </w:rPr>
              <w:t>reputational</w:t>
            </w:r>
            <w:r/>
          </w:p>
        </w:tc>
      </w:tr>
      <w:tr>
        <w:tc>
          <w:tcPr>
            <w:tcW w:type="dxa" w:w="2880"/>
          </w:tcPr>
          <w:p>
            <w:r/>
            <w:r/>
            <w:r>
              <w:rPr>
                <w:rFonts w:ascii="Consolas" w:hAnsi="Consolas"/>
                <w:color w:val="1A1A2E"/>
                <w:sz w:val="18"/>
              </w:rPr>
              <w:t>org_unit_id</w:t>
            </w:r>
            <w:r/>
          </w:p>
        </w:tc>
        <w:tc>
          <w:tcPr>
            <w:tcW w:type="dxa" w:w="2880"/>
          </w:tcPr>
          <w:p>
            <w:r/>
            <w:r>
              <w:t>integer</w:t>
            </w:r>
          </w:p>
        </w:tc>
        <w:tc>
          <w:tcPr>
            <w:tcW w:type="dxa" w:w="2880"/>
          </w:tcPr>
          <w:p>
            <w:r/>
            <w:r>
              <w:t>Foreign key to organisational unit</w:t>
            </w:r>
          </w:p>
        </w:tc>
      </w:tr>
      <w:tr>
        <w:tc>
          <w:tcPr>
            <w:tcW w:type="dxa" w:w="2880"/>
          </w:tcPr>
          <w:p>
            <w:r/>
            <w:r/>
            <w:r>
              <w:rPr>
                <w:rFonts w:ascii="Consolas" w:hAnsi="Consolas"/>
                <w:color w:val="1A1A2E"/>
                <w:sz w:val="18"/>
              </w:rPr>
              <w:t>risk_owner_id</w:t>
            </w:r>
            <w:r/>
          </w:p>
        </w:tc>
        <w:tc>
          <w:tcPr>
            <w:tcW w:type="dxa" w:w="2880"/>
          </w:tcPr>
          <w:p>
            <w:r/>
            <w:r>
              <w:t>string</w:t>
            </w:r>
          </w:p>
        </w:tc>
        <w:tc>
          <w:tcPr>
            <w:tcW w:type="dxa" w:w="2880"/>
          </w:tcPr>
          <w:p>
            <w:r/>
            <w:r>
              <w:t>User ID of the assigned risk owner</w:t>
            </w:r>
          </w:p>
        </w:tc>
      </w:tr>
      <w:tr>
        <w:tc>
          <w:tcPr>
            <w:tcW w:type="dxa" w:w="2880"/>
          </w:tcPr>
          <w:p>
            <w:r/>
            <w:r/>
            <w:r>
              <w:rPr>
                <w:rFonts w:ascii="Consolas" w:hAnsi="Consolas"/>
                <w:color w:val="1A1A2E"/>
                <w:sz w:val="18"/>
              </w:rPr>
              <w:t>risk_owner_name</w:t>
            </w:r>
            <w:r/>
          </w:p>
        </w:tc>
        <w:tc>
          <w:tcPr>
            <w:tcW w:type="dxa" w:w="2880"/>
          </w:tcPr>
          <w:p>
            <w:r/>
            <w:r>
              <w:t>string</w:t>
            </w:r>
          </w:p>
        </w:tc>
        <w:tc>
          <w:tcPr>
            <w:tcW w:type="dxa" w:w="2880"/>
          </w:tcPr>
          <w:p>
            <w:r/>
            <w:r>
              <w:t>Display name of the risk owner (denormalised for reporting)</w:t>
            </w:r>
          </w:p>
        </w:tc>
      </w:tr>
      <w:tr>
        <w:tc>
          <w:tcPr>
            <w:tcW w:type="dxa" w:w="2880"/>
          </w:tcPr>
          <w:p>
            <w:r/>
            <w:r/>
            <w:r>
              <w:rPr>
                <w:rFonts w:ascii="Consolas" w:hAnsi="Consolas"/>
                <w:color w:val="1A1A2E"/>
                <w:sz w:val="18"/>
              </w:rPr>
              <w:t>status</w:t>
            </w:r>
            <w:r/>
          </w:p>
        </w:tc>
        <w:tc>
          <w:tcPr>
            <w:tcW w:type="dxa" w:w="2880"/>
          </w:tcPr>
          <w:p>
            <w:r/>
            <w:r>
              <w:t>enum</w:t>
            </w:r>
          </w:p>
        </w:tc>
        <w:tc>
          <w:tcPr>
            <w:tcW w:type="dxa" w:w="2880"/>
          </w:tcPr>
          <w:p>
            <w:r/>
            <w:r>
              <w:t>Current lifecycle status</w:t>
            </w:r>
          </w:p>
        </w:tc>
      </w:tr>
      <w:tr>
        <w:tc>
          <w:tcPr>
            <w:tcW w:type="dxa" w:w="2880"/>
          </w:tcPr>
          <w:p>
            <w:r/>
            <w:r/>
            <w:r>
              <w:rPr>
                <w:rFonts w:ascii="Consolas" w:hAnsi="Consolas"/>
                <w:color w:val="1A1A2E"/>
                <w:sz w:val="18"/>
              </w:rPr>
              <w:t>next_review_date</w:t>
            </w:r>
            <w:r/>
          </w:p>
        </w:tc>
        <w:tc>
          <w:tcPr>
            <w:tcW w:type="dxa" w:w="2880"/>
          </w:tcPr>
          <w:p>
            <w:r/>
            <w:r>
              <w:t>datetime</w:t>
            </w:r>
          </w:p>
        </w:tc>
        <w:tc>
          <w:tcPr>
            <w:tcW w:type="dxa" w:w="2880"/>
          </w:tcPr>
          <w:p>
            <w:r/>
            <w:r>
              <w:t>Scheduled next review</w:t>
            </w:r>
          </w:p>
        </w:tc>
      </w:tr>
      <w:tr>
        <w:tc>
          <w:tcPr>
            <w:tcW w:type="dxa" w:w="2880"/>
          </w:tcPr>
          <w:p>
            <w:r/>
            <w:r/>
            <w:r>
              <w:rPr>
                <w:rFonts w:ascii="Consolas" w:hAnsi="Consolas"/>
                <w:color w:val="1A1A2E"/>
                <w:sz w:val="18"/>
              </w:rPr>
              <w:t>review_frequency</w:t>
            </w:r>
            <w:r/>
          </w:p>
        </w:tc>
        <w:tc>
          <w:tcPr>
            <w:tcW w:type="dxa" w:w="2880"/>
          </w:tcPr>
          <w:p>
            <w:r/>
            <w:r>
              <w:t>string</w:t>
            </w:r>
          </w:p>
        </w:tc>
        <w:tc>
          <w:tcPr>
            <w:tcW w:type="dxa" w:w="2880"/>
          </w:tcPr>
          <w:p>
            <w:r/>
            <w:r/>
            <w:r>
              <w:rPr>
                <w:rFonts w:ascii="Consolas" w:hAnsi="Consolas"/>
                <w:color w:val="1A1A2E"/>
                <w:sz w:val="18"/>
              </w:rPr>
              <w:t>monthly</w:t>
            </w:r>
            <w:r>
              <w:t xml:space="preserve">, </w:t>
            </w:r>
            <w:r>
              <w:rPr>
                <w:rFonts w:ascii="Consolas" w:hAnsi="Consolas"/>
                <w:color w:val="1A1A2E"/>
                <w:sz w:val="18"/>
              </w:rPr>
              <w:t>quarterly</w:t>
            </w:r>
            <w:r>
              <w:t xml:space="preserve">, </w:t>
            </w:r>
            <w:r>
              <w:rPr>
                <w:rFonts w:ascii="Consolas" w:hAnsi="Consolas"/>
                <w:color w:val="1A1A2E"/>
                <w:sz w:val="18"/>
              </w:rPr>
              <w:t>semi_annual</w:t>
            </w:r>
            <w:r>
              <w:t xml:space="preserve">, </w:t>
            </w:r>
            <w:r>
              <w:rPr>
                <w:rFonts w:ascii="Consolas" w:hAnsi="Consolas"/>
                <w:color w:val="1A1A2E"/>
                <w:sz w:val="18"/>
              </w:rPr>
              <w:t>annual</w:t>
            </w:r>
            <w:r/>
          </w:p>
        </w:tc>
      </w:tr>
      <w:tr>
        <w:tc>
          <w:tcPr>
            <w:tcW w:type="dxa" w:w="2880"/>
          </w:tcPr>
          <w:p>
            <w:r/>
            <w:r/>
            <w:r>
              <w:rPr>
                <w:rFonts w:ascii="Consolas" w:hAnsi="Consolas"/>
                <w:color w:val="1A1A2E"/>
                <w:sz w:val="18"/>
              </w:rPr>
              <w:t>related_control_ids</w:t>
            </w:r>
            <w:r/>
          </w:p>
        </w:tc>
        <w:tc>
          <w:tcPr>
            <w:tcW w:type="dxa" w:w="2880"/>
          </w:tcPr>
          <w:p>
            <w:r/>
            <w:r>
              <w:t>JSON array</w:t>
            </w:r>
          </w:p>
        </w:tc>
        <w:tc>
          <w:tcPr>
            <w:tcW w:type="dxa" w:w="2880"/>
          </w:tcPr>
          <w:p>
            <w:r/>
            <w:r>
              <w:t>List of ProcessControl IDs that address this risk</w:t>
            </w:r>
          </w:p>
        </w:tc>
      </w:tr>
      <w:tr>
        <w:tc>
          <w:tcPr>
            <w:tcW w:type="dxa" w:w="2880"/>
          </w:tcPr>
          <w:p>
            <w:r/>
            <w:r/>
            <w:r>
              <w:rPr>
                <w:rFonts w:ascii="Consolas" w:hAnsi="Consolas"/>
                <w:color w:val="1A1A2E"/>
                <w:sz w:val="18"/>
              </w:rPr>
              <w:t>related_finding_ids</w:t>
            </w:r>
            <w:r/>
          </w:p>
        </w:tc>
        <w:tc>
          <w:tcPr>
            <w:tcW w:type="dxa" w:w="2880"/>
          </w:tcPr>
          <w:p>
            <w:r/>
            <w:r>
              <w:t>JSON array</w:t>
            </w:r>
          </w:p>
        </w:tc>
        <w:tc>
          <w:tcPr>
            <w:tcW w:type="dxa" w:w="2880"/>
          </w:tcPr>
          <w:p>
            <w:r/>
            <w:r>
              <w:t>List of AuditFinding IDs linked to this risk</w:t>
            </w:r>
          </w:p>
        </w:tc>
      </w:tr>
      <w:tr>
        <w:tc>
          <w:tcPr>
            <w:tcW w:type="dxa" w:w="2880"/>
          </w:tcPr>
          <w:p>
            <w:r/>
            <w:r/>
            <w:r>
              <w:rPr>
                <w:rFonts w:ascii="Consolas" w:hAnsi="Consolas"/>
                <w:color w:val="1A1A2E"/>
                <w:sz w:val="18"/>
              </w:rPr>
              <w:t>is_active</w:t>
            </w:r>
            <w:r/>
          </w:p>
        </w:tc>
        <w:tc>
          <w:tcPr>
            <w:tcW w:type="dxa" w:w="2880"/>
          </w:tcPr>
          <w:p>
            <w:r/>
            <w:r>
              <w:t>boolean</w:t>
            </w:r>
          </w:p>
        </w:tc>
        <w:tc>
          <w:tcPr>
            <w:tcW w:type="dxa" w:w="2880"/>
          </w:tcPr>
          <w:p>
            <w:r/>
            <w:r>
              <w:t>Soft-delete flag</w:t>
            </w:r>
          </w:p>
        </w:tc>
      </w:tr>
    </w:tbl>
    <w:p/>
    <w:p>
      <w:r/>
      <w:r>
        <w:rPr>
          <w:b/>
        </w:rPr>
        <w:t>Scoring fields: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Description</w:t>
            </w:r>
          </w:p>
        </w:tc>
      </w:tr>
      <w:tr>
        <w:tc>
          <w:tcPr>
            <w:tcW w:type="dxa" w:w="2880"/>
          </w:tcPr>
          <w:p>
            <w:r/>
            <w:r/>
            <w:r>
              <w:rPr>
                <w:rFonts w:ascii="Consolas" w:hAnsi="Consolas"/>
                <w:color w:val="1A1A2E"/>
                <w:sz w:val="18"/>
              </w:rPr>
              <w:t>inherent_likelihood</w:t>
            </w:r>
            <w:r/>
          </w:p>
        </w:tc>
        <w:tc>
          <w:tcPr>
            <w:tcW w:type="dxa" w:w="2880"/>
          </w:tcPr>
          <w:p>
            <w:r/>
            <w:r>
              <w:t>integer 1–5</w:t>
            </w:r>
          </w:p>
        </w:tc>
        <w:tc>
          <w:tcPr>
            <w:tcW w:type="dxa" w:w="2880"/>
          </w:tcPr>
          <w:p>
            <w:r/>
            <w:r>
              <w:t>Likelihood before controls</w:t>
            </w:r>
          </w:p>
        </w:tc>
      </w:tr>
      <w:tr>
        <w:tc>
          <w:tcPr>
            <w:tcW w:type="dxa" w:w="2880"/>
          </w:tcPr>
          <w:p>
            <w:r/>
            <w:r/>
            <w:r>
              <w:rPr>
                <w:rFonts w:ascii="Consolas" w:hAnsi="Consolas"/>
                <w:color w:val="1A1A2E"/>
                <w:sz w:val="18"/>
              </w:rPr>
              <w:t>inherent_impact</w:t>
            </w:r>
            <w:r/>
          </w:p>
        </w:tc>
        <w:tc>
          <w:tcPr>
            <w:tcW w:type="dxa" w:w="2880"/>
          </w:tcPr>
          <w:p>
            <w:r/>
            <w:r>
              <w:t>integer 1–5</w:t>
            </w:r>
          </w:p>
        </w:tc>
        <w:tc>
          <w:tcPr>
            <w:tcW w:type="dxa" w:w="2880"/>
          </w:tcPr>
          <w:p>
            <w:r/>
            <w:r>
              <w:t>Impact before controls</w:t>
            </w:r>
          </w:p>
        </w:tc>
      </w:tr>
      <w:tr>
        <w:tc>
          <w:tcPr>
            <w:tcW w:type="dxa" w:w="2880"/>
          </w:tcPr>
          <w:p>
            <w:r/>
            <w:r/>
            <w:r>
              <w:rPr>
                <w:rFonts w:ascii="Consolas" w:hAnsi="Consolas"/>
                <w:color w:val="1A1A2E"/>
                <w:sz w:val="18"/>
              </w:rPr>
              <w:t>inherent_score</w:t>
            </w:r>
            <w:r/>
          </w:p>
        </w:tc>
        <w:tc>
          <w:tcPr>
            <w:tcW w:type="dxa" w:w="2880"/>
          </w:tcPr>
          <w:p>
            <w:r/>
            <w:r>
              <w:t>float</w:t>
            </w:r>
          </w:p>
        </w:tc>
        <w:tc>
          <w:tcPr>
            <w:tcW w:type="dxa" w:w="2880"/>
          </w:tcPr>
          <w:p>
            <w:r/>
            <w:r/>
            <w:r>
              <w:rPr>
                <w:rFonts w:ascii="Consolas" w:hAnsi="Consolas"/>
                <w:color w:val="1A1A2E"/>
                <w:sz w:val="18"/>
              </w:rPr>
              <w:t>inherent_likelihood × inherent_impact</w:t>
            </w:r>
            <w:r/>
          </w:p>
        </w:tc>
      </w:tr>
      <w:tr>
        <w:tc>
          <w:tcPr>
            <w:tcW w:type="dxa" w:w="2880"/>
          </w:tcPr>
          <w:p>
            <w:r/>
            <w:r/>
            <w:r>
              <w:rPr>
                <w:rFonts w:ascii="Consolas" w:hAnsi="Consolas"/>
                <w:color w:val="1A1A2E"/>
                <w:sz w:val="18"/>
              </w:rPr>
              <w:t>residual_likelihood</w:t>
            </w:r>
            <w:r/>
          </w:p>
        </w:tc>
        <w:tc>
          <w:tcPr>
            <w:tcW w:type="dxa" w:w="2880"/>
          </w:tcPr>
          <w:p>
            <w:r/>
            <w:r>
              <w:t>integer 1–5</w:t>
            </w:r>
          </w:p>
        </w:tc>
        <w:tc>
          <w:tcPr>
            <w:tcW w:type="dxa" w:w="2880"/>
          </w:tcPr>
          <w:p>
            <w:r/>
            <w:r>
              <w:t>Likelihood after controls (assessor-owned)</w:t>
            </w:r>
          </w:p>
        </w:tc>
      </w:tr>
      <w:tr>
        <w:tc>
          <w:tcPr>
            <w:tcW w:type="dxa" w:w="2880"/>
          </w:tcPr>
          <w:p>
            <w:r/>
            <w:r/>
            <w:r>
              <w:rPr>
                <w:rFonts w:ascii="Consolas" w:hAnsi="Consolas"/>
                <w:color w:val="1A1A2E"/>
                <w:sz w:val="18"/>
              </w:rPr>
              <w:t>residual_impact</w:t>
            </w:r>
            <w:r/>
          </w:p>
        </w:tc>
        <w:tc>
          <w:tcPr>
            <w:tcW w:type="dxa" w:w="2880"/>
          </w:tcPr>
          <w:p>
            <w:r/>
            <w:r>
              <w:t>integer 1–5</w:t>
            </w:r>
          </w:p>
        </w:tc>
        <w:tc>
          <w:tcPr>
            <w:tcW w:type="dxa" w:w="2880"/>
          </w:tcPr>
          <w:p>
            <w:r/>
            <w:r>
              <w:t>Impact after controls (assessor-owned)</w:t>
            </w:r>
          </w:p>
        </w:tc>
      </w:tr>
      <w:tr>
        <w:tc>
          <w:tcPr>
            <w:tcW w:type="dxa" w:w="2880"/>
          </w:tcPr>
          <w:p>
            <w:r/>
            <w:r/>
            <w:r>
              <w:rPr>
                <w:rFonts w:ascii="Consolas" w:hAnsi="Consolas"/>
                <w:color w:val="1A1A2E"/>
                <w:sz w:val="18"/>
              </w:rPr>
              <w:t>residual_score</w:t>
            </w:r>
            <w:r/>
          </w:p>
        </w:tc>
        <w:tc>
          <w:tcPr>
            <w:tcW w:type="dxa" w:w="2880"/>
          </w:tcPr>
          <w:p>
            <w:r/>
            <w:r>
              <w:t>float</w:t>
            </w:r>
          </w:p>
        </w:tc>
        <w:tc>
          <w:tcPr>
            <w:tcW w:type="dxa" w:w="2880"/>
          </w:tcPr>
          <w:p>
            <w:r/>
            <w:r/>
            <w:r>
              <w:rPr>
                <w:rFonts w:ascii="Consolas" w:hAnsi="Consolas"/>
                <w:color w:val="1A1A2E"/>
                <w:sz w:val="18"/>
              </w:rPr>
              <w:t>residual_likelihood × residual_impact</w:t>
            </w:r>
            <w:r>
              <w:t xml:space="preserve"> (assessor-owned)</w:t>
            </w:r>
          </w:p>
        </w:tc>
      </w:tr>
      <w:tr>
        <w:tc>
          <w:tcPr>
            <w:tcW w:type="dxa" w:w="2880"/>
          </w:tcPr>
          <w:p>
            <w:r/>
            <w:r/>
            <w:r>
              <w:rPr>
                <w:rFonts w:ascii="Consolas" w:hAnsi="Consolas"/>
                <w:color w:val="1A1A2E"/>
                <w:sz w:val="18"/>
              </w:rPr>
              <w:t>control_coverage</w:t>
            </w:r>
            <w:r/>
          </w:p>
        </w:tc>
        <w:tc>
          <w:tcPr>
            <w:tcW w:type="dxa" w:w="2880"/>
          </w:tcPr>
          <w:p>
            <w:r/>
            <w:r>
              <w:t>string</w:t>
            </w:r>
          </w:p>
        </w:tc>
        <w:tc>
          <w:tcPr>
            <w:tcW w:type="dxa" w:w="2880"/>
          </w:tcPr>
          <w:p>
            <w:r/>
            <w:r/>
            <w:r>
              <w:rPr>
                <w:rFonts w:ascii="Consolas" w:hAnsi="Consolas"/>
                <w:color w:val="1A1A2E"/>
                <w:sz w:val="18"/>
              </w:rPr>
              <w:t>effective</w:t>
            </w:r>
            <w:r>
              <w:t xml:space="preserve">, </w:t>
            </w:r>
            <w:r>
              <w:rPr>
                <w:rFonts w:ascii="Consolas" w:hAnsi="Consolas"/>
                <w:color w:val="1A1A2E"/>
                <w:sz w:val="18"/>
              </w:rPr>
              <w:t>degraded</w:t>
            </w:r>
            <w:r>
              <w:t xml:space="preserve">, </w:t>
            </w:r>
            <w:r>
              <w:rPr>
                <w:rFonts w:ascii="Consolas" w:hAnsi="Consolas"/>
                <w:color w:val="1A1A2E"/>
                <w:sz w:val="18"/>
              </w:rPr>
              <w:t>failed</w:t>
            </w:r>
            <w:r>
              <w:t xml:space="preserve">, </w:t>
            </w:r>
            <w:r>
              <w:rPr>
                <w:rFonts w:ascii="Consolas" w:hAnsi="Consolas"/>
                <w:color w:val="1A1A2E"/>
                <w:sz w:val="18"/>
              </w:rPr>
              <w:t>uncontrolled</w:t>
            </w:r>
            <w:r>
              <w:t xml:space="preserve"> (XL-A computed)</w:t>
            </w:r>
          </w:p>
        </w:tc>
      </w:tr>
      <w:tr>
        <w:tc>
          <w:tcPr>
            <w:tcW w:type="dxa" w:w="2880"/>
          </w:tcPr>
          <w:p>
            <w:r/>
            <w:r/>
            <w:r>
              <w:rPr>
                <w:rFonts w:ascii="Consolas" w:hAnsi="Consolas"/>
                <w:color w:val="1A1A2E"/>
                <w:sz w:val="18"/>
              </w:rPr>
              <w:t>system_indicated_residual</w:t>
            </w:r>
            <w:r/>
          </w:p>
        </w:tc>
        <w:tc>
          <w:tcPr>
            <w:tcW w:type="dxa" w:w="2880"/>
          </w:tcPr>
          <w:p>
            <w:r/>
            <w:r>
              <w:t>float</w:t>
            </w:r>
          </w:p>
        </w:tc>
        <w:tc>
          <w:tcPr>
            <w:tcW w:type="dxa" w:w="2880"/>
          </w:tcPr>
          <w:p>
            <w:r/>
            <w:r>
              <w:t>Residual score adjusted for control degradation (XL-A computed)</w:t>
            </w:r>
          </w:p>
        </w:tc>
      </w:tr>
      <w:tr>
        <w:tc>
          <w:tcPr>
            <w:tcW w:type="dxa" w:w="2880"/>
          </w:tcPr>
          <w:p>
            <w:r/>
            <w:r/>
            <w:r>
              <w:rPr>
                <w:rFonts w:ascii="Consolas" w:hAnsi="Consolas"/>
                <w:color w:val="1A1A2E"/>
                <w:sz w:val="18"/>
              </w:rPr>
              <w:t>coverage_computed_at</w:t>
            </w:r>
            <w:r/>
          </w:p>
        </w:tc>
        <w:tc>
          <w:tcPr>
            <w:tcW w:type="dxa" w:w="2880"/>
          </w:tcPr>
          <w:p>
            <w:r/>
            <w:r>
              <w:t>datetime</w:t>
            </w:r>
          </w:p>
        </w:tc>
        <w:tc>
          <w:tcPr>
            <w:tcW w:type="dxa" w:w="2880"/>
          </w:tcPr>
          <w:p>
            <w:r/>
            <w:r>
              <w:t>When XL-A last ran the coverage calculation</w:t>
            </w:r>
          </w:p>
        </w:tc>
      </w:tr>
    </w:tbl>
    <w:p/>
    <w:p>
      <w:r/>
      <w:r>
        <w:rPr>
          <w:b/>
        </w:rPr>
        <w:t>Appetite fields: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Description</w:t>
            </w:r>
          </w:p>
        </w:tc>
      </w:tr>
      <w:tr>
        <w:tc>
          <w:tcPr>
            <w:tcW w:type="dxa" w:w="2880"/>
          </w:tcPr>
          <w:p>
            <w:r/>
            <w:r/>
            <w:r>
              <w:rPr>
                <w:rFonts w:ascii="Consolas" w:hAnsi="Consolas"/>
                <w:color w:val="1A1A2E"/>
                <w:sz w:val="18"/>
              </w:rPr>
              <w:t>risk_appetite</w:t>
            </w:r>
            <w:r/>
          </w:p>
        </w:tc>
        <w:tc>
          <w:tcPr>
            <w:tcW w:type="dxa" w:w="2880"/>
          </w:tcPr>
          <w:p>
            <w:r/>
            <w:r>
              <w:t>float</w:t>
            </w:r>
          </w:p>
        </w:tc>
        <w:tc>
          <w:tcPr>
            <w:tcW w:type="dxa" w:w="2880"/>
          </w:tcPr>
          <w:p>
            <w:r/>
            <w:r>
              <w:t>Acceptable risk score for this specific risk</w:t>
            </w:r>
          </w:p>
        </w:tc>
      </w:tr>
      <w:tr>
        <w:tc>
          <w:tcPr>
            <w:tcW w:type="dxa" w:w="2880"/>
          </w:tcPr>
          <w:p>
            <w:r/>
            <w:r/>
            <w:r>
              <w:rPr>
                <w:rFonts w:ascii="Consolas" w:hAnsi="Consolas"/>
                <w:color w:val="1A1A2E"/>
                <w:sz w:val="18"/>
              </w:rPr>
              <w:t>risk_tolerance</w:t>
            </w:r>
            <w:r/>
          </w:p>
        </w:tc>
        <w:tc>
          <w:tcPr>
            <w:tcW w:type="dxa" w:w="2880"/>
          </w:tcPr>
          <w:p>
            <w:r/>
            <w:r>
              <w:t>float</w:t>
            </w:r>
          </w:p>
        </w:tc>
        <w:tc>
          <w:tcPr>
            <w:tcW w:type="dxa" w:w="2880"/>
          </w:tcPr>
          <w:p>
            <w:r/>
            <w:r>
              <w:t>Maximum tolerable score before escalation</w:t>
            </w:r>
          </w:p>
        </w:tc>
      </w:tr>
    </w:tbl>
    <w:p/>
    <w:p>
      <w:pPr>
        <w:pStyle w:val="Heading3"/>
      </w:pPr>
      <w:r>
        <w:t>2.2 Risk Scoring</w:t>
      </w:r>
    </w:p>
    <w:p>
      <w:r>
        <w:t>The scoring model uses a standard 5×5 likelihood-impact matrix. Scores are computed as:</w:t>
      </w:r>
    </w:p>
    <w:p>
      <w:pPr>
        <w:ind w:left="432"/>
      </w:pPr>
      <w:r>
        <w:rPr>
          <w:rFonts w:ascii="Consolas" w:hAnsi="Consolas"/>
          <w:color w:val="333333"/>
          <w:sz w:val="18"/>
        </w:rPr>
        <w:t>score = likelihood × impact</w:t>
        <w:br/>
      </w:r>
    </w:p>
    <w:p>
      <w:r>
        <w:t>Zone boundaries applied throughout the module: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Zone</w:t>
            </w:r>
          </w:p>
        </w:tc>
        <w:tc>
          <w:tcPr>
            <w:tcW w:type="dxa" w:w="2880"/>
          </w:tcPr>
          <w:p>
            <w:r>
              <w:rPr>
                <w:b/>
              </w:rPr>
            </w:r>
            <w:r>
              <w:rPr>
                <w:b/>
              </w:rPr>
              <w:t>Score Range</w:t>
            </w:r>
          </w:p>
        </w:tc>
        <w:tc>
          <w:tcPr>
            <w:tcW w:type="dxa" w:w="2880"/>
          </w:tcPr>
          <w:p>
            <w:r>
              <w:rPr>
                <w:b/>
              </w:rPr>
            </w:r>
            <w:r>
              <w:rPr>
                <w:b/>
              </w:rPr>
              <w:t>Colour</w:t>
            </w:r>
          </w:p>
        </w:tc>
      </w:tr>
      <w:tr>
        <w:tc>
          <w:tcPr>
            <w:tcW w:type="dxa" w:w="2880"/>
          </w:tcPr>
          <w:p>
            <w:r/>
            <w:r>
              <w:t>Low</w:t>
            </w:r>
          </w:p>
        </w:tc>
        <w:tc>
          <w:tcPr>
            <w:tcW w:type="dxa" w:w="2880"/>
          </w:tcPr>
          <w:p>
            <w:r/>
            <w:r>
              <w:t>1–5</w:t>
            </w:r>
          </w:p>
        </w:tc>
        <w:tc>
          <w:tcPr>
            <w:tcW w:type="dxa" w:w="2880"/>
          </w:tcPr>
          <w:p>
            <w:r/>
            <w:r>
              <w:t>Green</w:t>
            </w:r>
          </w:p>
        </w:tc>
      </w:tr>
      <w:tr>
        <w:tc>
          <w:tcPr>
            <w:tcW w:type="dxa" w:w="2880"/>
          </w:tcPr>
          <w:p>
            <w:r/>
            <w:r>
              <w:t>Medium</w:t>
            </w:r>
          </w:p>
        </w:tc>
        <w:tc>
          <w:tcPr>
            <w:tcW w:type="dxa" w:w="2880"/>
          </w:tcPr>
          <w:p>
            <w:r/>
            <w:r>
              <w:t>6–11</w:t>
            </w:r>
          </w:p>
        </w:tc>
        <w:tc>
          <w:tcPr>
            <w:tcW w:type="dxa" w:w="2880"/>
          </w:tcPr>
          <w:p>
            <w:r/>
            <w:r>
              <w:t>Yellow</w:t>
            </w:r>
          </w:p>
        </w:tc>
      </w:tr>
      <w:tr>
        <w:tc>
          <w:tcPr>
            <w:tcW w:type="dxa" w:w="2880"/>
          </w:tcPr>
          <w:p>
            <w:r/>
            <w:r>
              <w:t>High</w:t>
            </w:r>
          </w:p>
        </w:tc>
        <w:tc>
          <w:tcPr>
            <w:tcW w:type="dxa" w:w="2880"/>
          </w:tcPr>
          <w:p>
            <w:r/>
            <w:r>
              <w:t>12–19</w:t>
            </w:r>
          </w:p>
        </w:tc>
        <w:tc>
          <w:tcPr>
            <w:tcW w:type="dxa" w:w="2880"/>
          </w:tcPr>
          <w:p>
            <w:r/>
            <w:r>
              <w:t>Amber</w:t>
            </w:r>
          </w:p>
        </w:tc>
      </w:tr>
      <w:tr>
        <w:tc>
          <w:tcPr>
            <w:tcW w:type="dxa" w:w="2880"/>
          </w:tcPr>
          <w:p>
            <w:r/>
            <w:r>
              <w:t>Critical</w:t>
            </w:r>
          </w:p>
        </w:tc>
        <w:tc>
          <w:tcPr>
            <w:tcW w:type="dxa" w:w="2880"/>
          </w:tcPr>
          <w:p>
            <w:r/>
            <w:r>
              <w:t>20–25</w:t>
            </w:r>
          </w:p>
        </w:tc>
        <w:tc>
          <w:tcPr>
            <w:tcW w:type="dxa" w:w="2880"/>
          </w:tcPr>
          <w:p>
            <w:r/>
            <w:r>
              <w:t>Red</w:t>
            </w:r>
          </w:p>
        </w:tc>
      </w:tr>
    </w:tbl>
    <w:p/>
    <w:p>
      <w:r/>
      <w:r>
        <w:rPr>
          <w:b/>
        </w:rPr>
        <w:t>Inherent score</w:t>
      </w:r>
      <w:r>
        <w:t xml:space="preserve"> reflects the risk if no controls exist. </w:t>
      </w:r>
      <w:r>
        <w:rPr>
          <w:b/>
        </w:rPr>
        <w:t>Residual score</w:t>
      </w:r>
      <w:r>
        <w:t xml:space="preserve"> reflects the risk after controls are in place, as assessed by the risk owner or assessment team. The </w:t>
      </w:r>
      <w:r>
        <w:rPr>
          <w:b/>
        </w:rPr>
        <w:t>system-indicated residual</w:t>
      </w:r>
      <w:r>
        <w:t xml:space="preserve"> (XL-A) adjusts the assessor's residual score upward when linked controls are found to be degraded or failed — providing an independent check that the assumed control effectiveness is warranted.</w:t>
      </w:r>
    </w:p>
    <w:p>
      <w:r>
        <w:t xml:space="preserve">The system never silently overwrites the assessor's </w:t>
      </w:r>
      <w:r>
        <w:rPr>
          <w:rFonts w:ascii="Consolas" w:hAnsi="Consolas"/>
          <w:color w:val="1A1A2E"/>
          <w:sz w:val="18"/>
        </w:rPr>
        <w:t>residual_score</w:t>
      </w:r>
      <w:r>
        <w:t>. The XL-A output is always stored in separate read-only fields (</w:t>
      </w:r>
      <w:r>
        <w:rPr>
          <w:rFonts w:ascii="Consolas" w:hAnsi="Consolas"/>
          <w:color w:val="1A1A2E"/>
          <w:sz w:val="18"/>
        </w:rPr>
        <w:t>control_coverage</w:t>
      </w:r>
      <w:r>
        <w:t xml:space="preserve">, </w:t>
      </w:r>
      <w:r>
        <w:rPr>
          <w:rFonts w:ascii="Consolas" w:hAnsi="Consolas"/>
          <w:color w:val="1A1A2E"/>
          <w:sz w:val="18"/>
        </w:rPr>
        <w:t>system_indicated_residual</w:t>
      </w:r>
      <w:r>
        <w:t xml:space="preserve">, </w:t>
      </w:r>
      <w:r>
        <w:rPr>
          <w:rFonts w:ascii="Consolas" w:hAnsi="Consolas"/>
          <w:color w:val="1A1A2E"/>
          <w:sz w:val="18"/>
        </w:rPr>
        <w:t>coverage_computed_at</w:t>
      </w:r>
      <w:r>
        <w:t>) so the auditor-owned residual remains unmodified.</w:t>
      </w:r>
    </w:p>
    <w:p>
      <w:pPr>
        <w:pStyle w:val="Heading3"/>
      </w:pPr>
      <w:r>
        <w:t>2.3 Creating a Risk</w:t>
      </w:r>
    </w:p>
    <w:p>
      <w:r/>
      <w:r>
        <w:rPr>
          <w:b/>
        </w:rPr>
        <w:t>Step 1.</w:t>
      </w:r>
      <w:r>
        <w:t xml:space="preserve"> Gather the risk information: title, category, responsible org unit, risk owner, inherent scores, and initial review schedule.</w:t>
      </w:r>
    </w:p>
    <w:p>
      <w:r/>
      <w:r>
        <w:rPr>
          <w:b/>
        </w:rPr>
        <w:t>Step 2.</w:t>
      </w:r>
      <w:r>
        <w:t xml:space="preserve"> Call </w:t>
      </w:r>
      <w:r>
        <w:rPr>
          <w:rFonts w:ascii="Consolas" w:hAnsi="Consolas"/>
          <w:color w:val="1A1A2E"/>
          <w:sz w:val="18"/>
        </w:rPr>
        <w:t>POST /api/rm/risks</w:t>
      </w:r>
      <w:r>
        <w:t>.</w:t>
      </w:r>
    </w:p>
    <w:p>
      <w:r/>
      <w:r>
        <w:rPr>
          <w:b/>
        </w:rPr>
        <w:t>Request:</w:t>
      </w:r>
      <w:r/>
    </w:p>
    <w:p>
      <w:pPr>
        <w:ind w:left="432"/>
      </w:pPr>
      <w:r>
        <w:rPr>
          <w:rFonts w:ascii="Consolas" w:hAnsi="Consolas"/>
          <w:color w:val="333333"/>
          <w:sz w:val="18"/>
        </w:rPr>
        <w:t>POST /api/rm/risks</w:t>
        <w:br/>
      </w:r>
      <w:r>
        <w:rPr>
          <w:rFonts w:ascii="Consolas" w:hAnsi="Consolas"/>
          <w:color w:val="333333"/>
          <w:sz w:val="18"/>
        </w:rPr>
        <w:t>Authorization: Bearer &lt;token&gt;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"Unauthorised Access to Financial Reporting Systems",</w:t>
        <w:br/>
      </w:r>
      <w:r>
        <w:rPr>
          <w:rFonts w:ascii="Consolas" w:hAnsi="Consolas"/>
          <w:color w:val="333333"/>
          <w:sz w:val="18"/>
        </w:rPr>
        <w:t xml:space="preserve">  "description": "Risk that users gain access to financial modules beyond their required job functions, enabling manipulation of financial statements.",</w:t>
        <w:br/>
      </w:r>
      <w:r>
        <w:rPr>
          <w:rFonts w:ascii="Consolas" w:hAnsi="Consolas"/>
          <w:color w:val="333333"/>
          <w:sz w:val="18"/>
        </w:rPr>
        <w:t xml:space="preserve">  "description_ar": "خطر حصول المستخدمين على صلاحيات تتجاوز متطلبات وظائفهم في الأنظمة المالية",</w:t>
        <w:br/>
      </w:r>
      <w:r>
        <w:rPr>
          <w:rFonts w:ascii="Consolas" w:hAnsi="Consolas"/>
          <w:color w:val="333333"/>
          <w:sz w:val="18"/>
        </w:rPr>
        <w:t xml:space="preserve">  "category": "it_cyber",</w:t>
        <w:br/>
      </w:r>
      <w:r>
        <w:rPr>
          <w:rFonts w:ascii="Consolas" w:hAnsi="Consolas"/>
          <w:color w:val="333333"/>
          <w:sz w:val="18"/>
        </w:rPr>
        <w:t xml:space="preserve">  "org_unit_id": 12,</w:t>
        <w:br/>
      </w:r>
      <w:r>
        <w:rPr>
          <w:rFonts w:ascii="Consolas" w:hAnsi="Consolas"/>
          <w:color w:val="333333"/>
          <w:sz w:val="18"/>
        </w:rPr>
        <w:t xml:space="preserve">  "risk_owner_id": "USR-0042",</w:t>
        <w:br/>
      </w:r>
      <w:r>
        <w:rPr>
          <w:rFonts w:ascii="Consolas" w:hAnsi="Consolas"/>
          <w:color w:val="333333"/>
          <w:sz w:val="18"/>
        </w:rPr>
        <w:t xml:space="preserve">  "risk_owner_name": "Ahmed Al-Rashid",</w:t>
        <w:br/>
      </w:r>
      <w:r>
        <w:rPr>
          <w:rFonts w:ascii="Consolas" w:hAnsi="Consolas"/>
          <w:color w:val="333333"/>
          <w:sz w:val="18"/>
        </w:rPr>
        <w:t xml:space="preserve">  "inherent_likelihood": 4,</w:t>
        <w:br/>
      </w:r>
      <w:r>
        <w:rPr>
          <w:rFonts w:ascii="Consolas" w:hAnsi="Consolas"/>
          <w:color w:val="333333"/>
          <w:sz w:val="18"/>
        </w:rPr>
        <w:t xml:space="preserve">  "inherent_impact": 5,</w:t>
        <w:br/>
      </w:r>
      <w:r>
        <w:rPr>
          <w:rFonts w:ascii="Consolas" w:hAnsi="Consolas"/>
          <w:color w:val="333333"/>
          <w:sz w:val="18"/>
        </w:rPr>
        <w:t xml:space="preserve">  "residual_likelihood": 2,</w:t>
        <w:br/>
      </w:r>
      <w:r>
        <w:rPr>
          <w:rFonts w:ascii="Consolas" w:hAnsi="Consolas"/>
          <w:color w:val="333333"/>
          <w:sz w:val="18"/>
        </w:rPr>
        <w:t xml:space="preserve">  "residual_impact": 4,</w:t>
        <w:br/>
      </w:r>
      <w:r>
        <w:rPr>
          <w:rFonts w:ascii="Consolas" w:hAnsi="Consolas"/>
          <w:color w:val="333333"/>
          <w:sz w:val="18"/>
        </w:rPr>
        <w:t xml:space="preserve">  "risk_appetite": 8,</w:t>
        <w:br/>
      </w:r>
      <w:r>
        <w:rPr>
          <w:rFonts w:ascii="Consolas" w:hAnsi="Consolas"/>
          <w:color w:val="333333"/>
          <w:sz w:val="18"/>
        </w:rPr>
        <w:t xml:space="preserve">  "risk_tolerance": 15,</w:t>
        <w:br/>
      </w:r>
      <w:r>
        <w:rPr>
          <w:rFonts w:ascii="Consolas" w:hAnsi="Consolas"/>
          <w:color w:val="333333"/>
          <w:sz w:val="18"/>
        </w:rPr>
        <w:t xml:space="preserve">  "review_frequency": "quarterly",</w:t>
        <w:br/>
      </w:r>
      <w:r>
        <w:rPr>
          <w:rFonts w:ascii="Consolas" w:hAnsi="Consolas"/>
          <w:color w:val="333333"/>
          <w:sz w:val="18"/>
        </w:rPr>
        <w:t xml:space="preserve">  "next_review_date": "2026-12-01T00:00:00",</w:t>
        <w:br/>
      </w:r>
      <w:r>
        <w:rPr>
          <w:rFonts w:ascii="Consolas" w:hAnsi="Consolas"/>
          <w:color w:val="333333"/>
          <w:sz w:val="18"/>
        </w:rPr>
        <w:t xml:space="preserve">  "related_control_ids": ["CTRL-001", "CTRL-008"]</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"risk_id": "RISK_a3f7b2c81d04",</w:t>
        <w:br/>
      </w:r>
      <w:r>
        <w:rPr>
          <w:rFonts w:ascii="Consolas" w:hAnsi="Consolas"/>
          <w:color w:val="333333"/>
          <w:sz w:val="18"/>
        </w:rPr>
        <w:t xml:space="preserve">  "tenant_id": "acme_corp",</w:t>
        <w:br/>
      </w:r>
      <w:r>
        <w:rPr>
          <w:rFonts w:ascii="Consolas" w:hAnsi="Consolas"/>
          <w:color w:val="333333"/>
          <w:sz w:val="18"/>
        </w:rPr>
        <w:t xml:space="preserve">  "title": "Unauthorised Access to Financial Reporting Systems",</w:t>
        <w:br/>
      </w:r>
      <w:r>
        <w:rPr>
          <w:rFonts w:ascii="Consolas" w:hAnsi="Consolas"/>
          <w:color w:val="333333"/>
          <w:sz w:val="18"/>
        </w:rPr>
        <w:t xml:space="preserve">  "description": "Risk that users gain access to financial modules...",</w:t>
        <w:br/>
      </w:r>
      <w:r>
        <w:rPr>
          <w:rFonts w:ascii="Consolas" w:hAnsi="Consolas"/>
          <w:color w:val="333333"/>
          <w:sz w:val="18"/>
        </w:rPr>
        <w:t xml:space="preserve">  "description_ar": "خطر حصول المستخدمين على صلاحيات تتجاوز متطلبات وظائفهم...",</w:t>
        <w:br/>
      </w:r>
      <w:r>
        <w:rPr>
          <w:rFonts w:ascii="Consolas" w:hAnsi="Consolas"/>
          <w:color w:val="333333"/>
          <w:sz w:val="18"/>
        </w:rPr>
        <w:t xml:space="preserve">  "category": "it_cyber",</w:t>
        <w:br/>
      </w:r>
      <w:r>
        <w:rPr>
          <w:rFonts w:ascii="Consolas" w:hAnsi="Consolas"/>
          <w:color w:val="333333"/>
          <w:sz w:val="18"/>
        </w:rPr>
        <w:t xml:space="preserve">  "org_unit_id": 12,</w:t>
        <w:br/>
      </w:r>
      <w:r>
        <w:rPr>
          <w:rFonts w:ascii="Consolas" w:hAnsi="Consolas"/>
          <w:color w:val="333333"/>
          <w:sz w:val="18"/>
        </w:rPr>
        <w:t xml:space="preserve">  "risk_owner_id": "USR-0042",</w:t>
        <w:br/>
      </w:r>
      <w:r>
        <w:rPr>
          <w:rFonts w:ascii="Consolas" w:hAnsi="Consolas"/>
          <w:color w:val="333333"/>
          <w:sz w:val="18"/>
        </w:rPr>
        <w:t xml:space="preserve">  "risk_owner_name": "Ahmed Al-Rashid",</w:t>
        <w:br/>
      </w:r>
      <w:r>
        <w:rPr>
          <w:rFonts w:ascii="Consolas" w:hAnsi="Consolas"/>
          <w:color w:val="333333"/>
          <w:sz w:val="18"/>
        </w:rPr>
        <w:t xml:space="preserve">  "inherent_likelihood": 4,</w:t>
        <w:br/>
      </w:r>
      <w:r>
        <w:rPr>
          <w:rFonts w:ascii="Consolas" w:hAnsi="Consolas"/>
          <w:color w:val="333333"/>
          <w:sz w:val="18"/>
        </w:rPr>
        <w:t xml:space="preserve">  "inherent_impact": 5,</w:t>
        <w:br/>
      </w:r>
      <w:r>
        <w:rPr>
          <w:rFonts w:ascii="Consolas" w:hAnsi="Consolas"/>
          <w:color w:val="333333"/>
          <w:sz w:val="18"/>
        </w:rPr>
        <w:t xml:space="preserve">  "inherent_score": 20.0,</w:t>
        <w:br/>
      </w:r>
      <w:r>
        <w:rPr>
          <w:rFonts w:ascii="Consolas" w:hAnsi="Consolas"/>
          <w:color w:val="333333"/>
          <w:sz w:val="18"/>
        </w:rPr>
        <w:t xml:space="preserve">  "residual_likelihood": 2,</w:t>
        <w:br/>
      </w:r>
      <w:r>
        <w:rPr>
          <w:rFonts w:ascii="Consolas" w:hAnsi="Consolas"/>
          <w:color w:val="333333"/>
          <w:sz w:val="18"/>
        </w:rPr>
        <w:t xml:space="preserve">  "residual_impact": 4,</w:t>
        <w:br/>
      </w:r>
      <w:r>
        <w:rPr>
          <w:rFonts w:ascii="Consolas" w:hAnsi="Consolas"/>
          <w:color w:val="333333"/>
          <w:sz w:val="18"/>
        </w:rPr>
        <w:t xml:space="preserve">  "residual_score": 8.0,</w:t>
        <w:br/>
      </w:r>
      <w:r>
        <w:rPr>
          <w:rFonts w:ascii="Consolas" w:hAnsi="Consolas"/>
          <w:color w:val="333333"/>
          <w:sz w:val="18"/>
        </w:rPr>
        <w:t xml:space="preserve">  "risk_appetite": 8.0,</w:t>
        <w:br/>
      </w:r>
      <w:r>
        <w:rPr>
          <w:rFonts w:ascii="Consolas" w:hAnsi="Consolas"/>
          <w:color w:val="333333"/>
          <w:sz w:val="18"/>
        </w:rPr>
        <w:t xml:space="preserve">  "risk_tolerance": 15.0,</w:t>
        <w:br/>
      </w:r>
      <w:r>
        <w:rPr>
          <w:rFonts w:ascii="Consolas" w:hAnsi="Consolas"/>
          <w:color w:val="333333"/>
          <w:sz w:val="18"/>
        </w:rPr>
        <w:t xml:space="preserve">  "status": "identified",</w:t>
        <w:br/>
      </w:r>
      <w:r>
        <w:rPr>
          <w:rFonts w:ascii="Consolas" w:hAnsi="Consolas"/>
          <w:color w:val="333333"/>
          <w:sz w:val="18"/>
        </w:rPr>
        <w:t xml:space="preserve">  "control_coverage": null,</w:t>
        <w:br/>
      </w:r>
      <w:r>
        <w:rPr>
          <w:rFonts w:ascii="Consolas" w:hAnsi="Consolas"/>
          <w:color w:val="333333"/>
          <w:sz w:val="18"/>
        </w:rPr>
        <w:t xml:space="preserve">  "system_indicated_residual": null,</w:t>
        <w:br/>
      </w:r>
      <w:r>
        <w:rPr>
          <w:rFonts w:ascii="Consolas" w:hAnsi="Consolas"/>
          <w:color w:val="333333"/>
          <w:sz w:val="18"/>
        </w:rPr>
        <w:t xml:space="preserve">  "coverage_computed_at": null,</w:t>
        <w:br/>
      </w:r>
      <w:r>
        <w:rPr>
          <w:rFonts w:ascii="Consolas" w:hAnsi="Consolas"/>
          <w:color w:val="333333"/>
          <w:sz w:val="18"/>
        </w:rPr>
        <w:t xml:space="preserve">  "next_review_date": "2026-12-01T00:00:00",</w:t>
        <w:br/>
      </w:r>
      <w:r>
        <w:rPr>
          <w:rFonts w:ascii="Consolas" w:hAnsi="Consolas"/>
          <w:color w:val="333333"/>
          <w:sz w:val="18"/>
        </w:rPr>
        <w:t xml:space="preserve">  "review_frequency": "quarterly",</w:t>
        <w:br/>
      </w:r>
      <w:r>
        <w:rPr>
          <w:rFonts w:ascii="Consolas" w:hAnsi="Consolas"/>
          <w:color w:val="333333"/>
          <w:sz w:val="18"/>
        </w:rPr>
        <w:t xml:space="preserve">  "related_control_ids": ["CTRL-001", "CTRL-008"],</w:t>
        <w:br/>
      </w:r>
      <w:r>
        <w:rPr>
          <w:rFonts w:ascii="Consolas" w:hAnsi="Consolas"/>
          <w:color w:val="333333"/>
          <w:sz w:val="18"/>
        </w:rPr>
        <w:t xml:space="preserve">  "related_finding_ids": [],</w:t>
        <w:br/>
      </w:r>
      <w:r>
        <w:rPr>
          <w:rFonts w:ascii="Consolas" w:hAnsi="Consolas"/>
          <w:color w:val="333333"/>
          <w:sz w:val="18"/>
        </w:rPr>
        <w:t xml:space="preserve">  "is_active": true,</w:t>
        <w:br/>
      </w:r>
      <w:r>
        <w:rPr>
          <w:rFonts w:ascii="Consolas" w:hAnsi="Consolas"/>
          <w:color w:val="333333"/>
          <w:sz w:val="18"/>
        </w:rPr>
        <w:t xml:space="preserve">  "created_at": "2026-09-06T08:00:00"</w:t>
        <w:br/>
      </w:r>
      <w:r>
        <w:rPr>
          <w:rFonts w:ascii="Consolas" w:hAnsi="Consolas"/>
          <w:color w:val="333333"/>
          <w:sz w:val="18"/>
        </w:rPr>
        <w:t>}</w:t>
        <w:br/>
      </w:r>
    </w:p>
    <w:p>
      <w:r/>
      <w:r>
        <w:rPr>
          <w:b/>
        </w:rPr>
        <w:t>Step 3.</w:t>
      </w:r>
      <w:r>
        <w:t xml:space="preserve"> Once the risk is created, trigger the XL-A coverage computation (see Section 2.7) to populate the control-coverage fields.</w:t>
      </w:r>
    </w:p>
    <w:p>
      <w:pPr>
        <w:pStyle w:val="Heading3"/>
      </w:pPr>
      <w:r>
        <w:t>2.4 Updating Risks</w:t>
      </w:r>
    </w:p>
    <w:p>
      <w:r>
        <w:t xml:space="preserve">Risks are updated via </w:t>
      </w:r>
      <w:r>
        <w:rPr>
          <w:rFonts w:ascii="Consolas" w:hAnsi="Consolas"/>
          <w:color w:val="1A1A2E"/>
          <w:sz w:val="18"/>
        </w:rPr>
        <w:t>PUT /api/rm/risks/{risk_id}</w:t>
      </w:r>
      <w:r>
        <w:t>. Only the fields included in the request body are modified — omitted fields remain unchanged.</w:t>
      </w:r>
    </w:p>
    <w:p>
      <w:r>
        <w:t xml:space="preserve">When </w:t>
      </w:r>
      <w:r>
        <w:rPr>
          <w:rFonts w:ascii="Consolas" w:hAnsi="Consolas"/>
          <w:color w:val="1A1A2E"/>
          <w:sz w:val="18"/>
        </w:rPr>
        <w:t>inherent_likelihood</w:t>
      </w:r>
      <w:r>
        <w:t xml:space="preserve"> and </w:t>
      </w:r>
      <w:r>
        <w:rPr>
          <w:rFonts w:ascii="Consolas" w:hAnsi="Consolas"/>
          <w:color w:val="1A1A2E"/>
          <w:sz w:val="18"/>
        </w:rPr>
        <w:t>inherent_impact</w:t>
      </w:r>
      <w:r>
        <w:t xml:space="preserve"> are both provided, </w:t>
      </w:r>
      <w:r>
        <w:rPr>
          <w:rFonts w:ascii="Consolas" w:hAnsi="Consolas"/>
          <w:color w:val="1A1A2E"/>
          <w:sz w:val="18"/>
        </w:rPr>
        <w:t>inherent_score</w:t>
      </w:r>
      <w:r>
        <w:t xml:space="preserve"> is </w:t>
      </w:r>
      <w:r>
        <w:rPr>
          <w:b/>
        </w:rPr>
        <w:t>not</w:t>
      </w:r>
      <w:r>
        <w:t xml:space="preserve"> automatically recomputed by the PUT endpoint. The caller must either include the pre-computed </w:t>
      </w:r>
      <w:r>
        <w:rPr>
          <w:rFonts w:ascii="Consolas" w:hAnsi="Consolas"/>
          <w:color w:val="1A1A2E"/>
          <w:sz w:val="18"/>
        </w:rPr>
        <w:t>inherent_score</w:t>
      </w:r>
      <w:r>
        <w:t xml:space="preserve"> or accept that the stored score may be stale. Best practice is to always send all three fields together when updating scoring dimensions.</w:t>
      </w:r>
    </w:p>
    <w:p>
      <w:r>
        <w:t xml:space="preserve">When </w:t>
      </w:r>
      <w:r>
        <w:rPr>
          <w:rFonts w:ascii="Consolas" w:hAnsi="Consolas"/>
          <w:color w:val="1A1A2E"/>
          <w:sz w:val="18"/>
        </w:rPr>
        <w:t>residual_likelihood</w:t>
      </w:r>
      <w:r>
        <w:t xml:space="preserve"> or </w:t>
      </w:r>
      <w:r>
        <w:rPr>
          <w:rFonts w:ascii="Consolas" w:hAnsi="Consolas"/>
          <w:color w:val="1A1A2E"/>
          <w:sz w:val="18"/>
        </w:rPr>
        <w:t>residual_impact</w:t>
      </w:r>
      <w:r>
        <w:t xml:space="preserve"> are updated, the </w:t>
      </w:r>
      <w:r>
        <w:rPr>
          <w:rFonts w:ascii="Consolas" w:hAnsi="Consolas"/>
          <w:color w:val="1A1A2E"/>
          <w:sz w:val="18"/>
        </w:rPr>
        <w:t>system_indicated_residual</w:t>
      </w:r>
      <w:r>
        <w:t xml:space="preserve"> field (XL-A) becomes stale. Call </w:t>
      </w:r>
      <w:r>
        <w:rPr>
          <w:rFonts w:ascii="Consolas" w:hAnsi="Consolas"/>
          <w:color w:val="1A1A2E"/>
          <w:sz w:val="18"/>
        </w:rPr>
        <w:t>POST /api/rm/risks/{risk_id}/recompute-coverage</w:t>
      </w:r>
      <w:r>
        <w:t xml:space="preserve"> after any scoring update to refresh the XL-A output.</w:t>
      </w:r>
    </w:p>
    <w:p>
      <w:r/>
      <w:r>
        <w:rPr>
          <w:b/>
        </w:rPr>
        <w:t>Request example — updating residual scores after a control improvement:</w:t>
      </w:r>
      <w:r/>
    </w:p>
    <w:p>
      <w:pPr>
        <w:ind w:left="432"/>
      </w:pPr>
      <w:r>
        <w:rPr>
          <w:rFonts w:ascii="Consolas" w:hAnsi="Consolas"/>
          <w:color w:val="333333"/>
          <w:sz w:val="18"/>
        </w:rPr>
        <w:t>PUT /api/rm/risks/RISK_a3f7b2c81d04</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"residual_likelihood": 1,</w:t>
        <w:br/>
      </w:r>
      <w:r>
        <w:rPr>
          <w:rFonts w:ascii="Consolas" w:hAnsi="Consolas"/>
          <w:color w:val="333333"/>
          <w:sz w:val="18"/>
        </w:rPr>
        <w:t xml:space="preserve">  "residual_impact": 3,</w:t>
        <w:br/>
      </w:r>
      <w:r>
        <w:rPr>
          <w:rFonts w:ascii="Consolas" w:hAnsi="Consolas"/>
          <w:color w:val="333333"/>
          <w:sz w:val="18"/>
        </w:rPr>
        <w:t xml:space="preserve">  "residual_score": 3.0</w:t>
        <w:br/>
      </w:r>
      <w:r>
        <w:rPr>
          <w:rFonts w:ascii="Consolas" w:hAnsi="Consolas"/>
          <w:color w:val="333333"/>
          <w:sz w:val="18"/>
        </w:rPr>
        <w:t>}</w:t>
        <w:br/>
      </w:r>
    </w:p>
    <w:p>
      <w:pPr>
        <w:pStyle w:val="Heading3"/>
      </w:pPr>
      <w:r>
        <w:t>2.5 Risk Status Lifecycle</w:t>
      </w:r>
    </w:p>
    <w:p>
      <w:pPr>
        <w:ind w:left="432"/>
      </w:pPr>
      <w:r>
        <w:rPr>
          <w:rFonts w:ascii="Consolas" w:hAnsi="Consolas"/>
          <w:color w:val="333333"/>
          <w:sz w:val="18"/>
        </w:rPr>
        <w:t>identified</w:t>
        <w:br/>
      </w:r>
      <w:r>
        <w:rPr>
          <w:rFonts w:ascii="Consolas" w:hAnsi="Consolas"/>
          <w:color w:val="333333"/>
          <w:sz w:val="18"/>
        </w:rPr>
        <w:t xml:space="preserve">    |</w:t>
        <w:br/>
      </w:r>
      <w:r>
        <w:rPr>
          <w:rFonts w:ascii="Consolas" w:hAnsi="Consolas"/>
          <w:color w:val="333333"/>
          <w:sz w:val="18"/>
        </w:rPr>
        <w:t xml:space="preserve">    v</w:t>
        <w:br/>
      </w:r>
      <w:r>
        <w:rPr>
          <w:rFonts w:ascii="Consolas" w:hAnsi="Consolas"/>
          <w:color w:val="333333"/>
          <w:sz w:val="18"/>
        </w:rPr>
        <w:t>assessed      &lt;-- after first assessment is created</w:t>
        <w:br/>
      </w:r>
      <w:r>
        <w:rPr>
          <w:rFonts w:ascii="Consolas" w:hAnsi="Consolas"/>
          <w:color w:val="333333"/>
          <w:sz w:val="18"/>
        </w:rPr>
        <w:t xml:space="preserve">    |</w:t>
        <w:br/>
      </w:r>
      <w:r>
        <w:rPr>
          <w:rFonts w:ascii="Consolas" w:hAnsi="Consolas"/>
          <w:color w:val="333333"/>
          <w:sz w:val="18"/>
        </w:rPr>
        <w:t xml:space="preserve">    v</w:t>
        <w:br/>
      </w:r>
      <w:r>
        <w:rPr>
          <w:rFonts w:ascii="Consolas" w:hAnsi="Consolas"/>
          <w:color w:val="333333"/>
          <w:sz w:val="18"/>
        </w:rPr>
        <w:t>mitigated     &lt;-- after a response plan reaches 'completed'</w:t>
        <w:br/>
      </w:r>
      <w:r>
        <w:rPr>
          <w:rFonts w:ascii="Consolas" w:hAnsi="Consolas"/>
          <w:color w:val="333333"/>
          <w:sz w:val="18"/>
        </w:rPr>
        <w:t xml:space="preserve">    |     \</w:t>
        <w:br/>
      </w:r>
      <w:r>
        <w:rPr>
          <w:rFonts w:ascii="Consolas" w:hAnsi="Consolas"/>
          <w:color w:val="333333"/>
          <w:sz w:val="18"/>
        </w:rPr>
        <w:t xml:space="preserve">    v      v</w:t>
        <w:br/>
      </w:r>
      <w:r>
        <w:rPr>
          <w:rFonts w:ascii="Consolas" w:hAnsi="Consolas"/>
          <w:color w:val="333333"/>
          <w:sz w:val="18"/>
        </w:rPr>
        <w:t>accepted   closed</w:t>
        <w:b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r>
              <w:rPr>
                <w:rFonts w:ascii="Consolas" w:hAnsi="Consolas"/>
                <w:color w:val="1A1A2E"/>
                <w:sz w:val="18"/>
              </w:rPr>
              <w:t>identified</w:t>
            </w:r>
            <w:r/>
          </w:p>
        </w:tc>
        <w:tc>
          <w:tcPr>
            <w:tcW w:type="dxa" w:w="4320"/>
          </w:tcPr>
          <w:p>
            <w:r/>
            <w:r>
              <w:t>Risk has been logged but not yet formally assessed</w:t>
            </w:r>
          </w:p>
        </w:tc>
      </w:tr>
      <w:tr>
        <w:tc>
          <w:tcPr>
            <w:tcW w:type="dxa" w:w="4320"/>
          </w:tcPr>
          <w:p>
            <w:r/>
            <w:r/>
            <w:r>
              <w:rPr>
                <w:rFonts w:ascii="Consolas" w:hAnsi="Consolas"/>
                <w:color w:val="1A1A2E"/>
                <w:sz w:val="18"/>
              </w:rPr>
              <w:t>assessed</w:t>
            </w:r>
            <w:r/>
          </w:p>
        </w:tc>
        <w:tc>
          <w:tcPr>
            <w:tcW w:type="dxa" w:w="4320"/>
          </w:tcPr>
          <w:p>
            <w:r/>
            <w:r>
              <w:t>At least one assessment record exists; inherent/residual scores are set</w:t>
            </w:r>
          </w:p>
        </w:tc>
      </w:tr>
      <w:tr>
        <w:tc>
          <w:tcPr>
            <w:tcW w:type="dxa" w:w="4320"/>
          </w:tcPr>
          <w:p>
            <w:r/>
            <w:r/>
            <w:r>
              <w:rPr>
                <w:rFonts w:ascii="Consolas" w:hAnsi="Consolas"/>
                <w:color w:val="1A1A2E"/>
                <w:sz w:val="18"/>
              </w:rPr>
              <w:t>mitigated</w:t>
            </w:r>
            <w:r/>
          </w:p>
        </w:tc>
        <w:tc>
          <w:tcPr>
            <w:tcW w:type="dxa" w:w="4320"/>
          </w:tcPr>
          <w:p>
            <w:r/>
            <w:r>
              <w:t>A response plan has been executed and verified effective</w:t>
            </w:r>
          </w:p>
        </w:tc>
      </w:tr>
      <w:tr>
        <w:tc>
          <w:tcPr>
            <w:tcW w:type="dxa" w:w="4320"/>
          </w:tcPr>
          <w:p>
            <w:r/>
            <w:r/>
            <w:r>
              <w:rPr>
                <w:rFonts w:ascii="Consolas" w:hAnsi="Consolas"/>
                <w:color w:val="1A1A2E"/>
                <w:sz w:val="18"/>
              </w:rPr>
              <w:t>accepted</w:t>
            </w:r>
            <w:r/>
          </w:p>
        </w:tc>
        <w:tc>
          <w:tcPr>
            <w:tcW w:type="dxa" w:w="4320"/>
          </w:tcPr>
          <w:p>
            <w:r/>
            <w:r>
              <w:t>Board or risk committee has formally accepted the residual risk</w:t>
            </w:r>
          </w:p>
        </w:tc>
      </w:tr>
      <w:tr>
        <w:tc>
          <w:tcPr>
            <w:tcW w:type="dxa" w:w="4320"/>
          </w:tcPr>
          <w:p>
            <w:r/>
            <w:r/>
            <w:r>
              <w:rPr>
                <w:rFonts w:ascii="Consolas" w:hAnsi="Consolas"/>
                <w:color w:val="1A1A2E"/>
                <w:sz w:val="18"/>
              </w:rPr>
              <w:t>closed</w:t>
            </w:r>
            <w:r/>
          </w:p>
        </w:tc>
        <w:tc>
          <w:tcPr>
            <w:tcW w:type="dxa" w:w="4320"/>
          </w:tcPr>
          <w:p>
            <w:r/>
            <w:r>
              <w:t>Risk is no longer active (expired, merged, or superseded)</w:t>
            </w:r>
          </w:p>
        </w:tc>
      </w:tr>
    </w:tbl>
    <w:p/>
    <w:p>
      <w:r>
        <w:t xml:space="preserve">Status transitions are manual — the system automatically advances status to </w:t>
      </w:r>
      <w:r>
        <w:rPr>
          <w:rFonts w:ascii="Consolas" w:hAnsi="Consolas"/>
          <w:color w:val="1A1A2E"/>
          <w:sz w:val="18"/>
        </w:rPr>
        <w:t>assessed</w:t>
      </w:r>
      <w:r>
        <w:t xml:space="preserve"> when an assessment is created (POST /risks/{id}/assessments), but all other transitions require an explicit </w:t>
      </w:r>
      <w:r>
        <w:rPr>
          <w:rFonts w:ascii="Consolas" w:hAnsi="Consolas"/>
          <w:color w:val="1A1A2E"/>
          <w:sz w:val="18"/>
        </w:rPr>
        <w:t>status</w:t>
      </w:r>
      <w:r>
        <w:t xml:space="preserve"> field in a PUT request.</w:t>
      </w:r>
    </w:p>
    <w:p>
      <w:pPr>
        <w:pStyle w:val="Heading3"/>
      </w:pPr>
      <w:r>
        <w:t>2.6 Linking to Controls and Findings</w:t>
      </w:r>
    </w:p>
    <w:p>
      <w:r>
        <w:t>Two JSON array fields on each risk store cross-module references:</w:t>
      </w:r>
    </w:p>
    <w:p>
      <w:r/>
      <w:r>
        <w:rPr>
          <w:b/>
        </w:rPr>
        <w:t>`related_control_ids`</w:t>
      </w:r>
      <w:r>
        <w:t xml:space="preserve"> — list of ProcessControl </w:t>
      </w:r>
      <w:r>
        <w:rPr>
          <w:rFonts w:ascii="Consolas" w:hAnsi="Consolas"/>
          <w:color w:val="1A1A2E"/>
          <w:sz w:val="18"/>
        </w:rPr>
        <w:t>control_id</w:t>
      </w:r>
      <w:r>
        <w:t xml:space="preserve"> strings. These are the controls the organisation relies on to reduce the likelihood or impact of this risk. The XL-A coverage computation (Section 2.7) reads this array to inspect each control's health.</w:t>
      </w:r>
    </w:p>
    <w:p>
      <w:r/>
      <w:r>
        <w:rPr>
          <w:b/>
        </w:rPr>
        <w:t>`related_finding_ids`</w:t>
      </w:r>
      <w:r>
        <w:t xml:space="preserve"> — list of AuditFinding </w:t>
      </w:r>
      <w:r>
        <w:rPr>
          <w:rFonts w:ascii="Consolas" w:hAnsi="Consolas"/>
          <w:color w:val="1A1A2E"/>
          <w:sz w:val="18"/>
        </w:rPr>
        <w:t>finding_id</w:t>
      </w:r>
      <w:r>
        <w:t xml:space="preserve"> strings. When an internal audit uncovers an issue directly related to a risk, the finding is linked here. The AM module also links findings to risks via </w:t>
      </w:r>
      <w:r>
        <w:rPr>
          <w:rFonts w:ascii="Consolas" w:hAnsi="Consolas"/>
          <w:color w:val="1A1A2E"/>
          <w:sz w:val="18"/>
        </w:rPr>
        <w:t>POST /api/am/findings/{finding_id}/link-risk</w:t>
      </w:r>
      <w:r>
        <w:t>.</w:t>
      </w:r>
    </w:p>
    <w:p>
      <w:r>
        <w:t xml:space="preserve">To add a control link at risk-creation time, include its ID in </w:t>
      </w:r>
      <w:r>
        <w:rPr>
          <w:rFonts w:ascii="Consolas" w:hAnsi="Consolas"/>
          <w:color w:val="1A1A2E"/>
          <w:sz w:val="18"/>
        </w:rPr>
        <w:t>related_control_ids</w:t>
      </w:r>
      <w:r>
        <w:t>. To add it later:</w:t>
      </w:r>
    </w:p>
    <w:p>
      <w:pPr>
        <w:ind w:left="432"/>
      </w:pPr>
      <w:r>
        <w:rPr>
          <w:rFonts w:ascii="Consolas" w:hAnsi="Consolas"/>
          <w:color w:val="333333"/>
          <w:sz w:val="18"/>
        </w:rPr>
        <w:t>PUT /api/rm/risks/RISK_a3f7b2c81d04</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"related_control_ids": ["CTRL-001", "CTRL-008", "CTRL-022"]</w:t>
        <w:br/>
      </w:r>
      <w:r>
        <w:rPr>
          <w:rFonts w:ascii="Consolas" w:hAnsi="Consolas"/>
          <w:color w:val="333333"/>
          <w:sz w:val="18"/>
        </w:rPr>
        <w:t>}</w:t>
        <w:br/>
      </w:r>
    </w:p>
    <w:p>
      <w:pPr>
        <w:pStyle w:val="Heading3"/>
      </w:pPr>
      <w:r>
        <w:t>2.7 Control Coverage Signal (XL-A)</w:t>
      </w:r>
    </w:p>
    <w:p>
      <w:r>
        <w:t xml:space="preserve">The XL-A feedback loop answers the question: </w:t>
      </w:r>
      <w:r>
        <w:rPr>
          <w:i/>
        </w:rPr>
        <w:t>"Given the current health of the controls we rely on, is our assumed residual risk position still valid?"</w:t>
      </w:r>
      <w:r/>
    </w:p>
    <w:p>
      <w:r/>
      <w:r>
        <w:rPr>
          <w:b/>
        </w:rPr>
        <w:t>Triggering recomputation:</w:t>
      </w:r>
      <w:r/>
    </w:p>
    <w:p>
      <w:pPr>
        <w:ind w:left="432"/>
      </w:pPr>
      <w:r>
        <w:rPr>
          <w:rFonts w:ascii="Consolas" w:hAnsi="Consolas"/>
          <w:color w:val="333333"/>
          <w:sz w:val="18"/>
        </w:rPr>
        <w:t>POST /api/rm/risks/{risk_id}/recompute-coverage</w:t>
        <w:br/>
      </w:r>
    </w:p>
    <w:p>
      <w:r>
        <w:t xml:space="preserve">This endpoint has no request body. It reads the risk's </w:t>
      </w:r>
      <w:r>
        <w:rPr>
          <w:rFonts w:ascii="Consolas" w:hAnsi="Consolas"/>
          <w:color w:val="1A1A2E"/>
          <w:sz w:val="18"/>
        </w:rPr>
        <w:t>related_control_ids</w:t>
      </w:r>
      <w:r>
        <w:t>, queries the Process Control module for each control's open deficiencies and latest test results, then calculates a coverage signal.</w:t>
      </w:r>
    </w:p>
    <w:p>
      <w:r/>
      <w:r>
        <w:rPr>
          <w:b/>
        </w:rPr>
        <w:t>Coverage signal values: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Signal</w:t>
            </w:r>
          </w:p>
        </w:tc>
        <w:tc>
          <w:tcPr>
            <w:tcW w:type="dxa" w:w="2880"/>
          </w:tcPr>
          <w:p>
            <w:r>
              <w:rPr>
                <w:b/>
              </w:rPr>
            </w:r>
            <w:r>
              <w:rPr>
                <w:b/>
              </w:rPr>
              <w:t>Condition</w:t>
            </w:r>
          </w:p>
        </w:tc>
        <w:tc>
          <w:tcPr>
            <w:tcW w:type="dxa" w:w="2880"/>
          </w:tcPr>
          <w:p>
            <w:r>
              <w:rPr>
                <w:b/>
              </w:rPr>
            </w:r>
            <w:r>
              <w:rPr>
                <w:b/>
              </w:rPr>
              <w:t>Degradation Factor</w:t>
            </w:r>
          </w:p>
        </w:tc>
      </w:tr>
      <w:tr>
        <w:tc>
          <w:tcPr>
            <w:tcW w:type="dxa" w:w="2880"/>
          </w:tcPr>
          <w:p>
            <w:r/>
            <w:r/>
            <w:r>
              <w:rPr>
                <w:rFonts w:ascii="Consolas" w:hAnsi="Consolas"/>
                <w:color w:val="1A1A2E"/>
                <w:sz w:val="18"/>
              </w:rPr>
              <w:t>effective</w:t>
            </w:r>
            <w:r/>
          </w:p>
        </w:tc>
        <w:tc>
          <w:tcPr>
            <w:tcW w:type="dxa" w:w="2880"/>
          </w:tcPr>
          <w:p>
            <w:r/>
            <w:r>
              <w:t>All controls tested effective, no open deficiencies</w:t>
            </w:r>
          </w:p>
        </w:tc>
        <w:tc>
          <w:tcPr>
            <w:tcW w:type="dxa" w:w="2880"/>
          </w:tcPr>
          <w:p>
            <w:r/>
            <w:r>
              <w:t>× 1.0</w:t>
            </w:r>
          </w:p>
        </w:tc>
      </w:tr>
      <w:tr>
        <w:tc>
          <w:tcPr>
            <w:tcW w:type="dxa" w:w="2880"/>
          </w:tcPr>
          <w:p>
            <w:r/>
            <w:r/>
            <w:r>
              <w:rPr>
                <w:rFonts w:ascii="Consolas" w:hAnsi="Consolas"/>
                <w:color w:val="1A1A2E"/>
                <w:sz w:val="18"/>
              </w:rPr>
              <w:t>degraded</w:t>
            </w:r>
            <w:r/>
          </w:p>
        </w:tc>
        <w:tc>
          <w:tcPr>
            <w:tcW w:type="dxa" w:w="2880"/>
          </w:tcPr>
          <w:p>
            <w:r/>
            <w:r>
              <w:t>One or more significant deficiencies or partial test results</w:t>
            </w:r>
          </w:p>
        </w:tc>
        <w:tc>
          <w:tcPr>
            <w:tcW w:type="dxa" w:w="2880"/>
          </w:tcPr>
          <w:p>
            <w:r/>
            <w:r>
              <w:t>× 1.25</w:t>
            </w:r>
          </w:p>
        </w:tc>
      </w:tr>
      <w:tr>
        <w:tc>
          <w:tcPr>
            <w:tcW w:type="dxa" w:w="2880"/>
          </w:tcPr>
          <w:p>
            <w:r/>
            <w:r/>
            <w:r>
              <w:rPr>
                <w:rFonts w:ascii="Consolas" w:hAnsi="Consolas"/>
                <w:color w:val="1A1A2E"/>
                <w:sz w:val="18"/>
              </w:rPr>
              <w:t>failed</w:t>
            </w:r>
            <w:r/>
          </w:p>
        </w:tc>
        <w:tc>
          <w:tcPr>
            <w:tcW w:type="dxa" w:w="2880"/>
          </w:tcPr>
          <w:p>
            <w:r/>
            <w:r>
              <w:t>Any material weakness or ineffective test result</w:t>
            </w:r>
          </w:p>
        </w:tc>
        <w:tc>
          <w:tcPr>
            <w:tcW w:type="dxa" w:w="2880"/>
          </w:tcPr>
          <w:p>
            <w:r/>
            <w:r>
              <w:t>× 1.5</w:t>
            </w:r>
          </w:p>
        </w:tc>
      </w:tr>
      <w:tr>
        <w:tc>
          <w:tcPr>
            <w:tcW w:type="dxa" w:w="2880"/>
          </w:tcPr>
          <w:p>
            <w:r/>
            <w:r/>
            <w:r>
              <w:rPr>
                <w:rFonts w:ascii="Consolas" w:hAnsi="Consolas"/>
                <w:color w:val="1A1A2E"/>
                <w:sz w:val="18"/>
              </w:rPr>
              <w:t>uncontrolled</w:t>
            </w:r>
            <w:r/>
          </w:p>
        </w:tc>
        <w:tc>
          <w:tcPr>
            <w:tcW w:type="dxa" w:w="2880"/>
          </w:tcPr>
          <w:p>
            <w:r/>
            <w:r>
              <w:t>No controls linked, or all linked controls are inactive</w:t>
            </w:r>
          </w:p>
        </w:tc>
        <w:tc>
          <w:tcPr>
            <w:tcW w:type="dxa" w:w="2880"/>
          </w:tcPr>
          <w:p>
            <w:r/>
            <w:r>
              <w:t>Risk score = inherent score</w:t>
            </w:r>
          </w:p>
        </w:tc>
      </w:tr>
    </w:tbl>
    <w:p/>
    <w:p>
      <w:r/>
      <w:r>
        <w:rPr>
          <w:b/>
        </w:rPr>
        <w:t>How system_indicated_residual is computed:</w:t>
      </w:r>
      <w:r/>
    </w:p>
    <w:p>
      <w:pPr>
        <w:ind w:left="432"/>
      </w:pPr>
      <w:r>
        <w:rPr>
          <w:rFonts w:ascii="Consolas" w:hAnsi="Consolas"/>
          <w:color w:val="333333"/>
          <w:sz w:val="18"/>
        </w:rPr>
        <w:t>system_indicated_residual = min(residual_score × degradation_factor, inherent_score)</w:t>
        <w:br/>
      </w:r>
    </w:p>
    <w:p>
      <w:r>
        <w:t xml:space="preserve">The result is capped at </w:t>
      </w:r>
      <w:r>
        <w:rPr>
          <w:rFonts w:ascii="Consolas" w:hAnsi="Consolas"/>
          <w:color w:val="1A1A2E"/>
          <w:sz w:val="18"/>
        </w:rPr>
        <w:t>inherent_score</w:t>
      </w:r>
      <w:r>
        <w:t xml:space="preserve"> — the system-indicated residual can never exceed the inherent risk.</w:t>
      </w:r>
    </w:p>
    <w:p>
      <w:r/>
      <w:r>
        <w:rPr>
          <w:b/>
        </w:rPr>
        <w:t>Response example:</w:t>
      </w:r>
      <w:r/>
    </w:p>
    <w:p>
      <w:pPr>
        <w:ind w:left="432"/>
      </w:pPr>
      <w:r>
        <w:rPr>
          <w:rFonts w:ascii="Consolas" w:hAnsi="Consolas"/>
          <w:color w:val="333333"/>
          <w:sz w:val="18"/>
        </w:rPr>
        <w:t>{</w:t>
        <w:br/>
      </w:r>
      <w:r>
        <w:rPr>
          <w:rFonts w:ascii="Consolas" w:hAnsi="Consolas"/>
          <w:color w:val="333333"/>
          <w:sz w:val="18"/>
        </w:rPr>
        <w:t xml:space="preserve">  "risk_id": "RISK_a3f7b2c81d04",</w:t>
        <w:br/>
      </w:r>
      <w:r>
        <w:rPr>
          <w:rFonts w:ascii="Consolas" w:hAnsi="Consolas"/>
          <w:color w:val="333333"/>
          <w:sz w:val="18"/>
        </w:rPr>
        <w:t xml:space="preserve">  "control_coverage": "degraded",</w:t>
        <w:br/>
      </w:r>
      <w:r>
        <w:rPr>
          <w:rFonts w:ascii="Consolas" w:hAnsi="Consolas"/>
          <w:color w:val="333333"/>
          <w:sz w:val="18"/>
        </w:rPr>
        <w:t xml:space="preserve">  "system_indicated_residual": 10.0,</w:t>
        <w:br/>
      </w:r>
      <w:r>
        <w:rPr>
          <w:rFonts w:ascii="Consolas" w:hAnsi="Consolas"/>
          <w:color w:val="333333"/>
          <w:sz w:val="18"/>
        </w:rPr>
        <w:t xml:space="preserve">  "coverage_computed_at": "2026-09-06T09:15:00",</w:t>
        <w:br/>
      </w:r>
      <w:r>
        <w:rPr>
          <w:rFonts w:ascii="Consolas" w:hAnsi="Consolas"/>
          <w:color w:val="333333"/>
          <w:sz w:val="18"/>
        </w:rPr>
        <w:t xml:space="preserve">  "controls_evaluated": [</w:t>
        <w:br/>
      </w:r>
      <w:r>
        <w:rPr>
          <w:rFonts w:ascii="Consolas" w:hAnsi="Consolas"/>
          <w:color w:val="333333"/>
          <w:sz w:val="18"/>
        </w:rPr>
        <w:t xml:space="preserve">    {"control_id": "CTRL-001", "status": "effective"},</w:t>
        <w:br/>
      </w:r>
      <w:r>
        <w:rPr>
          <w:rFonts w:ascii="Consolas" w:hAnsi="Consolas"/>
          <w:color w:val="333333"/>
          <w:sz w:val="18"/>
        </w:rPr>
        <w:t xml:space="preserve">    {"control_id": "CTRL-008", "status": "significant_deficiency"}</w:t>
        <w:br/>
      </w:r>
      <w:r>
        <w:rPr>
          <w:rFonts w:ascii="Consolas" w:hAnsi="Consolas"/>
          <w:color w:val="333333"/>
          <w:sz w:val="18"/>
        </w:rPr>
        <w:t xml:space="preserve">  ]</w:t>
        <w:br/>
      </w:r>
      <w:r>
        <w:rPr>
          <w:rFonts w:ascii="Consolas" w:hAnsi="Consolas"/>
          <w:color w:val="333333"/>
          <w:sz w:val="18"/>
        </w:rPr>
        <w:t>}</w:t>
        <w:br/>
      </w:r>
    </w:p>
    <w:p>
      <w:r>
        <w:t>This means the assessor's stated residual_score of 8.0 is being amplified by 1.25 to 10.0 because one control has a significant deficiency. The appetite check will flag this as a potential breach even though the assessor's score is nominally within appetite.</w:t>
      </w:r>
    </w:p>
    <w:p>
      <w:r/>
      <w:r>
        <w:rPr>
          <w:b/>
        </w:rPr>
        <w:t>API Endpoints — Risk Register:</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/api/rm/risks</w:t>
            </w:r>
            <w:r/>
          </w:p>
        </w:tc>
        <w:tc>
          <w:tcPr>
            <w:tcW w:type="dxa" w:w="2880"/>
          </w:tcPr>
          <w:p>
            <w:r/>
            <w:r>
              <w:t>Create risk</w:t>
            </w:r>
          </w:p>
        </w:tc>
      </w:tr>
      <w:tr>
        <w:tc>
          <w:tcPr>
            <w:tcW w:type="dxa" w:w="2880"/>
          </w:tcPr>
          <w:p>
            <w:r/>
            <w:r>
              <w:t>GET</w:t>
            </w:r>
          </w:p>
        </w:tc>
        <w:tc>
          <w:tcPr>
            <w:tcW w:type="dxa" w:w="2880"/>
          </w:tcPr>
          <w:p>
            <w:r/>
            <w:r/>
            <w:r>
              <w:rPr>
                <w:rFonts w:ascii="Consolas" w:hAnsi="Consolas"/>
                <w:color w:val="1A1A2E"/>
                <w:sz w:val="18"/>
              </w:rPr>
              <w:t>/api/rm/risks</w:t>
            </w:r>
            <w:r/>
          </w:p>
        </w:tc>
        <w:tc>
          <w:tcPr>
            <w:tcW w:type="dxa" w:w="2880"/>
          </w:tcPr>
          <w:p>
            <w:r/>
            <w:r>
              <w:t>List risks (filters: category, status, org_unit_id, owner_id, search)</w:t>
            </w:r>
          </w:p>
        </w:tc>
      </w:tr>
      <w:tr>
        <w:tc>
          <w:tcPr>
            <w:tcW w:type="dxa" w:w="2880"/>
          </w:tcPr>
          <w:p>
            <w:r/>
            <w:r>
              <w:t>GET</w:t>
            </w:r>
          </w:p>
        </w:tc>
        <w:tc>
          <w:tcPr>
            <w:tcW w:type="dxa" w:w="2880"/>
          </w:tcPr>
          <w:p>
            <w:r/>
            <w:r/>
            <w:r>
              <w:rPr>
                <w:rFonts w:ascii="Consolas" w:hAnsi="Consolas"/>
                <w:color w:val="1A1A2E"/>
                <w:sz w:val="18"/>
              </w:rPr>
              <w:t>/api/rm/risks/{risk_id}</w:t>
            </w:r>
            <w:r/>
          </w:p>
        </w:tc>
        <w:tc>
          <w:tcPr>
            <w:tcW w:type="dxa" w:w="2880"/>
          </w:tcPr>
          <w:p>
            <w:r/>
            <w:r>
              <w:t>Get single risk</w:t>
            </w:r>
          </w:p>
        </w:tc>
      </w:tr>
      <w:tr>
        <w:tc>
          <w:tcPr>
            <w:tcW w:type="dxa" w:w="2880"/>
          </w:tcPr>
          <w:p>
            <w:r/>
            <w:r>
              <w:t>PUT</w:t>
            </w:r>
          </w:p>
        </w:tc>
        <w:tc>
          <w:tcPr>
            <w:tcW w:type="dxa" w:w="2880"/>
          </w:tcPr>
          <w:p>
            <w:r/>
            <w:r/>
            <w:r>
              <w:rPr>
                <w:rFonts w:ascii="Consolas" w:hAnsi="Consolas"/>
                <w:color w:val="1A1A2E"/>
                <w:sz w:val="18"/>
              </w:rPr>
              <w:t>/api/rm/risks/{risk_id}</w:t>
            </w:r>
            <w:r/>
          </w:p>
        </w:tc>
        <w:tc>
          <w:tcPr>
            <w:tcW w:type="dxa" w:w="2880"/>
          </w:tcPr>
          <w:p>
            <w:r/>
            <w:r>
              <w:t>Update risk</w:t>
            </w:r>
          </w:p>
        </w:tc>
      </w:tr>
      <w:tr>
        <w:tc>
          <w:tcPr>
            <w:tcW w:type="dxa" w:w="2880"/>
          </w:tcPr>
          <w:p>
            <w:r/>
            <w:r>
              <w:t>DELETE</w:t>
            </w:r>
          </w:p>
        </w:tc>
        <w:tc>
          <w:tcPr>
            <w:tcW w:type="dxa" w:w="2880"/>
          </w:tcPr>
          <w:p>
            <w:r/>
            <w:r/>
            <w:r>
              <w:rPr>
                <w:rFonts w:ascii="Consolas" w:hAnsi="Consolas"/>
                <w:color w:val="1A1A2E"/>
                <w:sz w:val="18"/>
              </w:rPr>
              <w:t>/api/rm/risks/{risk_id}</w:t>
            </w:r>
            <w:r/>
          </w:p>
        </w:tc>
        <w:tc>
          <w:tcPr>
            <w:tcW w:type="dxa" w:w="2880"/>
          </w:tcPr>
          <w:p>
            <w:r/>
            <w:r>
              <w:t>Soft-delete risk</w:t>
            </w:r>
          </w:p>
        </w:tc>
      </w:tr>
      <w:tr>
        <w:tc>
          <w:tcPr>
            <w:tcW w:type="dxa" w:w="2880"/>
          </w:tcPr>
          <w:p>
            <w:r/>
            <w:r>
              <w:t>POST</w:t>
            </w:r>
          </w:p>
        </w:tc>
        <w:tc>
          <w:tcPr>
            <w:tcW w:type="dxa" w:w="2880"/>
          </w:tcPr>
          <w:p>
            <w:r/>
            <w:r/>
            <w:r>
              <w:rPr>
                <w:rFonts w:ascii="Consolas" w:hAnsi="Consolas"/>
                <w:color w:val="1A1A2E"/>
                <w:sz w:val="18"/>
              </w:rPr>
              <w:t>/api/rm/risks/{risk_id}/recompute-coverage</w:t>
            </w:r>
            <w:r/>
          </w:p>
        </w:tc>
        <w:tc>
          <w:tcPr>
            <w:tcW w:type="dxa" w:w="2880"/>
          </w:tcPr>
          <w:p>
            <w:r/>
            <w:r>
              <w:t>Trigger XL-A coverage recomputation</w:t>
            </w:r>
          </w:p>
        </w:tc>
      </w:tr>
    </w:tbl>
    <w:p/>
    <w:p>
      <w:r>
        <w:rPr>
          <w:color w:val="CCCCCC"/>
        </w:rPr>
        <w:t>____________________________________________________________</w:t>
      </w:r>
    </w:p>
    <w:p>
      <w:pPr>
        <w:pStyle w:val="Heading2"/>
      </w:pPr>
      <w:r>
        <w:t>3. Risk Assessment (RM-10 to RM-12)</w:t>
      </w:r>
    </w:p>
    <w:p>
      <w:r>
        <w:t>A risk assessment is a formal, point-in-time scoring event performed by an individual assessor or a team. Multiple assessments can exist for the same risk, building a historical scoring trail that feeds the trend reports.</w:t>
      </w:r>
    </w:p>
    <w:p>
      <w:pPr>
        <w:pStyle w:val="Heading3"/>
      </w:pPr>
      <w:r>
        <w:t>3.1 Assessment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When to Use</w:t>
            </w:r>
          </w:p>
        </w:tc>
      </w:tr>
      <w:tr>
        <w:tc>
          <w:tcPr>
            <w:tcW w:type="dxa" w:w="2880"/>
          </w:tcPr>
          <w:p>
            <w:r/>
            <w:r>
              <w:t>Periodic</w:t>
            </w:r>
          </w:p>
        </w:tc>
        <w:tc>
          <w:tcPr>
            <w:tcW w:type="dxa" w:w="2880"/>
          </w:tcPr>
          <w:p>
            <w:r/>
            <w:r/>
            <w:r>
              <w:rPr>
                <w:rFonts w:ascii="Consolas" w:hAnsi="Consolas"/>
                <w:color w:val="1A1A2E"/>
                <w:sz w:val="18"/>
              </w:rPr>
              <w:t>periodic</w:t>
            </w:r>
            <w:r/>
          </w:p>
        </w:tc>
        <w:tc>
          <w:tcPr>
            <w:tcW w:type="dxa" w:w="2880"/>
          </w:tcPr>
          <w:p>
            <w:r/>
            <w:r>
              <w:t xml:space="preserve">Scheduled review at the risk's </w:t>
            </w:r>
            <w:r>
              <w:rPr>
                <w:rFonts w:ascii="Consolas" w:hAnsi="Consolas"/>
                <w:color w:val="1A1A2E"/>
                <w:sz w:val="18"/>
              </w:rPr>
              <w:t>review_frequency</w:t>
            </w:r>
            <w:r>
              <w:t xml:space="preserve"> cadence</w:t>
            </w:r>
          </w:p>
        </w:tc>
      </w:tr>
      <w:tr>
        <w:tc>
          <w:tcPr>
            <w:tcW w:type="dxa" w:w="2880"/>
          </w:tcPr>
          <w:p>
            <w:r/>
            <w:r>
              <w:t>Ad-hoc</w:t>
            </w:r>
          </w:p>
        </w:tc>
        <w:tc>
          <w:tcPr>
            <w:tcW w:type="dxa" w:w="2880"/>
          </w:tcPr>
          <w:p>
            <w:r/>
            <w:r/>
            <w:r>
              <w:rPr>
                <w:rFonts w:ascii="Consolas" w:hAnsi="Consolas"/>
                <w:color w:val="1A1A2E"/>
                <w:sz w:val="18"/>
              </w:rPr>
              <w:t>adhoc</w:t>
            </w:r>
            <w:r/>
          </w:p>
        </w:tc>
        <w:tc>
          <w:tcPr>
            <w:tcW w:type="dxa" w:w="2880"/>
          </w:tcPr>
          <w:p>
            <w:r/>
            <w:r>
              <w:t>Triggered by a specific event — a control failure, an incident, or a regulatory change</w:t>
            </w:r>
          </w:p>
        </w:tc>
      </w:tr>
      <w:tr>
        <w:tc>
          <w:tcPr>
            <w:tcW w:type="dxa" w:w="2880"/>
          </w:tcPr>
          <w:p>
            <w:r/>
            <w:r>
              <w:t>Consensus</w:t>
            </w:r>
          </w:p>
        </w:tc>
        <w:tc>
          <w:tcPr>
            <w:tcW w:type="dxa" w:w="2880"/>
          </w:tcPr>
          <w:p>
            <w:r/>
            <w:r/>
            <w:r>
              <w:rPr>
                <w:rFonts w:ascii="Consolas" w:hAnsi="Consolas"/>
                <w:color w:val="1A1A2E"/>
                <w:sz w:val="18"/>
              </w:rPr>
              <w:t>consensus</w:t>
            </w:r>
            <w:r/>
          </w:p>
        </w:tc>
        <w:tc>
          <w:tcPr>
            <w:tcW w:type="dxa" w:w="2880"/>
          </w:tcPr>
          <w:p>
            <w:r/>
            <w:r>
              <w:t>Multi-assessor exercise where scores are averaged across several reviewers</w:t>
            </w:r>
          </w:p>
        </w:tc>
      </w:tr>
    </w:tbl>
    <w:p/>
    <w:p>
      <w:pPr>
        <w:pStyle w:val="Heading3"/>
      </w:pPr>
      <w:r>
        <w:t>3.2 Creating Assessments</w:t>
      </w:r>
    </w:p>
    <w:p>
      <w:r>
        <w:t>An assessment captures the assessor's view of likelihood and impact at a specific moment, including written rationales that explain the scores. Monetary impact can also be recorded for financial risk quantification.</w:t>
      </w:r>
    </w:p>
    <w:p>
      <w:r/>
      <w:r>
        <w:rPr>
          <w:b/>
        </w:rPr>
        <w:t>Request:</w:t>
      </w:r>
      <w:r/>
    </w:p>
    <w:p>
      <w:pPr>
        <w:ind w:left="432"/>
      </w:pPr>
      <w:r>
        <w:rPr>
          <w:rFonts w:ascii="Consolas" w:hAnsi="Consolas"/>
          <w:color w:val="333333"/>
          <w:sz w:val="18"/>
        </w:rPr>
        <w:t>POST /api/rm/risks/RISK_a3f7b2c81d04/assessments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"assessment_type": "periodic",</w:t>
        <w:br/>
      </w:r>
      <w:r>
        <w:rPr>
          <w:rFonts w:ascii="Consolas" w:hAnsi="Consolas"/>
          <w:color w:val="333333"/>
          <w:sz w:val="18"/>
        </w:rPr>
        <w:t xml:space="preserve">  "assessor_id": "USR-0042",</w:t>
        <w:br/>
      </w:r>
      <w:r>
        <w:rPr>
          <w:rFonts w:ascii="Consolas" w:hAnsi="Consolas"/>
          <w:color w:val="333333"/>
          <w:sz w:val="18"/>
        </w:rPr>
        <w:t xml:space="preserve">  "assessor_name": "Ahmed Al-Rashid",</w:t>
        <w:br/>
      </w:r>
      <w:r>
        <w:rPr>
          <w:rFonts w:ascii="Consolas" w:hAnsi="Consolas"/>
          <w:color w:val="333333"/>
          <w:sz w:val="18"/>
        </w:rPr>
        <w:t xml:space="preserve">  "likelihood_score": 2,</w:t>
        <w:br/>
      </w:r>
      <w:r>
        <w:rPr>
          <w:rFonts w:ascii="Consolas" w:hAnsi="Consolas"/>
          <w:color w:val="333333"/>
          <w:sz w:val="18"/>
        </w:rPr>
        <w:t xml:space="preserve">  "impact_score": 4,</w:t>
        <w:br/>
      </w:r>
      <w:r>
        <w:rPr>
          <w:rFonts w:ascii="Consolas" w:hAnsi="Consolas"/>
          <w:color w:val="333333"/>
          <w:sz w:val="18"/>
        </w:rPr>
        <w:t xml:space="preserve">  "likelihood_rationale": "Two compensating controls are now operational. SoD rules in AC reduce the likelihood of unauthorised access being undetected.",</w:t>
        <w:br/>
      </w:r>
      <w:r>
        <w:rPr>
          <w:rFonts w:ascii="Consolas" w:hAnsi="Consolas"/>
          <w:color w:val="333333"/>
          <w:sz w:val="18"/>
        </w:rPr>
        <w:t xml:space="preserve">  "impact_rationale": "Financial misstatement impact remains high given reporting obligations under IFRS 17.",</w:t>
        <w:br/>
      </w:r>
      <w:r>
        <w:rPr>
          <w:rFonts w:ascii="Consolas" w:hAnsi="Consolas"/>
          <w:color w:val="333333"/>
          <w:sz w:val="18"/>
        </w:rPr>
        <w:t xml:space="preserve">  "monetary_impact": 450000.00,</w:t>
        <w:br/>
      </w:r>
      <w:r>
        <w:rPr>
          <w:rFonts w:ascii="Consolas" w:hAnsi="Consolas"/>
          <w:color w:val="333333"/>
          <w:sz w:val="18"/>
        </w:rPr>
        <w:t xml:space="preserve">  "currency": "SAR",</w:t>
        <w:br/>
      </w:r>
      <w:r>
        <w:rPr>
          <w:rFonts w:ascii="Consolas" w:hAnsi="Consolas"/>
          <w:color w:val="333333"/>
          <w:sz w:val="18"/>
        </w:rPr>
        <w:t xml:space="preserve">  "comments": "Quarterly assessment Q3 2026"</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"assessment_id": "ASMT_7f3a9b2e4c10",</w:t>
        <w:br/>
      </w:r>
      <w:r>
        <w:rPr>
          <w:rFonts w:ascii="Consolas" w:hAnsi="Consolas"/>
          <w:color w:val="333333"/>
          <w:sz w:val="18"/>
        </w:rPr>
        <w:t xml:space="preserve">  "risk_id": "RISK_a3f7b2c81d04",</w:t>
        <w:br/>
      </w:r>
      <w:r>
        <w:rPr>
          <w:rFonts w:ascii="Consolas" w:hAnsi="Consolas"/>
          <w:color w:val="333333"/>
          <w:sz w:val="18"/>
        </w:rPr>
        <w:t xml:space="preserve">  "assessor_id": "USR-0042",</w:t>
        <w:br/>
      </w:r>
      <w:r>
        <w:rPr>
          <w:rFonts w:ascii="Consolas" w:hAnsi="Consolas"/>
          <w:color w:val="333333"/>
          <w:sz w:val="18"/>
        </w:rPr>
        <w:t xml:space="preserve">  "assessor_name": "Ahmed Al-Rashid",</w:t>
        <w:br/>
      </w:r>
      <w:r>
        <w:rPr>
          <w:rFonts w:ascii="Consolas" w:hAnsi="Consolas"/>
          <w:color w:val="333333"/>
          <w:sz w:val="18"/>
        </w:rPr>
        <w:t xml:space="preserve">  "likelihood_score": 2,</w:t>
        <w:br/>
      </w:r>
      <w:r>
        <w:rPr>
          <w:rFonts w:ascii="Consolas" w:hAnsi="Consolas"/>
          <w:color w:val="333333"/>
          <w:sz w:val="18"/>
        </w:rPr>
        <w:t xml:space="preserve">  "impact_score": 4,</w:t>
        <w:br/>
      </w:r>
      <w:r>
        <w:rPr>
          <w:rFonts w:ascii="Consolas" w:hAnsi="Consolas"/>
          <w:color w:val="333333"/>
          <w:sz w:val="18"/>
        </w:rPr>
        <w:t xml:space="preserve">  "overall_score": 8.0,</w:t>
        <w:br/>
      </w:r>
      <w:r>
        <w:rPr>
          <w:rFonts w:ascii="Consolas" w:hAnsi="Consolas"/>
          <w:color w:val="333333"/>
          <w:sz w:val="18"/>
        </w:rPr>
        <w:t xml:space="preserve">  "assessment_type": "periodic",</w:t>
        <w:br/>
      </w:r>
      <w:r>
        <w:rPr>
          <w:rFonts w:ascii="Consolas" w:hAnsi="Consolas"/>
          <w:color w:val="333333"/>
          <w:sz w:val="18"/>
        </w:rPr>
        <w:t xml:space="preserve">  "likelihood_rationale": "Two compensating controls are now operational...",</w:t>
        <w:br/>
      </w:r>
      <w:r>
        <w:rPr>
          <w:rFonts w:ascii="Consolas" w:hAnsi="Consolas"/>
          <w:color w:val="333333"/>
          <w:sz w:val="18"/>
        </w:rPr>
        <w:t xml:space="preserve">  "impact_rationale": "Financial misstatement impact remains high...",</w:t>
        <w:br/>
      </w:r>
      <w:r>
        <w:rPr>
          <w:rFonts w:ascii="Consolas" w:hAnsi="Consolas"/>
          <w:color w:val="333333"/>
          <w:sz w:val="18"/>
        </w:rPr>
        <w:t xml:space="preserve">  "monetary_impact": 450000.00,</w:t>
        <w:br/>
      </w:r>
      <w:r>
        <w:rPr>
          <w:rFonts w:ascii="Consolas" w:hAnsi="Consolas"/>
          <w:color w:val="333333"/>
          <w:sz w:val="18"/>
        </w:rPr>
        <w:t xml:space="preserve">  "currency": "SAR",</w:t>
        <w:br/>
      </w:r>
      <w:r>
        <w:rPr>
          <w:rFonts w:ascii="Consolas" w:hAnsi="Consolas"/>
          <w:color w:val="333333"/>
          <w:sz w:val="18"/>
        </w:rPr>
        <w:t xml:space="preserve">  "status": "draft",</w:t>
        <w:br/>
      </w:r>
      <w:r>
        <w:rPr>
          <w:rFonts w:ascii="Consolas" w:hAnsi="Consolas"/>
          <w:color w:val="333333"/>
          <w:sz w:val="18"/>
        </w:rPr>
        <w:t xml:space="preserve">  "comments": "Quarterly assessment Q3 2026",</w:t>
        <w:br/>
      </w:r>
      <w:r>
        <w:rPr>
          <w:rFonts w:ascii="Consolas" w:hAnsi="Consolas"/>
          <w:color w:val="333333"/>
          <w:sz w:val="18"/>
        </w:rPr>
        <w:t xml:space="preserve">  "created_at": "2026-09-06T10:00:00"</w:t>
        <w:br/>
      </w:r>
      <w:r>
        <w:rPr>
          <w:rFonts w:ascii="Consolas" w:hAnsi="Consolas"/>
          <w:color w:val="333333"/>
          <w:sz w:val="18"/>
        </w:rPr>
        <w:t>}</w:t>
        <w:br/>
      </w:r>
    </w:p>
    <w:p>
      <w:r>
        <w:t xml:space="preserve">When an assessment is created, the parent risk's </w:t>
      </w:r>
      <w:r>
        <w:rPr>
          <w:rFonts w:ascii="Consolas" w:hAnsi="Consolas"/>
          <w:color w:val="1A1A2E"/>
          <w:sz w:val="18"/>
        </w:rPr>
        <w:t>last_assessed_at</w:t>
      </w:r>
      <w:r>
        <w:t xml:space="preserve"> is updated and its </w:t>
      </w:r>
      <w:r>
        <w:rPr>
          <w:rFonts w:ascii="Consolas" w:hAnsi="Consolas"/>
          <w:color w:val="1A1A2E"/>
          <w:sz w:val="18"/>
        </w:rPr>
        <w:t>status</w:t>
      </w:r>
      <w:r>
        <w:t xml:space="preserve"> is automatically advanced to </w:t>
      </w:r>
      <w:r>
        <w:rPr>
          <w:rFonts w:ascii="Consolas" w:hAnsi="Consolas"/>
          <w:color w:val="1A1A2E"/>
          <w:sz w:val="18"/>
        </w:rPr>
        <w:t>assessed</w:t>
      </w:r>
      <w:r>
        <w:t>.</w:t>
      </w:r>
    </w:p>
    <w:p>
      <w:pPr>
        <w:pStyle w:val="Heading3"/>
      </w:pPr>
      <w:r>
        <w:t>3.3 Assessment Workflow</w:t>
      </w:r>
    </w:p>
    <w:p>
      <w:pPr>
        <w:ind w:left="432"/>
      </w:pPr>
      <w:r>
        <w:rPr>
          <w:rFonts w:ascii="Consolas" w:hAnsi="Consolas"/>
          <w:color w:val="333333"/>
          <w:sz w:val="18"/>
        </w:rPr>
        <w:t>draft</w:t>
        <w:br/>
      </w:r>
      <w:r>
        <w:rPr>
          <w:rFonts w:ascii="Consolas" w:hAnsi="Consolas"/>
          <w:color w:val="333333"/>
          <w:sz w:val="18"/>
        </w:rPr>
        <w:t xml:space="preserve">  |</w:t>
        <w:br/>
      </w:r>
      <w:r>
        <w:rPr>
          <w:rFonts w:ascii="Consolas" w:hAnsi="Consolas"/>
          <w:color w:val="333333"/>
          <w:sz w:val="18"/>
        </w:rPr>
        <w:t xml:space="preserve">  v  [assessor submits]</w:t>
        <w:br/>
      </w:r>
      <w:r>
        <w:rPr>
          <w:rFonts w:ascii="Consolas" w:hAnsi="Consolas"/>
          <w:color w:val="333333"/>
          <w:sz w:val="18"/>
        </w:rPr>
        <w:t>submitted</w:t>
        <w:br/>
      </w:r>
      <w:r>
        <w:rPr>
          <w:rFonts w:ascii="Consolas" w:hAnsi="Consolas"/>
          <w:color w:val="333333"/>
          <w:sz w:val="18"/>
        </w:rPr>
        <w:t xml:space="preserve">  |</w:t>
        <w:br/>
      </w:r>
      <w:r>
        <w:rPr>
          <w:rFonts w:ascii="Consolas" w:hAnsi="Consolas"/>
          <w:color w:val="333333"/>
          <w:sz w:val="18"/>
        </w:rPr>
        <w:t xml:space="preserve">  v  [risk manager reviews]</w:t>
        <w:br/>
      </w:r>
      <w:r>
        <w:rPr>
          <w:rFonts w:ascii="Consolas" w:hAnsi="Consolas"/>
          <w:color w:val="333333"/>
          <w:sz w:val="18"/>
        </w:rPr>
        <w:t>reviewed</w:t>
        <w:br/>
      </w:r>
      <w:r>
        <w:rPr>
          <w:rFonts w:ascii="Consolas" w:hAnsi="Consolas"/>
          <w:color w:val="333333"/>
          <w:sz w:val="18"/>
        </w:rPr>
        <w:t xml:space="preserve">  |</w:t>
        <w:br/>
      </w:r>
      <w:r>
        <w:rPr>
          <w:rFonts w:ascii="Consolas" w:hAnsi="Consolas"/>
          <w:color w:val="333333"/>
          <w:sz w:val="18"/>
        </w:rPr>
        <w:t xml:space="preserve">  v  [CRO or committee approves]</w:t>
        <w:br/>
      </w:r>
      <w:r>
        <w:rPr>
          <w:rFonts w:ascii="Consolas" w:hAnsi="Consolas"/>
          <w:color w:val="333333"/>
          <w:sz w:val="18"/>
        </w:rPr>
        <w:t>approved</w:t>
        <w:br/>
      </w:r>
    </w:p>
    <w:p>
      <w:r/>
      <w:r>
        <w:rPr>
          <w:b/>
        </w:rPr>
        <w:t>Submit assessment:</w:t>
      </w:r>
      <w:r/>
    </w:p>
    <w:p>
      <w:pPr>
        <w:ind w:left="432"/>
      </w:pPr>
      <w:r>
        <w:rPr>
          <w:rFonts w:ascii="Consolas" w:hAnsi="Consolas"/>
          <w:color w:val="333333"/>
          <w:sz w:val="18"/>
        </w:rPr>
        <w:t>PUT /api/rm/assessments/{assessment_id}/submit</w:t>
        <w:br/>
      </w:r>
      <w:r>
        <w:rPr>
          <w:rFonts w:ascii="Consolas" w:hAnsi="Consolas"/>
          <w:color w:val="333333"/>
          <w:sz w:val="18"/>
        </w:rPr>
        <w:t>{}</w:t>
        <w:br/>
      </w:r>
    </w:p>
    <w:p>
      <w:r>
        <w:t xml:space="preserve">Only assessments in </w:t>
      </w:r>
      <w:r>
        <w:rPr>
          <w:rFonts w:ascii="Consolas" w:hAnsi="Consolas"/>
          <w:color w:val="1A1A2E"/>
          <w:sz w:val="18"/>
        </w:rPr>
        <w:t>draft</w:t>
      </w:r>
      <w:r>
        <w:t xml:space="preserve"> status can be submitted. An HTTP 400 is returned if the assessment is already in a later status.</w:t>
      </w:r>
    </w:p>
    <w:p>
      <w:r/>
      <w:r>
        <w:rPr>
          <w:b/>
        </w:rPr>
        <w:t>Review assessment:</w:t>
      </w:r>
      <w:r/>
    </w:p>
    <w:p>
      <w:pPr>
        <w:ind w:left="432"/>
      </w:pPr>
      <w:r>
        <w:rPr>
          <w:rFonts w:ascii="Consolas" w:hAnsi="Consolas"/>
          <w:color w:val="333333"/>
          <w:sz w:val="18"/>
        </w:rPr>
        <w:t>PUT /api/rm/assessments/{assessment_id}/review</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"reviewed_by": "USR-0100",</w:t>
        <w:br/>
      </w:r>
      <w:r>
        <w:rPr>
          <w:rFonts w:ascii="Consolas" w:hAnsi="Consolas"/>
          <w:color w:val="333333"/>
          <w:sz w:val="18"/>
        </w:rPr>
        <w:t xml:space="preserve">  "comments": "Scores validated against Q3 control testing results. Approved."</w:t>
        <w:br/>
      </w:r>
      <w:r>
        <w:rPr>
          <w:rFonts w:ascii="Consolas" w:hAnsi="Consolas"/>
          <w:color w:val="333333"/>
          <w:sz w:val="18"/>
        </w:rPr>
        <w:t>}</w:t>
        <w:br/>
      </w:r>
    </w:p>
    <w:p>
      <w:r>
        <w:t xml:space="preserve">The reviewer's ID and timestamp are recorded, and status advances to </w:t>
      </w:r>
      <w:r>
        <w:rPr>
          <w:rFonts w:ascii="Consolas" w:hAnsi="Consolas"/>
          <w:color w:val="1A1A2E"/>
          <w:sz w:val="18"/>
        </w:rPr>
        <w:t>reviewed</w:t>
      </w:r>
      <w:r>
        <w:t>.</w:t>
      </w:r>
    </w:p>
    <w:p>
      <w:pPr>
        <w:pStyle w:val="Heading3"/>
      </w:pPr>
      <w:r>
        <w:t>3.4 Residual Score Update</w:t>
      </w:r>
    </w:p>
    <w:p>
      <w:r>
        <w:t xml:space="preserve">When an assessment is approved, the risk owner should update the parent risk's </w:t>
      </w:r>
      <w:r>
        <w:rPr>
          <w:rFonts w:ascii="Consolas" w:hAnsi="Consolas"/>
          <w:color w:val="1A1A2E"/>
          <w:sz w:val="18"/>
        </w:rPr>
        <w:t>residual_likelihood</w:t>
      </w:r>
      <w:r>
        <w:t xml:space="preserve">, </w:t>
      </w:r>
      <w:r>
        <w:rPr>
          <w:rFonts w:ascii="Consolas" w:hAnsi="Consolas"/>
          <w:color w:val="1A1A2E"/>
          <w:sz w:val="18"/>
        </w:rPr>
        <w:t>residual_impact</w:t>
      </w:r>
      <w:r>
        <w:t xml:space="preserve">, and </w:t>
      </w:r>
      <w:r>
        <w:rPr>
          <w:rFonts w:ascii="Consolas" w:hAnsi="Consolas"/>
          <w:color w:val="1A1A2E"/>
          <w:sz w:val="18"/>
        </w:rPr>
        <w:t>residual_score</w:t>
      </w:r>
      <w:r>
        <w:t xml:space="preserve"> to reflect the approved assessment scores. This is done via </w:t>
      </w:r>
      <w:r>
        <w:rPr>
          <w:rFonts w:ascii="Consolas" w:hAnsi="Consolas"/>
          <w:color w:val="1A1A2E"/>
          <w:sz w:val="18"/>
        </w:rPr>
        <w:t>PUT /api/rm/risks/{risk_id}</w:t>
      </w:r>
      <w:r>
        <w:t>:</w:t>
      </w:r>
    </w:p>
    <w:p>
      <w:pPr>
        <w:ind w:left="432"/>
      </w:pPr>
      <w:r>
        <w:rPr>
          <w:rFonts w:ascii="Consolas" w:hAnsi="Consolas"/>
          <w:color w:val="333333"/>
          <w:sz w:val="18"/>
        </w:rPr>
        <w:t>PUT /api/rm/risks/RISK_a3f7b2c81d04</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"residual_likelihood": 2,</w:t>
        <w:br/>
      </w:r>
      <w:r>
        <w:rPr>
          <w:rFonts w:ascii="Consolas" w:hAnsi="Consolas"/>
          <w:color w:val="333333"/>
          <w:sz w:val="18"/>
        </w:rPr>
        <w:t xml:space="preserve">  "residual_impact": 4,</w:t>
        <w:br/>
      </w:r>
      <w:r>
        <w:rPr>
          <w:rFonts w:ascii="Consolas" w:hAnsi="Consolas"/>
          <w:color w:val="333333"/>
          <w:sz w:val="18"/>
        </w:rPr>
        <w:t xml:space="preserve">  "residual_score": 8.0</w:t>
        <w:br/>
      </w:r>
      <w:r>
        <w:rPr>
          <w:rFonts w:ascii="Consolas" w:hAnsi="Consolas"/>
          <w:color w:val="333333"/>
          <w:sz w:val="18"/>
        </w:rPr>
        <w:t>}</w:t>
        <w:br/>
      </w:r>
    </w:p>
    <w:p>
      <w:r>
        <w:t>The system does not automatically copy assessment scores to the risk to preserve auditor oversight — a reviewer must make a deliberate decision to accept the assessor's scores as the new residual position.</w:t>
      </w:r>
    </w:p>
    <w:p>
      <w:r>
        <w:t xml:space="preserve">After updating residual scores, trigger </w:t>
      </w:r>
      <w:r>
        <w:rPr>
          <w:rFonts w:ascii="Consolas" w:hAnsi="Consolas"/>
          <w:color w:val="1A1A2E"/>
          <w:sz w:val="18"/>
        </w:rPr>
        <w:t>POST /api/rm/risks/{risk_id}/recompute-coverage</w:t>
      </w:r>
      <w:r>
        <w:t xml:space="preserve"> to refresh the XL-A system_indicated_residual.</w:t>
      </w:r>
    </w:p>
    <w:p>
      <w:pPr>
        <w:pStyle w:val="Heading3"/>
      </w:pPr>
      <w:r>
        <w:t>3.5 Assessment Campaigns</w:t>
      </w:r>
    </w:p>
    <w:p>
      <w:r>
        <w:t>An assessment campaign bulk-creates draft assessments for all active risks matching a filter. This is used for annual or quarterly bulk re-assessments.</w:t>
      </w:r>
    </w:p>
    <w:p>
      <w:r/>
      <w:r>
        <w:rPr>
          <w:b/>
        </w:rPr>
        <w:t>Request:</w:t>
      </w:r>
      <w:r/>
    </w:p>
    <w:p>
      <w:pPr>
        <w:ind w:left="432"/>
      </w:pPr>
      <w:r>
        <w:rPr>
          <w:rFonts w:ascii="Consolas" w:hAnsi="Consolas"/>
          <w:color w:val="333333"/>
          <w:sz w:val="18"/>
        </w:rPr>
        <w:t>POST /api/rm/assessment-campaigns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"category": "it_cyber",</w:t>
        <w:br/>
      </w:r>
      <w:r>
        <w:rPr>
          <w:rFonts w:ascii="Consolas" w:hAnsi="Consolas"/>
          <w:color w:val="333333"/>
          <w:sz w:val="18"/>
        </w:rPr>
        <w:t xml:space="preserve">  "assessor_id": "USR-0042",</w:t>
        <w:br/>
      </w:r>
      <w:r>
        <w:rPr>
          <w:rFonts w:ascii="Consolas" w:hAnsi="Consolas"/>
          <w:color w:val="333333"/>
          <w:sz w:val="18"/>
        </w:rPr>
        <w:t xml:space="preserve">  "assessor_name": "Ahmed Al-Rashid"</w:t>
        <w:br/>
      </w:r>
      <w:r>
        <w:rPr>
          <w:rFonts w:ascii="Consolas" w:hAnsi="Consolas"/>
          <w:color w:val="333333"/>
          <w:sz w:val="18"/>
        </w:rPr>
        <w:t>}</w:t>
        <w:br/>
      </w:r>
    </w:p>
    <w:p>
      <w:r>
        <w:t xml:space="preserve">Omitting </w:t>
      </w:r>
      <w:r>
        <w:rPr>
          <w:rFonts w:ascii="Consolas" w:hAnsi="Consolas"/>
          <w:color w:val="1A1A2E"/>
          <w:sz w:val="18"/>
        </w:rPr>
        <w:t>category</w:t>
      </w:r>
      <w:r>
        <w:t xml:space="preserve"> creates assessments for all active risks in the tenant. Each generated assessment is initialised with the risk's current residual scores (falling back to inherent scores if residual is not set) and placed in </w:t>
      </w:r>
      <w:r>
        <w:rPr>
          <w:rFonts w:ascii="Consolas" w:hAnsi="Consolas"/>
          <w:color w:val="1A1A2E"/>
          <w:sz w:val="18"/>
        </w:rPr>
        <w:t>draft</w:t>
      </w:r>
      <w:r>
        <w:t xml:space="preserve"> status for the assessor to review and update.</w:t>
      </w:r>
    </w:p>
    <w:p>
      <w:r/>
      <w:r>
        <w:rPr>
          <w:b/>
        </w:rPr>
        <w:t>Response:</w:t>
      </w:r>
      <w:r/>
    </w:p>
    <w:p>
      <w:pPr>
        <w:ind w:left="432"/>
      </w:pPr>
      <w:r>
        <w:rPr>
          <w:rFonts w:ascii="Consolas" w:hAnsi="Consolas"/>
          <w:color w:val="333333"/>
          <w:sz w:val="18"/>
        </w:rPr>
        <w:t>{</w:t>
        <w:br/>
      </w:r>
      <w:r>
        <w:rPr>
          <w:rFonts w:ascii="Consolas" w:hAnsi="Consolas"/>
          <w:color w:val="333333"/>
          <w:sz w:val="18"/>
        </w:rPr>
        <w:t xml:space="preserve">  "campaign_id": "CAMP_b8e21f093a7c",</w:t>
        <w:br/>
      </w:r>
      <w:r>
        <w:rPr>
          <w:rFonts w:ascii="Consolas" w:hAnsi="Consolas"/>
          <w:color w:val="333333"/>
          <w:sz w:val="18"/>
        </w:rPr>
        <w:t xml:space="preserve">  "assessments_created": 14,</w:t>
        <w:br/>
      </w:r>
      <w:r>
        <w:rPr>
          <w:rFonts w:ascii="Consolas" w:hAnsi="Consolas"/>
          <w:color w:val="333333"/>
          <w:sz w:val="18"/>
        </w:rPr>
        <w:t xml:space="preserve">  "assessment_ids": ["ASMT_...", "ASMT_...", "..."]</w:t>
        <w:br/>
      </w:r>
      <w:r>
        <w:rPr>
          <w:rFonts w:ascii="Consolas" w:hAnsi="Consolas"/>
          <w:color w:val="333333"/>
          <w:sz w:val="18"/>
        </w:rPr>
        <w:t>}</w:t>
        <w:br/>
      </w:r>
    </w:p>
    <w:p>
      <w:pPr>
        <w:pStyle w:val="Heading3"/>
      </w:pPr>
      <w:r>
        <w:t>3.6 Multi-Assessor Consensus</w:t>
      </w:r>
    </w:p>
    <w:p>
      <w:r>
        <w:t xml:space="preserve">For consensus assessments, multiple assessors independently submit assessments of type </w:t>
      </w:r>
      <w:r>
        <w:rPr>
          <w:rFonts w:ascii="Consolas" w:hAnsi="Consolas"/>
          <w:color w:val="1A1A2E"/>
          <w:sz w:val="18"/>
        </w:rPr>
        <w:t>consensus</w:t>
      </w:r>
      <w:r>
        <w:t xml:space="preserve"> against the same risk. The risk manager then averages the scores manually (or using the trend API) and records a final approved assessment that represents the consensus position. The system does not automatically average scores — the multi-assessor pattern is implemented by creating multiple individual assessment records and letting the reviewer synthesise them.</w:t>
      </w:r>
    </w:p>
    <w:p>
      <w:r/>
      <w:r>
        <w:rPr>
          <w:b/>
        </w:rPr>
        <w:t>API Endpoints — Assessments: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/api/rm/risks/{risk_id}/assessments</w:t>
            </w:r>
            <w:r/>
          </w:p>
        </w:tc>
        <w:tc>
          <w:tcPr>
            <w:tcW w:type="dxa" w:w="2880"/>
          </w:tcPr>
          <w:p>
            <w:r/>
            <w:r>
              <w:t>Create assessment</w:t>
            </w:r>
          </w:p>
        </w:tc>
      </w:tr>
      <w:tr>
        <w:tc>
          <w:tcPr>
            <w:tcW w:type="dxa" w:w="2880"/>
          </w:tcPr>
          <w:p>
            <w:r/>
            <w:r>
              <w:t>GET</w:t>
            </w:r>
          </w:p>
        </w:tc>
        <w:tc>
          <w:tcPr>
            <w:tcW w:type="dxa" w:w="2880"/>
          </w:tcPr>
          <w:p>
            <w:r/>
            <w:r/>
            <w:r>
              <w:rPr>
                <w:rFonts w:ascii="Consolas" w:hAnsi="Consolas"/>
                <w:color w:val="1A1A2E"/>
                <w:sz w:val="18"/>
              </w:rPr>
              <w:t>/api/rm/risks/{risk_id}/assessments</w:t>
            </w:r>
            <w:r/>
          </w:p>
        </w:tc>
        <w:tc>
          <w:tcPr>
            <w:tcW w:type="dxa" w:w="2880"/>
          </w:tcPr>
          <w:p>
            <w:r/>
            <w:r>
              <w:t>List assessments for a risk</w:t>
            </w:r>
          </w:p>
        </w:tc>
      </w:tr>
      <w:tr>
        <w:tc>
          <w:tcPr>
            <w:tcW w:type="dxa" w:w="2880"/>
          </w:tcPr>
          <w:p>
            <w:r/>
            <w:r>
              <w:t>PUT</w:t>
            </w:r>
          </w:p>
        </w:tc>
        <w:tc>
          <w:tcPr>
            <w:tcW w:type="dxa" w:w="2880"/>
          </w:tcPr>
          <w:p>
            <w:r/>
            <w:r/>
            <w:r>
              <w:rPr>
                <w:rFonts w:ascii="Consolas" w:hAnsi="Consolas"/>
                <w:color w:val="1A1A2E"/>
                <w:sz w:val="18"/>
              </w:rPr>
              <w:t>/api/rm/assessments/{assessment_id}/submit</w:t>
            </w:r>
            <w:r/>
          </w:p>
        </w:tc>
        <w:tc>
          <w:tcPr>
            <w:tcW w:type="dxa" w:w="2880"/>
          </w:tcPr>
          <w:p>
            <w:r/>
            <w:r>
              <w:t>Submit for review</w:t>
            </w:r>
          </w:p>
        </w:tc>
      </w:tr>
      <w:tr>
        <w:tc>
          <w:tcPr>
            <w:tcW w:type="dxa" w:w="2880"/>
          </w:tcPr>
          <w:p>
            <w:r/>
            <w:r>
              <w:t>PUT</w:t>
            </w:r>
          </w:p>
        </w:tc>
        <w:tc>
          <w:tcPr>
            <w:tcW w:type="dxa" w:w="2880"/>
          </w:tcPr>
          <w:p>
            <w:r/>
            <w:r/>
            <w:r>
              <w:rPr>
                <w:rFonts w:ascii="Consolas" w:hAnsi="Consolas"/>
                <w:color w:val="1A1A2E"/>
                <w:sz w:val="18"/>
              </w:rPr>
              <w:t>/api/rm/assessments/{assessment_id}/review</w:t>
            </w:r>
            <w:r/>
          </w:p>
        </w:tc>
        <w:tc>
          <w:tcPr>
            <w:tcW w:type="dxa" w:w="2880"/>
          </w:tcPr>
          <w:p>
            <w:r/>
            <w:r>
              <w:t>Review and advance</w:t>
            </w:r>
          </w:p>
        </w:tc>
      </w:tr>
      <w:tr>
        <w:tc>
          <w:tcPr>
            <w:tcW w:type="dxa" w:w="2880"/>
          </w:tcPr>
          <w:p>
            <w:r/>
            <w:r>
              <w:t>POST</w:t>
            </w:r>
          </w:p>
        </w:tc>
        <w:tc>
          <w:tcPr>
            <w:tcW w:type="dxa" w:w="2880"/>
          </w:tcPr>
          <w:p>
            <w:r/>
            <w:r/>
            <w:r>
              <w:rPr>
                <w:rFonts w:ascii="Consolas" w:hAnsi="Consolas"/>
                <w:color w:val="1A1A2E"/>
                <w:sz w:val="18"/>
              </w:rPr>
              <w:t>/api/rm/assessment-campaigns</w:t>
            </w:r>
            <w:r/>
          </w:p>
        </w:tc>
        <w:tc>
          <w:tcPr>
            <w:tcW w:type="dxa" w:w="2880"/>
          </w:tcPr>
          <w:p>
            <w:r/>
            <w:r>
              <w:t>Run bulk assessment campaign</w:t>
            </w:r>
          </w:p>
        </w:tc>
      </w:tr>
    </w:tbl>
    <w:p/>
    <w:p>
      <w:r>
        <w:rPr>
          <w:color w:val="CCCCCC"/>
        </w:rPr>
        <w:t>____________________________________________________________</w:t>
      </w:r>
    </w:p>
    <w:p>
      <w:pPr>
        <w:pStyle w:val="Heading2"/>
      </w:pPr>
      <w:r>
        <w:t>4. Risk Appetite and Tolerance (RM-03)</w:t>
      </w:r>
    </w:p>
    <w:p>
      <w:r>
        <w:t>Risk appetite defines how much risk the organisation is willing to accept in pursuit of its objectives. Risk tolerance is the maximum variation around appetite that is acceptable before escalation is required.</w:t>
      </w:r>
    </w:p>
    <w:p>
      <w:pPr>
        <w:pStyle w:val="Heading3"/>
      </w:pPr>
      <w:r>
        <w:t>4.1 Setting Appetite</w:t>
      </w:r>
    </w:p>
    <w:p>
      <w:r>
        <w:t xml:space="preserve">Appetite records are scoped to a </w:t>
      </w:r>
      <w:r>
        <w:rPr>
          <w:rFonts w:ascii="Consolas" w:hAnsi="Consolas"/>
          <w:color w:val="1A1A2E"/>
          <w:sz w:val="18"/>
        </w:rPr>
        <w:t>category</w:t>
      </w:r>
      <w:r>
        <w:t xml:space="preserve"> and optionally an </w:t>
      </w:r>
      <w:r>
        <w:rPr>
          <w:rFonts w:ascii="Consolas" w:hAnsi="Consolas"/>
          <w:color w:val="1A1A2E"/>
          <w:sz w:val="18"/>
        </w:rPr>
        <w:t>org_unit_id</w:t>
      </w:r>
      <w:r>
        <w:t xml:space="preserve">. A record with </w:t>
      </w:r>
      <w:r>
        <w:rPr>
          <w:rFonts w:ascii="Consolas" w:hAnsi="Consolas"/>
          <w:color w:val="1A1A2E"/>
          <w:sz w:val="18"/>
        </w:rPr>
        <w:t>category: "all"</w:t>
      </w:r>
      <w:r>
        <w:t xml:space="preserve"> and no org unit serves as the organisation-wide default.</w:t>
      </w:r>
    </w:p>
    <w:p>
      <w:r/>
      <w:r>
        <w:rPr>
          <w:b/>
        </w:rPr>
        <w:t>Create or update appetite:</w:t>
      </w:r>
      <w:r/>
    </w:p>
    <w:p>
      <w:pPr>
        <w:ind w:left="432"/>
      </w:pPr>
      <w:r>
        <w:rPr>
          <w:rFonts w:ascii="Consolas" w:hAnsi="Consolas"/>
          <w:color w:val="333333"/>
          <w:sz w:val="18"/>
        </w:rPr>
        <w:t>POST /api/rm/appetites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"category": "it_cyber",</w:t>
        <w:br/>
      </w:r>
      <w:r>
        <w:rPr>
          <w:rFonts w:ascii="Consolas" w:hAnsi="Consolas"/>
          <w:color w:val="333333"/>
          <w:sz w:val="18"/>
        </w:rPr>
        <w:t xml:space="preserve">  "org_unit_id": null,</w:t>
        <w:br/>
      </w:r>
      <w:r>
        <w:rPr>
          <w:rFonts w:ascii="Consolas" w:hAnsi="Consolas"/>
          <w:color w:val="333333"/>
          <w:sz w:val="18"/>
        </w:rPr>
        <w:t xml:space="preserve">  "appetite_score": 8,</w:t>
        <w:br/>
      </w:r>
      <w:r>
        <w:rPr>
          <w:rFonts w:ascii="Consolas" w:hAnsi="Consolas"/>
          <w:color w:val="333333"/>
          <w:sz w:val="18"/>
        </w:rPr>
        <w:t xml:space="preserve">  "tolerance_score": 15,</w:t>
        <w:br/>
      </w:r>
      <w:r>
        <w:rPr>
          <w:rFonts w:ascii="Consolas" w:hAnsi="Consolas"/>
          <w:color w:val="333333"/>
          <w:sz w:val="18"/>
        </w:rPr>
        <w:t xml:space="preserve">  "description": "IT and cyber risks with residual score above 8 require CRO attention. Above 15 requires Board notification within 5 business days.",</w:t>
        <w:br/>
      </w:r>
      <w:r>
        <w:rPr>
          <w:rFonts w:ascii="Consolas" w:hAnsi="Consolas"/>
          <w:color w:val="333333"/>
          <w:sz w:val="18"/>
        </w:rPr>
        <w:t xml:space="preserve">  "approved_by": "USR-0010",</w:t>
        <w:br/>
      </w:r>
      <w:r>
        <w:rPr>
          <w:rFonts w:ascii="Consolas" w:hAnsi="Consolas"/>
          <w:color w:val="333333"/>
          <w:sz w:val="18"/>
        </w:rPr>
        <w:t xml:space="preserve">  "effective_from": "2026-01-01T00:00:00",</w:t>
        <w:br/>
      </w:r>
      <w:r>
        <w:rPr>
          <w:rFonts w:ascii="Consolas" w:hAnsi="Consolas"/>
          <w:color w:val="333333"/>
          <w:sz w:val="18"/>
        </w:rPr>
        <w:t xml:space="preserve">  "effective_to": "2026-12-31T23:59:59"</w:t>
        <w:br/>
      </w:r>
      <w:r>
        <w:rPr>
          <w:rFonts w:ascii="Consolas" w:hAnsi="Consolas"/>
          <w:color w:val="333333"/>
          <w:sz w:val="18"/>
        </w:rPr>
        <w:t>}</w:t>
        <w:br/>
      </w:r>
    </w:p>
    <w:p>
      <w:r>
        <w:t xml:space="preserve">The endpoint performs an upsert: if an appetite record already exists for the same </w:t>
      </w:r>
      <w:r>
        <w:rPr>
          <w:rFonts w:ascii="Consolas" w:hAnsi="Consolas"/>
          <w:color w:val="1A1A2E"/>
          <w:sz w:val="18"/>
        </w:rPr>
        <w:t>category</w:t>
      </w:r>
      <w:r>
        <w:t xml:space="preserve"> and </w:t>
      </w:r>
      <w:r>
        <w:rPr>
          <w:rFonts w:ascii="Consolas" w:hAnsi="Consolas"/>
          <w:color w:val="1A1A2E"/>
          <w:sz w:val="18"/>
        </w:rPr>
        <w:t>org_unit_id</w:t>
      </w:r>
      <w:r>
        <w:t xml:space="preserve"> combination, it is updated in place. This avoids creating duplicate records during the annual appetite review cycle.</w:t>
      </w:r>
    </w:p>
    <w:p>
      <w:r/>
      <w:r>
        <w:rPr>
          <w:b/>
        </w:rPr>
        <w:t>Response (HTTP 201 or 200):</w:t>
      </w:r>
      <w:r/>
    </w:p>
    <w:p>
      <w:pPr>
        <w:ind w:left="432"/>
      </w:pPr>
      <w:r>
        <w:rPr>
          <w:rFonts w:ascii="Consolas" w:hAnsi="Consolas"/>
          <w:color w:val="333333"/>
          <w:sz w:val="18"/>
        </w:rPr>
        <w:t>{</w:t>
        <w:br/>
      </w:r>
      <w:r>
        <w:rPr>
          <w:rFonts w:ascii="Consolas" w:hAnsi="Consolas"/>
          <w:color w:val="333333"/>
          <w:sz w:val="18"/>
        </w:rPr>
        <w:t xml:space="preserve">  "category": "it_cyber",</w:t>
        <w:br/>
      </w:r>
      <w:r>
        <w:rPr>
          <w:rFonts w:ascii="Consolas" w:hAnsi="Consolas"/>
          <w:color w:val="333333"/>
          <w:sz w:val="18"/>
        </w:rPr>
        <w:t xml:space="preserve">  "org_unit_id": null,</w:t>
        <w:br/>
      </w:r>
      <w:r>
        <w:rPr>
          <w:rFonts w:ascii="Consolas" w:hAnsi="Consolas"/>
          <w:color w:val="333333"/>
          <w:sz w:val="18"/>
        </w:rPr>
        <w:t xml:space="preserve">  "appetite_score": 8.0,</w:t>
        <w:br/>
      </w:r>
      <w:r>
        <w:rPr>
          <w:rFonts w:ascii="Consolas" w:hAnsi="Consolas"/>
          <w:color w:val="333333"/>
          <w:sz w:val="18"/>
        </w:rPr>
        <w:t xml:space="preserve">  "tolerance_score": 15.0,</w:t>
        <w:br/>
      </w:r>
      <w:r>
        <w:rPr>
          <w:rFonts w:ascii="Consolas" w:hAnsi="Consolas"/>
          <w:color w:val="333333"/>
          <w:sz w:val="18"/>
        </w:rPr>
        <w:t xml:space="preserve">  "description": "IT and cyber risks with residual score above 8...",</w:t>
        <w:br/>
      </w:r>
      <w:r>
        <w:rPr>
          <w:rFonts w:ascii="Consolas" w:hAnsi="Consolas"/>
          <w:color w:val="333333"/>
          <w:sz w:val="18"/>
        </w:rPr>
        <w:t xml:space="preserve">  "approved_by": "USR-0010",</w:t>
        <w:br/>
      </w:r>
      <w:r>
        <w:rPr>
          <w:rFonts w:ascii="Consolas" w:hAnsi="Consolas"/>
          <w:color w:val="333333"/>
          <w:sz w:val="18"/>
        </w:rPr>
        <w:t xml:space="preserve">  "approved_at": "2026-09-06T10:30:00",</w:t>
        <w:br/>
      </w:r>
      <w:r>
        <w:rPr>
          <w:rFonts w:ascii="Consolas" w:hAnsi="Consolas"/>
          <w:color w:val="333333"/>
          <w:sz w:val="18"/>
        </w:rPr>
        <w:t xml:space="preserve">  "effective_from": "2026-01-01T00:00:00",</w:t>
        <w:br/>
      </w:r>
      <w:r>
        <w:rPr>
          <w:rFonts w:ascii="Consolas" w:hAnsi="Consolas"/>
          <w:color w:val="333333"/>
          <w:sz w:val="18"/>
        </w:rPr>
        <w:t xml:space="preserve">  "effective_to": "2026-12-31T23:59:59"</w:t>
        <w:br/>
      </w:r>
      <w:r>
        <w:rPr>
          <w:rFonts w:ascii="Consolas" w:hAnsi="Consolas"/>
          <w:color w:val="333333"/>
          <w:sz w:val="18"/>
        </w:rPr>
        <w:t>}</w:t>
        <w:br/>
      </w:r>
    </w:p>
    <w:p>
      <w:pPr>
        <w:pStyle w:val="Heading3"/>
      </w:pPr>
      <w:r>
        <w:t>4.2 Appetite vs Tolerance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Concept</w:t>
            </w:r>
          </w:p>
        </w:tc>
        <w:tc>
          <w:tcPr>
            <w:tcW w:type="dxa" w:w="2880"/>
          </w:tcPr>
          <w:p>
            <w:r>
              <w:rPr>
                <w:b/>
              </w:rPr>
            </w:r>
            <w:r>
              <w:rPr>
                <w:b/>
              </w:rPr>
              <w:t>Score Range</w:t>
            </w:r>
          </w:p>
        </w:tc>
        <w:tc>
          <w:tcPr>
            <w:tcW w:type="dxa" w:w="2880"/>
          </w:tcPr>
          <w:p>
            <w:r>
              <w:rPr>
                <w:b/>
              </w:rPr>
            </w:r>
            <w:r>
              <w:rPr>
                <w:b/>
              </w:rPr>
              <w:t>Meaning</w:t>
            </w:r>
          </w:p>
        </w:tc>
      </w:tr>
      <w:tr>
        <w:tc>
          <w:tcPr>
            <w:tcW w:type="dxa" w:w="2880"/>
          </w:tcPr>
          <w:p>
            <w:r/>
            <w:r>
              <w:t>Within appetite</w:t>
            </w:r>
          </w:p>
        </w:tc>
        <w:tc>
          <w:tcPr>
            <w:tcW w:type="dxa" w:w="2880"/>
          </w:tcPr>
          <w:p>
            <w:r/>
            <w:r/>
            <w:r>
              <w:rPr>
                <w:rFonts w:ascii="Consolas" w:hAnsi="Consolas"/>
                <w:color w:val="1A1A2E"/>
                <w:sz w:val="18"/>
              </w:rPr>
              <w:t>residual_score &lt;= appetite_score</w:t>
            </w:r>
            <w:r/>
          </w:p>
        </w:tc>
        <w:tc>
          <w:tcPr>
            <w:tcW w:type="dxa" w:w="2880"/>
          </w:tcPr>
          <w:p>
            <w:r/>
            <w:r>
              <w:t>Acceptable — no action required</w:t>
            </w:r>
          </w:p>
        </w:tc>
      </w:tr>
      <w:tr>
        <w:tc>
          <w:tcPr>
            <w:tcW w:type="dxa" w:w="2880"/>
          </w:tcPr>
          <w:p>
            <w:r/>
            <w:r>
              <w:t>Approaching tolerance</w:t>
            </w:r>
          </w:p>
        </w:tc>
        <w:tc>
          <w:tcPr>
            <w:tcW w:type="dxa" w:w="2880"/>
          </w:tcPr>
          <w:p>
            <w:r/>
            <w:r/>
            <w:r>
              <w:rPr>
                <w:rFonts w:ascii="Consolas" w:hAnsi="Consolas"/>
                <w:color w:val="1A1A2E"/>
                <w:sz w:val="18"/>
              </w:rPr>
              <w:t>appetite_score &lt; residual_score &lt;= tolerance_score</w:t>
            </w:r>
            <w:r/>
          </w:p>
        </w:tc>
        <w:tc>
          <w:tcPr>
            <w:tcW w:type="dxa" w:w="2880"/>
          </w:tcPr>
          <w:p>
            <w:r/>
            <w:r>
              <w:t>Appetite breached — risk owner action required</w:t>
            </w:r>
          </w:p>
        </w:tc>
      </w:tr>
      <w:tr>
        <w:tc>
          <w:tcPr>
            <w:tcW w:type="dxa" w:w="2880"/>
          </w:tcPr>
          <w:p>
            <w:r/>
            <w:r>
              <w:t>Tolerance breach</w:t>
            </w:r>
          </w:p>
        </w:tc>
        <w:tc>
          <w:tcPr>
            <w:tcW w:type="dxa" w:w="2880"/>
          </w:tcPr>
          <w:p>
            <w:r/>
            <w:r/>
            <w:r>
              <w:rPr>
                <w:rFonts w:ascii="Consolas" w:hAnsi="Consolas"/>
                <w:color w:val="1A1A2E"/>
                <w:sz w:val="18"/>
              </w:rPr>
              <w:t>residual_score &gt; tolerance_score</w:t>
            </w:r>
            <w:r/>
          </w:p>
        </w:tc>
        <w:tc>
          <w:tcPr>
            <w:tcW w:type="dxa" w:w="2880"/>
          </w:tcPr>
          <w:p>
            <w:r/>
            <w:r>
              <w:t>Tolerance breached — escalation to senior management or board required</w:t>
            </w:r>
          </w:p>
        </w:tc>
      </w:tr>
    </w:tbl>
    <w:p/>
    <w:p>
      <w:r>
        <w:t xml:space="preserve">The appetite check uses a lookup hierarchy: the system first tries to find an appetite record matching the risk's specific </w:t>
      </w:r>
      <w:r>
        <w:rPr>
          <w:rFonts w:ascii="Consolas" w:hAnsi="Consolas"/>
          <w:color w:val="1A1A2E"/>
          <w:sz w:val="18"/>
        </w:rPr>
        <w:t>category</w:t>
      </w:r>
      <w:r>
        <w:t xml:space="preserve">. If none exists, it falls back to the </w:t>
      </w:r>
      <w:r>
        <w:rPr>
          <w:rFonts w:ascii="Consolas" w:hAnsi="Consolas"/>
          <w:color w:val="1A1A2E"/>
          <w:sz w:val="18"/>
        </w:rPr>
        <w:t>category: "all"</w:t>
      </w:r>
      <w:r>
        <w:t xml:space="preserve"> record. If neither exists, appetite fields in the response are returned as </w:t>
      </w:r>
      <w:r>
        <w:rPr>
          <w:rFonts w:ascii="Consolas" w:hAnsi="Consolas"/>
          <w:color w:val="1A1A2E"/>
          <w:sz w:val="18"/>
        </w:rPr>
        <w:t>null</w:t>
      </w:r>
      <w:r>
        <w:t>.</w:t>
      </w:r>
    </w:p>
    <w:p>
      <w:pPr>
        <w:pStyle w:val="Heading3"/>
      </w:pPr>
      <w:r>
        <w:t>4.3 Breach Detection</w:t>
      </w:r>
    </w:p>
    <w:p>
      <w:r>
        <w:t>Run an appetite check at any time:</w:t>
      </w:r>
    </w:p>
    <w:p>
      <w:pPr>
        <w:ind w:left="432"/>
      </w:pPr>
      <w:r>
        <w:rPr>
          <w:rFonts w:ascii="Consolas" w:hAnsi="Consolas"/>
          <w:color w:val="333333"/>
          <w:sz w:val="18"/>
        </w:rPr>
        <w:t>GET /api/rm/risks/{risk_id}/appetite-check</w:t>
        <w:br/>
      </w:r>
    </w:p>
    <w:p>
      <w:r/>
      <w:r>
        <w:rPr>
          <w:b/>
        </w:rPr>
        <w:t>Response:</w:t>
      </w:r>
      <w:r/>
    </w:p>
    <w:p>
      <w:pPr>
        <w:ind w:left="432"/>
      </w:pPr>
      <w:r>
        <w:rPr>
          <w:rFonts w:ascii="Consolas" w:hAnsi="Consolas"/>
          <w:color w:val="333333"/>
          <w:sz w:val="18"/>
        </w:rPr>
        <w:t>{</w:t>
        <w:br/>
      </w:r>
      <w:r>
        <w:rPr>
          <w:rFonts w:ascii="Consolas" w:hAnsi="Consolas"/>
          <w:color w:val="333333"/>
          <w:sz w:val="18"/>
        </w:rPr>
        <w:t xml:space="preserve">  "risk_id": "RISK_a3f7b2c81d04",</w:t>
        <w:br/>
      </w:r>
      <w:r>
        <w:rPr>
          <w:rFonts w:ascii="Consolas" w:hAnsi="Consolas"/>
          <w:color w:val="333333"/>
          <w:sz w:val="18"/>
        </w:rPr>
        <w:t xml:space="preserve">  "risk_title": "Unauthorised Access to Financial Reporting Systems",</w:t>
        <w:br/>
      </w:r>
      <w:r>
        <w:rPr>
          <w:rFonts w:ascii="Consolas" w:hAnsi="Consolas"/>
          <w:color w:val="333333"/>
          <w:sz w:val="18"/>
        </w:rPr>
        <w:t xml:space="preserve">  "residual_score": 8.0,</w:t>
        <w:br/>
      </w:r>
      <w:r>
        <w:rPr>
          <w:rFonts w:ascii="Consolas" w:hAnsi="Consolas"/>
          <w:color w:val="333333"/>
          <w:sz w:val="18"/>
        </w:rPr>
        <w:t xml:space="preserve">  "appetite_score": 8.0,</w:t>
        <w:br/>
      </w:r>
      <w:r>
        <w:rPr>
          <w:rFonts w:ascii="Consolas" w:hAnsi="Consolas"/>
          <w:color w:val="333333"/>
          <w:sz w:val="18"/>
        </w:rPr>
        <w:t xml:space="preserve">  "tolerance_score": 15.0,</w:t>
        <w:br/>
      </w:r>
      <w:r>
        <w:rPr>
          <w:rFonts w:ascii="Consolas" w:hAnsi="Consolas"/>
          <w:color w:val="333333"/>
          <w:sz w:val="18"/>
        </w:rPr>
        <w:t xml:space="preserve">  "appetite_breach": false,</w:t>
        <w:br/>
      </w:r>
      <w:r>
        <w:rPr>
          <w:rFonts w:ascii="Consolas" w:hAnsi="Consolas"/>
          <w:color w:val="333333"/>
          <w:sz w:val="18"/>
        </w:rPr>
        <w:t xml:space="preserve">  "tolerance_breach": false,</w:t>
        <w:br/>
      </w:r>
      <w:r>
        <w:rPr>
          <w:rFonts w:ascii="Consolas" w:hAnsi="Consolas"/>
          <w:color w:val="333333"/>
          <w:sz w:val="18"/>
        </w:rPr>
        <w:t xml:space="preserve">  "status": "within_appetite",</w:t>
        <w:br/>
      </w:r>
      <w:r>
        <w:rPr>
          <w:rFonts w:ascii="Consolas" w:hAnsi="Consolas"/>
          <w:color w:val="333333"/>
          <w:sz w:val="18"/>
        </w:rPr>
        <w:br/>
      </w:r>
      <w:r>
        <w:rPr>
          <w:rFonts w:ascii="Consolas" w:hAnsi="Consolas"/>
          <w:color w:val="333333"/>
          <w:sz w:val="18"/>
        </w:rPr>
        <w:t xml:space="preserve">  "control_coverage": "degraded",</w:t>
        <w:br/>
      </w:r>
      <w:r>
        <w:rPr>
          <w:rFonts w:ascii="Consolas" w:hAnsi="Consolas"/>
          <w:color w:val="333333"/>
          <w:sz w:val="18"/>
        </w:rPr>
        <w:t xml:space="preserve">  "system_indicated_residual": 10.0,</w:t>
        <w:br/>
      </w:r>
      <w:r>
        <w:rPr>
          <w:rFonts w:ascii="Consolas" w:hAnsi="Consolas"/>
          <w:color w:val="333333"/>
          <w:sz w:val="18"/>
        </w:rPr>
        <w:t xml:space="preserve">  "coverage_computed_at": "2026-09-06T09:15:00",</w:t>
        <w:br/>
      </w:r>
      <w:r>
        <w:rPr>
          <w:rFonts w:ascii="Consolas" w:hAnsi="Consolas"/>
          <w:color w:val="333333"/>
          <w:sz w:val="18"/>
        </w:rPr>
        <w:t xml:space="preserve">  "indicated_appetite_breach": true,</w:t>
        <w:br/>
      </w:r>
      <w:r>
        <w:rPr>
          <w:rFonts w:ascii="Consolas" w:hAnsi="Consolas"/>
          <w:color w:val="333333"/>
          <w:sz w:val="18"/>
        </w:rPr>
        <w:t xml:space="preserve">  "indicated_tolerance_breach": false,</w:t>
        <w:br/>
      </w:r>
      <w:r>
        <w:rPr>
          <w:rFonts w:ascii="Consolas" w:hAnsi="Consolas"/>
          <w:color w:val="333333"/>
          <w:sz w:val="18"/>
        </w:rPr>
        <w:t xml:space="preserve">  "indicated_status": "appetite_breach"</w:t>
        <w:br/>
      </w:r>
      <w:r>
        <w:rPr>
          <w:rFonts w:ascii="Consolas" w:hAnsi="Consolas"/>
          <w:color w:val="333333"/>
          <w:sz w:val="18"/>
        </w:rPr>
        <w:t>}</w:t>
        <w:br/>
      </w:r>
    </w:p>
    <w:p>
      <w:r>
        <w:t>The response contains two independent assessments:</w:t>
      </w:r>
    </w:p>
    <w:p>
      <w:pPr>
        <w:pStyle w:val="ListNumber"/>
      </w:pPr>
      <w:r/>
      <w:r>
        <w:rPr>
          <w:b/>
        </w:rPr>
        <w:t>Assessor view</w:t>
      </w:r>
      <w:r>
        <w:t xml:space="preserve"> — based on </w:t>
      </w:r>
      <w:r>
        <w:rPr>
          <w:rFonts w:ascii="Consolas" w:hAnsi="Consolas"/>
          <w:color w:val="1A1A2E"/>
          <w:sz w:val="18"/>
        </w:rPr>
        <w:t>residual_score</w:t>
      </w:r>
      <w:r>
        <w:t xml:space="preserve"> set by the risk owner. In this example, 8.0 is exactly at the appetite threshold so no breach is flagged.</w:t>
      </w:r>
    </w:p>
    <w:p>
      <w:pPr>
        <w:pStyle w:val="ListNumber"/>
      </w:pPr>
      <w:r/>
      <w:r>
        <w:rPr>
          <w:b/>
        </w:rPr>
        <w:t>System-indicated view (XL-A)</w:t>
      </w:r>
      <w:r>
        <w:t xml:space="preserve"> — based on </w:t>
      </w:r>
      <w:r>
        <w:rPr>
          <w:rFonts w:ascii="Consolas" w:hAnsi="Consolas"/>
          <w:color w:val="1A1A2E"/>
          <w:sz w:val="18"/>
        </w:rPr>
        <w:t>system_indicated_residual</w:t>
      </w:r>
      <w:r>
        <w:t xml:space="preserve"> of 10.0, which exceeds the appetite of 8.0. </w:t>
      </w:r>
      <w:r>
        <w:rPr>
          <w:rFonts w:ascii="Consolas" w:hAnsi="Consolas"/>
          <w:color w:val="1A1A2E"/>
          <w:sz w:val="18"/>
        </w:rPr>
        <w:t>indicated_appetite_breach: true</w:t>
      </w:r>
      <w:r>
        <w:t xml:space="preserve"> is an early-warning signal that the control degradation has eroded the assumed risk position.</w:t>
      </w:r>
    </w:p>
    <w:p>
      <w:r/>
      <w:r>
        <w:rPr>
          <w:rFonts w:ascii="Consolas" w:hAnsi="Consolas"/>
          <w:color w:val="1A1A2E"/>
          <w:sz w:val="18"/>
        </w:rPr>
        <w:t>status</w:t>
      </w:r>
      <w:r>
        <w:t xml:space="preserve"> values: </w:t>
      </w:r>
      <w:r>
        <w:rPr>
          <w:rFonts w:ascii="Consolas" w:hAnsi="Consolas"/>
          <w:color w:val="1A1A2E"/>
          <w:sz w:val="18"/>
        </w:rPr>
        <w:t>within_appetite</w:t>
      </w:r>
      <w:r>
        <w:t xml:space="preserve">, </w:t>
      </w:r>
      <w:r>
        <w:rPr>
          <w:rFonts w:ascii="Consolas" w:hAnsi="Consolas"/>
          <w:color w:val="1A1A2E"/>
          <w:sz w:val="18"/>
        </w:rPr>
        <w:t>appetite_breach</w:t>
      </w:r>
      <w:r>
        <w:t xml:space="preserve">, </w:t>
      </w:r>
      <w:r>
        <w:rPr>
          <w:rFonts w:ascii="Consolas" w:hAnsi="Consolas"/>
          <w:color w:val="1A1A2E"/>
          <w:sz w:val="18"/>
        </w:rPr>
        <w:t>tolerance_breach</w:t>
      </w:r>
      <w:r>
        <w:t>.</w:t>
      </w:r>
    </w:p>
    <w:p>
      <w:r/>
      <w:r>
        <w:rPr>
          <w:rFonts w:ascii="Consolas" w:hAnsi="Consolas"/>
          <w:color w:val="1A1A2E"/>
          <w:sz w:val="18"/>
        </w:rPr>
        <w:t>indicated_status</w:t>
      </w:r>
      <w:r>
        <w:t xml:space="preserve"> values: </w:t>
      </w:r>
      <w:r>
        <w:rPr>
          <w:rFonts w:ascii="Consolas" w:hAnsi="Consolas"/>
          <w:color w:val="1A1A2E"/>
          <w:sz w:val="18"/>
        </w:rPr>
        <w:t>within_appetite</w:t>
      </w:r>
      <w:r>
        <w:t xml:space="preserve">, </w:t>
      </w:r>
      <w:r>
        <w:rPr>
          <w:rFonts w:ascii="Consolas" w:hAnsi="Consolas"/>
          <w:color w:val="1A1A2E"/>
          <w:sz w:val="18"/>
        </w:rPr>
        <w:t>appetite_breach</w:t>
      </w:r>
      <w:r>
        <w:t xml:space="preserve">, </w:t>
      </w:r>
      <w:r>
        <w:rPr>
          <w:rFonts w:ascii="Consolas" w:hAnsi="Consolas"/>
          <w:color w:val="1A1A2E"/>
          <w:sz w:val="18"/>
        </w:rPr>
        <w:t>tolerance_breach</w:t>
      </w:r>
      <w:r>
        <w:t xml:space="preserve">, </w:t>
      </w:r>
      <w:r>
        <w:rPr>
          <w:rFonts w:ascii="Consolas" w:hAnsi="Consolas"/>
          <w:color w:val="1A1A2E"/>
          <w:sz w:val="18"/>
        </w:rPr>
        <w:t>unknown</w:t>
      </w:r>
      <w:r>
        <w:t xml:space="preserve"> (if coverage has never been computed).</w:t>
      </w:r>
    </w:p>
    <w:p>
      <w:pPr>
        <w:pStyle w:val="Heading3"/>
      </w:pPr>
      <w:r>
        <w:t>4.4 System-Indicated Residual</w:t>
      </w:r>
    </w:p>
    <w:p>
      <w:r>
        <w:t xml:space="preserve">The </w:t>
      </w:r>
      <w:r>
        <w:rPr>
          <w:rFonts w:ascii="Consolas" w:hAnsi="Consolas"/>
          <w:color w:val="1A1A2E"/>
          <w:sz w:val="18"/>
        </w:rPr>
        <w:t>system_indicated_residual</w:t>
      </w:r>
      <w:r>
        <w:t xml:space="preserve"> is populated by the XL-A recompute-coverage endpoint (Section 2.7). It is evaluated against appetite using the same thresholds as the assessor's score. This creates an independent signal that is particularly valuable when:</w:t>
      </w:r>
    </w:p>
    <w:p>
      <w:pPr>
        <w:pStyle w:val="ListBullet"/>
      </w:pPr>
      <w:r>
        <w:t>A control has recently failed a test but the risk register has not yet been updated</w:t>
      </w:r>
    </w:p>
    <w:p>
      <w:pPr>
        <w:pStyle w:val="ListBullet"/>
      </w:pPr>
      <w:r>
        <w:t>A new audit finding has been raised against a key control</w:t>
      </w:r>
    </w:p>
    <w:p>
      <w:pPr>
        <w:pStyle w:val="ListBullet"/>
      </w:pPr>
      <w:r>
        <w:t>The risk committee wants to understand the "worst case" residual position given current control health</w:t>
      </w:r>
    </w:p>
    <w:p>
      <w:r/>
      <w:r>
        <w:rPr>
          <w:b/>
        </w:rPr>
        <w:t>API Endpoints — Appetite: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/api/rm/appetites</w:t>
            </w:r>
            <w:r/>
          </w:p>
        </w:tc>
        <w:tc>
          <w:tcPr>
            <w:tcW w:type="dxa" w:w="2880"/>
          </w:tcPr>
          <w:p>
            <w:r/>
            <w:r>
              <w:t>Create or update appetite</w:t>
            </w:r>
          </w:p>
        </w:tc>
      </w:tr>
      <w:tr>
        <w:tc>
          <w:tcPr>
            <w:tcW w:type="dxa" w:w="2880"/>
          </w:tcPr>
          <w:p>
            <w:r/>
            <w:r>
              <w:t>GET</w:t>
            </w:r>
          </w:p>
        </w:tc>
        <w:tc>
          <w:tcPr>
            <w:tcW w:type="dxa" w:w="2880"/>
          </w:tcPr>
          <w:p>
            <w:r/>
            <w:r/>
            <w:r>
              <w:rPr>
                <w:rFonts w:ascii="Consolas" w:hAnsi="Consolas"/>
                <w:color w:val="1A1A2E"/>
                <w:sz w:val="18"/>
              </w:rPr>
              <w:t>/api/rm/appetites</w:t>
            </w:r>
            <w:r/>
          </w:p>
        </w:tc>
        <w:tc>
          <w:tcPr>
            <w:tcW w:type="dxa" w:w="2880"/>
          </w:tcPr>
          <w:p>
            <w:r/>
            <w:r>
              <w:t>List appetite records (filters: category, org_unit_id)</w:t>
            </w:r>
          </w:p>
        </w:tc>
      </w:tr>
      <w:tr>
        <w:tc>
          <w:tcPr>
            <w:tcW w:type="dxa" w:w="2880"/>
          </w:tcPr>
          <w:p>
            <w:r/>
            <w:r>
              <w:t>GET</w:t>
            </w:r>
          </w:p>
        </w:tc>
        <w:tc>
          <w:tcPr>
            <w:tcW w:type="dxa" w:w="2880"/>
          </w:tcPr>
          <w:p>
            <w:r/>
            <w:r/>
            <w:r>
              <w:rPr>
                <w:rFonts w:ascii="Consolas" w:hAnsi="Consolas"/>
                <w:color w:val="1A1A2E"/>
                <w:sz w:val="18"/>
              </w:rPr>
              <w:t>/api/rm/risks/{risk_id}/appetite-check</w:t>
            </w:r>
            <w:r/>
          </w:p>
        </w:tc>
        <w:tc>
          <w:tcPr>
            <w:tcW w:type="dxa" w:w="2880"/>
          </w:tcPr>
          <w:p>
            <w:r/>
            <w:r>
              <w:t>Run appetite breach check for a risk</w:t>
            </w:r>
          </w:p>
        </w:tc>
      </w:tr>
    </w:tbl>
    <w:p/>
    <w:p>
      <w:r>
        <w:rPr>
          <w:color w:val="CCCCCC"/>
        </w:rPr>
        <w:t>____________________________________________________________</w:t>
      </w:r>
    </w:p>
    <w:p>
      <w:pPr>
        <w:pStyle w:val="Heading2"/>
      </w:pPr>
      <w:r>
        <w:t>5. Key Risk Indicators — KRI (RM-13)</w:t>
      </w:r>
    </w:p>
    <w:p>
      <w:r>
        <w:t>Key Risk Indicators are quantitative metrics that signal changes in a risk's exposure before a risk event occurs. A KRI measures something observable and correlated with the risk — for example, the number of failed login attempts (correlated with cyber risk) or the number of overdue access recertifications (correlated with access control risk).</w:t>
      </w:r>
    </w:p>
    <w:p>
      <w:pPr>
        <w:pStyle w:val="Heading3"/>
      </w:pPr>
      <w:r>
        <w:t>5.1 KRI Structure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Description</w:t>
            </w:r>
          </w:p>
        </w:tc>
      </w:tr>
      <w:tr>
        <w:tc>
          <w:tcPr>
            <w:tcW w:type="dxa" w:w="2880"/>
          </w:tcPr>
          <w:p>
            <w:r/>
            <w:r/>
            <w:r>
              <w:rPr>
                <w:rFonts w:ascii="Consolas" w:hAnsi="Consolas"/>
                <w:color w:val="1A1A2E"/>
                <w:sz w:val="18"/>
              </w:rPr>
              <w:t>kri_id</w:t>
            </w:r>
            <w:r/>
          </w:p>
        </w:tc>
        <w:tc>
          <w:tcPr>
            <w:tcW w:type="dxa" w:w="2880"/>
          </w:tcPr>
          <w:p>
            <w:r/>
            <w:r>
              <w:t>string</w:t>
            </w:r>
          </w:p>
        </w:tc>
        <w:tc>
          <w:tcPr>
            <w:tcW w:type="dxa" w:w="2880"/>
          </w:tcPr>
          <w:p>
            <w:r/>
            <w:r>
              <w:t>Unique identifier</w:t>
            </w:r>
          </w:p>
        </w:tc>
      </w:tr>
      <w:tr>
        <w:tc>
          <w:tcPr>
            <w:tcW w:type="dxa" w:w="2880"/>
          </w:tcPr>
          <w:p>
            <w:r/>
            <w:r/>
            <w:r>
              <w:rPr>
                <w:rFonts w:ascii="Consolas" w:hAnsi="Consolas"/>
                <w:color w:val="1A1A2E"/>
                <w:sz w:val="18"/>
              </w:rPr>
              <w:t>name</w:t>
            </w:r>
            <w:r/>
          </w:p>
        </w:tc>
        <w:tc>
          <w:tcPr>
            <w:tcW w:type="dxa" w:w="2880"/>
          </w:tcPr>
          <w:p>
            <w:r/>
            <w:r>
              <w:t>string</w:t>
            </w:r>
          </w:p>
        </w:tc>
        <w:tc>
          <w:tcPr>
            <w:tcW w:type="dxa" w:w="2880"/>
          </w:tcPr>
          <w:p>
            <w:r/>
            <w:r>
              <w:t>KRI name (e.g. "Failed Authentication Attempts - Monthly")</w:t>
            </w:r>
          </w:p>
        </w:tc>
      </w:tr>
      <w:tr>
        <w:tc>
          <w:tcPr>
            <w:tcW w:type="dxa" w:w="2880"/>
          </w:tcPr>
          <w:p>
            <w:r/>
            <w:r/>
            <w:r>
              <w:rPr>
                <w:rFonts w:ascii="Consolas" w:hAnsi="Consolas"/>
                <w:color w:val="1A1A2E"/>
                <w:sz w:val="18"/>
              </w:rPr>
              <w:t>description</w:t>
            </w:r>
            <w:r/>
          </w:p>
        </w:tc>
        <w:tc>
          <w:tcPr>
            <w:tcW w:type="dxa" w:w="2880"/>
          </w:tcPr>
          <w:p>
            <w:r/>
            <w:r>
              <w:t>text</w:t>
            </w:r>
          </w:p>
        </w:tc>
        <w:tc>
          <w:tcPr>
            <w:tcW w:type="dxa" w:w="2880"/>
          </w:tcPr>
          <w:p>
            <w:r/>
            <w:r>
              <w:t>What the KRI measures and why it matters</w:t>
            </w:r>
          </w:p>
        </w:tc>
      </w:tr>
      <w:tr>
        <w:tc>
          <w:tcPr>
            <w:tcW w:type="dxa" w:w="2880"/>
          </w:tcPr>
          <w:p>
            <w:r/>
            <w:r/>
            <w:r>
              <w:rPr>
                <w:rFonts w:ascii="Consolas" w:hAnsi="Consolas"/>
                <w:color w:val="1A1A2E"/>
                <w:sz w:val="18"/>
              </w:rPr>
              <w:t>risk_id</w:t>
            </w:r>
            <w:r/>
          </w:p>
        </w:tc>
        <w:tc>
          <w:tcPr>
            <w:tcW w:type="dxa" w:w="2880"/>
          </w:tcPr>
          <w:p>
            <w:r/>
            <w:r>
              <w:t>integer</w:t>
            </w:r>
          </w:p>
        </w:tc>
        <w:tc>
          <w:tcPr>
            <w:tcW w:type="dxa" w:w="2880"/>
          </w:tcPr>
          <w:p>
            <w:r/>
            <w:r>
              <w:t xml:space="preserve">FK to the </w:t>
            </w:r>
            <w:r>
              <w:rPr>
                <w:rFonts w:ascii="Consolas" w:hAnsi="Consolas"/>
                <w:color w:val="1A1A2E"/>
                <w:sz w:val="18"/>
              </w:rPr>
              <w:t>enterprise_risks</w:t>
            </w:r>
            <w:r>
              <w:t xml:space="preserve"> table (optional — KRIs can be standalone)</w:t>
            </w:r>
          </w:p>
        </w:tc>
      </w:tr>
      <w:tr>
        <w:tc>
          <w:tcPr>
            <w:tcW w:type="dxa" w:w="2880"/>
          </w:tcPr>
          <w:p>
            <w:r/>
            <w:r/>
            <w:r>
              <w:rPr>
                <w:rFonts w:ascii="Consolas" w:hAnsi="Consolas"/>
                <w:color w:val="1A1A2E"/>
                <w:sz w:val="18"/>
              </w:rPr>
              <w:t>data_source</w:t>
            </w:r>
            <w:r/>
          </w:p>
        </w:tc>
        <w:tc>
          <w:tcPr>
            <w:tcW w:type="dxa" w:w="2880"/>
          </w:tcPr>
          <w:p>
            <w:r/>
            <w:r>
              <w:t>string</w:t>
            </w:r>
          </w:p>
        </w:tc>
        <w:tc>
          <w:tcPr>
            <w:tcW w:type="dxa" w:w="2880"/>
          </w:tcPr>
          <w:p>
            <w:r/>
            <w:r>
              <w:t xml:space="preserve">Where measurements come from: </w:t>
            </w:r>
            <w:r>
              <w:rPr>
                <w:rFonts w:ascii="Consolas" w:hAnsi="Consolas"/>
                <w:color w:val="1A1A2E"/>
                <w:sz w:val="18"/>
              </w:rPr>
              <w:t>manual</w:t>
            </w:r>
            <w:r>
              <w:t xml:space="preserve">, </w:t>
            </w:r>
            <w:r>
              <w:rPr>
                <w:rFonts w:ascii="Consolas" w:hAnsi="Consolas"/>
                <w:color w:val="1A1A2E"/>
                <w:sz w:val="18"/>
              </w:rPr>
              <w:t>siem</w:t>
            </w:r>
            <w:r>
              <w:t xml:space="preserve">, </w:t>
            </w:r>
            <w:r>
              <w:rPr>
                <w:rFonts w:ascii="Consolas" w:hAnsi="Consolas"/>
                <w:color w:val="1A1A2E"/>
                <w:sz w:val="18"/>
              </w:rPr>
              <w:t>ac</w:t>
            </w:r>
            <w:r>
              <w:t xml:space="preserve">, </w:t>
            </w:r>
            <w:r>
              <w:rPr>
                <w:rFonts w:ascii="Consolas" w:hAnsi="Consolas"/>
                <w:color w:val="1A1A2E"/>
                <w:sz w:val="18"/>
              </w:rPr>
              <w:t>hris</w:t>
            </w:r>
            <w:r>
              <w:t xml:space="preserve">, </w:t>
            </w:r>
            <w:r>
              <w:rPr>
                <w:rFonts w:ascii="Consolas" w:hAnsi="Consolas"/>
                <w:color w:val="1A1A2E"/>
                <w:sz w:val="18"/>
              </w:rPr>
              <w:t>erp</w:t>
            </w:r>
            <w:r/>
          </w:p>
        </w:tc>
      </w:tr>
      <w:tr>
        <w:tc>
          <w:tcPr>
            <w:tcW w:type="dxa" w:w="2880"/>
          </w:tcPr>
          <w:p>
            <w:r/>
            <w:r/>
            <w:r>
              <w:rPr>
                <w:rFonts w:ascii="Consolas" w:hAnsi="Consolas"/>
                <w:color w:val="1A1A2E"/>
                <w:sz w:val="18"/>
              </w:rPr>
              <w:t>unit_of_measure</w:t>
            </w:r>
            <w:r/>
          </w:p>
        </w:tc>
        <w:tc>
          <w:tcPr>
            <w:tcW w:type="dxa" w:w="2880"/>
          </w:tcPr>
          <w:p>
            <w:r/>
            <w:r>
              <w:t>string</w:t>
            </w:r>
          </w:p>
        </w:tc>
        <w:tc>
          <w:tcPr>
            <w:tcW w:type="dxa" w:w="2880"/>
          </w:tcPr>
          <w:p>
            <w:r/>
            <w:r>
              <w:t xml:space="preserve">e.g. </w:t>
            </w:r>
            <w:r>
              <w:rPr>
                <w:rFonts w:ascii="Consolas" w:hAnsi="Consolas"/>
                <w:color w:val="1A1A2E"/>
                <w:sz w:val="18"/>
              </w:rPr>
              <w:t>count</w:t>
            </w:r>
            <w:r>
              <w:t xml:space="preserve">, </w:t>
            </w:r>
            <w:r>
              <w:rPr>
                <w:rFonts w:ascii="Consolas" w:hAnsi="Consolas"/>
                <w:color w:val="1A1A2E"/>
                <w:sz w:val="18"/>
              </w:rPr>
              <w:t>percentage</w:t>
            </w:r>
            <w:r>
              <w:t xml:space="preserve">, </w:t>
            </w:r>
            <w:r>
              <w:rPr>
                <w:rFonts w:ascii="Consolas" w:hAnsi="Consolas"/>
                <w:color w:val="1A1A2E"/>
                <w:sz w:val="18"/>
              </w:rPr>
              <w:t>days</w:t>
            </w:r>
            <w:r>
              <w:t xml:space="preserve">, </w:t>
            </w:r>
            <w:r>
              <w:rPr>
                <w:rFonts w:ascii="Consolas" w:hAnsi="Consolas"/>
                <w:color w:val="1A1A2E"/>
                <w:sz w:val="18"/>
              </w:rPr>
              <w:t>USD</w:t>
            </w:r>
            <w:r/>
          </w:p>
        </w:tc>
      </w:tr>
      <w:tr>
        <w:tc>
          <w:tcPr>
            <w:tcW w:type="dxa" w:w="2880"/>
          </w:tcPr>
          <w:p>
            <w:r/>
            <w:r/>
            <w:r>
              <w:rPr>
                <w:rFonts w:ascii="Consolas" w:hAnsi="Consolas"/>
                <w:color w:val="1A1A2E"/>
                <w:sz w:val="18"/>
              </w:rPr>
              <w:t>frequency</w:t>
            </w:r>
            <w:r/>
          </w:p>
        </w:tc>
        <w:tc>
          <w:tcPr>
            <w:tcW w:type="dxa" w:w="2880"/>
          </w:tcPr>
          <w:p>
            <w:r/>
            <w:r>
              <w:t>string</w:t>
            </w:r>
          </w:p>
        </w:tc>
        <w:tc>
          <w:tcPr>
            <w:tcW w:type="dxa" w:w="2880"/>
          </w:tcPr>
          <w:p>
            <w:r/>
            <w:r/>
            <w:r>
              <w:rPr>
                <w:rFonts w:ascii="Consolas" w:hAnsi="Consolas"/>
                <w:color w:val="1A1A2E"/>
                <w:sz w:val="18"/>
              </w:rPr>
              <w:t>daily</w:t>
            </w:r>
            <w:r>
              <w:t xml:space="preserve">, </w:t>
            </w:r>
            <w:r>
              <w:rPr>
                <w:rFonts w:ascii="Consolas" w:hAnsi="Consolas"/>
                <w:color w:val="1A1A2E"/>
                <w:sz w:val="18"/>
              </w:rPr>
              <w:t>weekly</w:t>
            </w:r>
            <w:r>
              <w:t xml:space="preserve">, </w:t>
            </w:r>
            <w:r>
              <w:rPr>
                <w:rFonts w:ascii="Consolas" w:hAnsi="Consolas"/>
                <w:color w:val="1A1A2E"/>
                <w:sz w:val="18"/>
              </w:rPr>
              <w:t>monthly</w:t>
            </w:r>
            <w:r>
              <w:t xml:space="preserve">, </w:t>
            </w:r>
            <w:r>
              <w:rPr>
                <w:rFonts w:ascii="Consolas" w:hAnsi="Consolas"/>
                <w:color w:val="1A1A2E"/>
                <w:sz w:val="18"/>
              </w:rPr>
              <w:t>quarterly</w:t>
            </w:r>
            <w:r/>
          </w:p>
        </w:tc>
      </w:tr>
      <w:tr>
        <w:tc>
          <w:tcPr>
            <w:tcW w:type="dxa" w:w="2880"/>
          </w:tcPr>
          <w:p>
            <w:r/>
            <w:r/>
            <w:r>
              <w:rPr>
                <w:rFonts w:ascii="Consolas" w:hAnsi="Consolas"/>
                <w:color w:val="1A1A2E"/>
                <w:sz w:val="18"/>
              </w:rPr>
              <w:t>threshold_green</w:t>
            </w:r>
            <w:r/>
          </w:p>
        </w:tc>
        <w:tc>
          <w:tcPr>
            <w:tcW w:type="dxa" w:w="2880"/>
          </w:tcPr>
          <w:p>
            <w:r/>
            <w:r>
              <w:t>float</w:t>
            </w:r>
          </w:p>
        </w:tc>
        <w:tc>
          <w:tcPr>
            <w:tcW w:type="dxa" w:w="2880"/>
          </w:tcPr>
          <w:p>
            <w:r/>
            <w:r>
              <w:t>Upper boundary of the normal (green) zone</w:t>
            </w:r>
          </w:p>
        </w:tc>
      </w:tr>
      <w:tr>
        <w:tc>
          <w:tcPr>
            <w:tcW w:type="dxa" w:w="2880"/>
          </w:tcPr>
          <w:p>
            <w:r/>
            <w:r/>
            <w:r>
              <w:rPr>
                <w:rFonts w:ascii="Consolas" w:hAnsi="Consolas"/>
                <w:color w:val="1A1A2E"/>
                <w:sz w:val="18"/>
              </w:rPr>
              <w:t>threshold_amber</w:t>
            </w:r>
            <w:r/>
          </w:p>
        </w:tc>
        <w:tc>
          <w:tcPr>
            <w:tcW w:type="dxa" w:w="2880"/>
          </w:tcPr>
          <w:p>
            <w:r/>
            <w:r>
              <w:t>float</w:t>
            </w:r>
          </w:p>
        </w:tc>
        <w:tc>
          <w:tcPr>
            <w:tcW w:type="dxa" w:w="2880"/>
          </w:tcPr>
          <w:p>
            <w:r/>
            <w:r>
              <w:t>Upper boundary of the warning (amber) zone</w:t>
            </w:r>
          </w:p>
        </w:tc>
      </w:tr>
      <w:tr>
        <w:tc>
          <w:tcPr>
            <w:tcW w:type="dxa" w:w="2880"/>
          </w:tcPr>
          <w:p>
            <w:r/>
            <w:r/>
            <w:r>
              <w:rPr>
                <w:rFonts w:ascii="Consolas" w:hAnsi="Consolas"/>
                <w:color w:val="1A1A2E"/>
                <w:sz w:val="18"/>
              </w:rPr>
              <w:t>threshold_red</w:t>
            </w:r>
            <w:r/>
          </w:p>
        </w:tc>
        <w:tc>
          <w:tcPr>
            <w:tcW w:type="dxa" w:w="2880"/>
          </w:tcPr>
          <w:p>
            <w:r/>
            <w:r>
              <w:t>float</w:t>
            </w:r>
          </w:p>
        </w:tc>
        <w:tc>
          <w:tcPr>
            <w:tcW w:type="dxa" w:w="2880"/>
          </w:tcPr>
          <w:p>
            <w:r/>
            <w:r>
              <w:t>Lower boundary of the breach (red) zone</w:t>
            </w:r>
          </w:p>
        </w:tc>
      </w:tr>
      <w:tr>
        <w:tc>
          <w:tcPr>
            <w:tcW w:type="dxa" w:w="2880"/>
          </w:tcPr>
          <w:p>
            <w:r/>
            <w:r/>
            <w:r>
              <w:rPr>
                <w:rFonts w:ascii="Consolas" w:hAnsi="Consolas"/>
                <w:color w:val="1A1A2E"/>
                <w:sz w:val="18"/>
              </w:rPr>
              <w:t>current_value</w:t>
            </w:r>
            <w:r/>
          </w:p>
        </w:tc>
        <w:tc>
          <w:tcPr>
            <w:tcW w:type="dxa" w:w="2880"/>
          </w:tcPr>
          <w:p>
            <w:r/>
            <w:r>
              <w:t>float</w:t>
            </w:r>
          </w:p>
        </w:tc>
        <w:tc>
          <w:tcPr>
            <w:tcW w:type="dxa" w:w="2880"/>
          </w:tcPr>
          <w:p>
            <w:r/>
            <w:r>
              <w:t>Most recently recorded measurement</w:t>
            </w:r>
          </w:p>
        </w:tc>
      </w:tr>
      <w:tr>
        <w:tc>
          <w:tcPr>
            <w:tcW w:type="dxa" w:w="2880"/>
          </w:tcPr>
          <w:p>
            <w:r/>
            <w:r/>
            <w:r>
              <w:rPr>
                <w:rFonts w:ascii="Consolas" w:hAnsi="Consolas"/>
                <w:color w:val="1A1A2E"/>
                <w:sz w:val="18"/>
              </w:rPr>
              <w:t>last_measured_at</w:t>
            </w:r>
            <w:r/>
          </w:p>
        </w:tc>
        <w:tc>
          <w:tcPr>
            <w:tcW w:type="dxa" w:w="2880"/>
          </w:tcPr>
          <w:p>
            <w:r/>
            <w:r>
              <w:t>datetime</w:t>
            </w:r>
          </w:p>
        </w:tc>
        <w:tc>
          <w:tcPr>
            <w:tcW w:type="dxa" w:w="2880"/>
          </w:tcPr>
          <w:p>
            <w:r/>
            <w:r>
              <w:t>When the current value was recorded</w:t>
            </w:r>
          </w:p>
        </w:tc>
      </w:tr>
      <w:tr>
        <w:tc>
          <w:tcPr>
            <w:tcW w:type="dxa" w:w="2880"/>
          </w:tcPr>
          <w:p>
            <w:r/>
            <w:r/>
            <w:r>
              <w:rPr>
                <w:rFonts w:ascii="Consolas" w:hAnsi="Consolas"/>
                <w:color w:val="1A1A2E"/>
                <w:sz w:val="18"/>
              </w:rPr>
              <w:t>status</w:t>
            </w:r>
            <w:r/>
          </w:p>
        </w:tc>
        <w:tc>
          <w:tcPr>
            <w:tcW w:type="dxa" w:w="2880"/>
          </w:tcPr>
          <w:p>
            <w:r/>
            <w:r>
              <w:t>enum</w:t>
            </w:r>
          </w:p>
        </w:tc>
        <w:tc>
          <w:tcPr>
            <w:tcW w:type="dxa" w:w="2880"/>
          </w:tcPr>
          <w:p>
            <w:r/>
            <w:r>
              <w:t xml:space="preserve">Current traffic-light: </w:t>
            </w:r>
            <w:r>
              <w:rPr>
                <w:rFonts w:ascii="Consolas" w:hAnsi="Consolas"/>
                <w:color w:val="1A1A2E"/>
                <w:sz w:val="18"/>
              </w:rPr>
              <w:t>normal</w:t>
            </w:r>
            <w:r>
              <w:t xml:space="preserve">, </w:t>
            </w:r>
            <w:r>
              <w:rPr>
                <w:rFonts w:ascii="Consolas" w:hAnsi="Consolas"/>
                <w:color w:val="1A1A2E"/>
                <w:sz w:val="18"/>
              </w:rPr>
              <w:t>warning</w:t>
            </w:r>
            <w:r>
              <w:t xml:space="preserve">, </w:t>
            </w:r>
            <w:r>
              <w:rPr>
                <w:rFonts w:ascii="Consolas" w:hAnsi="Consolas"/>
                <w:color w:val="1A1A2E"/>
                <w:sz w:val="18"/>
              </w:rPr>
              <w:t>breach</w:t>
            </w:r>
            <w:r/>
          </w:p>
        </w:tc>
      </w:tr>
      <w:tr>
        <w:tc>
          <w:tcPr>
            <w:tcW w:type="dxa" w:w="2880"/>
          </w:tcPr>
          <w:p>
            <w:r/>
            <w:r/>
            <w:r>
              <w:rPr>
                <w:rFonts w:ascii="Consolas" w:hAnsi="Consolas"/>
                <w:color w:val="1A1A2E"/>
                <w:sz w:val="18"/>
              </w:rPr>
              <w:t>owner_id</w:t>
            </w:r>
            <w:r/>
          </w:p>
        </w:tc>
        <w:tc>
          <w:tcPr>
            <w:tcW w:type="dxa" w:w="2880"/>
          </w:tcPr>
          <w:p>
            <w:r/>
            <w:r>
              <w:t>string</w:t>
            </w:r>
          </w:p>
        </w:tc>
        <w:tc>
          <w:tcPr>
            <w:tcW w:type="dxa" w:w="2880"/>
          </w:tcPr>
          <w:p>
            <w:r/>
            <w:r>
              <w:t>Person responsible for the KRI</w:t>
            </w:r>
          </w:p>
        </w:tc>
      </w:tr>
    </w:tbl>
    <w:p/>
    <w:p>
      <w:r>
        <w:t xml:space="preserve">Threshold design: </w:t>
      </w:r>
      <w:r>
        <w:rPr>
          <w:rFonts w:ascii="Consolas" w:hAnsi="Consolas"/>
          <w:color w:val="1A1A2E"/>
          <w:sz w:val="18"/>
        </w:rPr>
        <w:t>threshold_green &lt; threshold_amber &lt; threshold_red</w:t>
      </w:r>
      <w:r>
        <w:t xml:space="preserve">. A value below </w:t>
      </w:r>
      <w:r>
        <w:rPr>
          <w:rFonts w:ascii="Consolas" w:hAnsi="Consolas"/>
          <w:color w:val="1A1A2E"/>
          <w:sz w:val="18"/>
        </w:rPr>
        <w:t>threshold_green</w:t>
      </w:r>
      <w:r>
        <w:t xml:space="preserve"> is normal. A value between </w:t>
      </w:r>
      <w:r>
        <w:rPr>
          <w:rFonts w:ascii="Consolas" w:hAnsi="Consolas"/>
          <w:color w:val="1A1A2E"/>
          <w:sz w:val="18"/>
        </w:rPr>
        <w:t>threshold_green</w:t>
      </w:r>
      <w:r>
        <w:t xml:space="preserve"> and </w:t>
      </w:r>
      <w:r>
        <w:rPr>
          <w:rFonts w:ascii="Consolas" w:hAnsi="Consolas"/>
          <w:color w:val="1A1A2E"/>
          <w:sz w:val="18"/>
        </w:rPr>
        <w:t>threshold_amber</w:t>
      </w:r>
      <w:r>
        <w:t xml:space="preserve"> (inclusive) triggers a warning. A value at or above </w:t>
      </w:r>
      <w:r>
        <w:rPr>
          <w:rFonts w:ascii="Consolas" w:hAnsi="Consolas"/>
          <w:color w:val="1A1A2E"/>
          <w:sz w:val="18"/>
        </w:rPr>
        <w:t>threshold_amber</w:t>
      </w:r>
      <w:r>
        <w:t xml:space="preserve"> (exclusive — i.e. </w:t>
      </w:r>
      <w:r>
        <w:rPr>
          <w:rFonts w:ascii="Consolas" w:hAnsi="Consolas"/>
          <w:color w:val="1A1A2E"/>
          <w:sz w:val="18"/>
        </w:rPr>
        <w:t>&gt;= threshold_red</w:t>
      </w:r>
      <w:r>
        <w:t xml:space="preserve">) triggers breach. Values between </w:t>
      </w:r>
      <w:r>
        <w:rPr>
          <w:rFonts w:ascii="Consolas" w:hAnsi="Consolas"/>
          <w:color w:val="1A1A2E"/>
          <w:sz w:val="18"/>
        </w:rPr>
        <w:t>threshold_amber</w:t>
      </w:r>
      <w:r>
        <w:t xml:space="preserve"> and </w:t>
      </w:r>
      <w:r>
        <w:rPr>
          <w:rFonts w:ascii="Consolas" w:hAnsi="Consolas"/>
          <w:color w:val="1A1A2E"/>
          <w:sz w:val="18"/>
        </w:rPr>
        <w:t>threshold_red</w:t>
      </w:r>
      <w:r>
        <w:t xml:space="preserve"> are in the warning zone.</w:t>
      </w:r>
    </w:p>
    <w:p>
      <w:r>
        <w:t xml:space="preserve">More precisely: </w:t>
      </w:r>
      <w:r>
        <w:rPr>
          <w:rFonts w:ascii="Consolas" w:hAnsi="Consolas"/>
          <w:color w:val="1A1A2E"/>
          <w:sz w:val="18"/>
        </w:rPr>
        <w:t>normal</w:t>
      </w:r>
      <w:r>
        <w:t xml:space="preserve"> if </w:t>
      </w:r>
      <w:r>
        <w:rPr>
          <w:rFonts w:ascii="Consolas" w:hAnsi="Consolas"/>
          <w:color w:val="1A1A2E"/>
          <w:sz w:val="18"/>
        </w:rPr>
        <w:t>current_value &lt;= threshold_green</w:t>
      </w:r>
      <w:r>
        <w:t xml:space="preserve">; </w:t>
      </w:r>
      <w:r>
        <w:rPr>
          <w:rFonts w:ascii="Consolas" w:hAnsi="Consolas"/>
          <w:color w:val="1A1A2E"/>
          <w:sz w:val="18"/>
        </w:rPr>
        <w:t>warning</w:t>
      </w:r>
      <w:r>
        <w:t xml:space="preserve"> if </w:t>
      </w:r>
      <w:r>
        <w:rPr>
          <w:rFonts w:ascii="Consolas" w:hAnsi="Consolas"/>
          <w:color w:val="1A1A2E"/>
          <w:sz w:val="18"/>
        </w:rPr>
        <w:t>threshold_green &lt; current_value &lt; threshold_red</w:t>
      </w:r>
      <w:r>
        <w:t xml:space="preserve">; </w:t>
      </w:r>
      <w:r>
        <w:rPr>
          <w:rFonts w:ascii="Consolas" w:hAnsi="Consolas"/>
          <w:color w:val="1A1A2E"/>
          <w:sz w:val="18"/>
        </w:rPr>
        <w:t>breach</w:t>
      </w:r>
      <w:r>
        <w:t xml:space="preserve"> if </w:t>
      </w:r>
      <w:r>
        <w:rPr>
          <w:rFonts w:ascii="Consolas" w:hAnsi="Consolas"/>
          <w:color w:val="1A1A2E"/>
          <w:sz w:val="18"/>
        </w:rPr>
        <w:t>current_value &gt;= threshold_red</w:t>
      </w:r>
      <w:r>
        <w:t>.</w:t>
      </w:r>
    </w:p>
    <w:p>
      <w:pPr>
        <w:pStyle w:val="Heading3"/>
      </w:pPr>
      <w:r>
        <w:t>5.2 Creating KRIs</w:t>
      </w:r>
    </w:p>
    <w:p>
      <w:r/>
      <w:r>
        <w:rPr>
          <w:b/>
        </w:rPr>
        <w:t>Request:</w:t>
      </w:r>
      <w:r/>
    </w:p>
    <w:p>
      <w:pPr>
        <w:ind w:left="432"/>
      </w:pPr>
      <w:r>
        <w:rPr>
          <w:rFonts w:ascii="Consolas" w:hAnsi="Consolas"/>
          <w:color w:val="333333"/>
          <w:sz w:val="18"/>
        </w:rPr>
        <w:t>POST /api/rm/kris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"Privileged Account Usage Outside Business Hours",</w:t>
        <w:br/>
      </w:r>
      <w:r>
        <w:rPr>
          <w:rFonts w:ascii="Consolas" w:hAnsi="Consolas"/>
          <w:color w:val="333333"/>
          <w:sz w:val="18"/>
        </w:rPr>
        <w:t xml:space="preserve">  "description": "Count of privileged account logons between 18:00 and 07:00 on weekdays, and all day on weekends. Elevated activity suggests either policy violation or compromised credentials.",</w:t>
        <w:br/>
      </w:r>
      <w:r>
        <w:rPr>
          <w:rFonts w:ascii="Consolas" w:hAnsi="Consolas"/>
          <w:color w:val="333333"/>
          <w:sz w:val="18"/>
        </w:rPr>
        <w:t xml:space="preserve">  "risk_id": 1,</w:t>
        <w:br/>
      </w:r>
      <w:r>
        <w:rPr>
          <w:rFonts w:ascii="Consolas" w:hAnsi="Consolas"/>
          <w:color w:val="333333"/>
          <w:sz w:val="18"/>
        </w:rPr>
        <w:t xml:space="preserve">  "data_source": "siem",</w:t>
        <w:br/>
      </w:r>
      <w:r>
        <w:rPr>
          <w:rFonts w:ascii="Consolas" w:hAnsi="Consolas"/>
          <w:color w:val="333333"/>
          <w:sz w:val="18"/>
        </w:rPr>
        <w:t xml:space="preserve">  "unit_of_measure": "count",</w:t>
        <w:br/>
      </w:r>
      <w:r>
        <w:rPr>
          <w:rFonts w:ascii="Consolas" w:hAnsi="Consolas"/>
          <w:color w:val="333333"/>
          <w:sz w:val="18"/>
        </w:rPr>
        <w:t xml:space="preserve">  "frequency": "weekly",</w:t>
        <w:br/>
      </w:r>
      <w:r>
        <w:rPr>
          <w:rFonts w:ascii="Consolas" w:hAnsi="Consolas"/>
          <w:color w:val="333333"/>
          <w:sz w:val="18"/>
        </w:rPr>
        <w:t xml:space="preserve">  "threshold_green": 5,</w:t>
        <w:br/>
      </w:r>
      <w:r>
        <w:rPr>
          <w:rFonts w:ascii="Consolas" w:hAnsi="Consolas"/>
          <w:color w:val="333333"/>
          <w:sz w:val="18"/>
        </w:rPr>
        <w:t xml:space="preserve">  "threshold_amber": 15,</w:t>
        <w:br/>
      </w:r>
      <w:r>
        <w:rPr>
          <w:rFonts w:ascii="Consolas" w:hAnsi="Consolas"/>
          <w:color w:val="333333"/>
          <w:sz w:val="18"/>
        </w:rPr>
        <w:t xml:space="preserve">  "threshold_red": 25,</w:t>
        <w:br/>
      </w:r>
      <w:r>
        <w:rPr>
          <w:rFonts w:ascii="Consolas" w:hAnsi="Consolas"/>
          <w:color w:val="333333"/>
          <w:sz w:val="18"/>
        </w:rPr>
        <w:t xml:space="preserve">  "owner_id": "USR-0042"</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"kri_id": "KRI_f9a03b1e72c8",</w:t>
        <w:br/>
      </w:r>
      <w:r>
        <w:rPr>
          <w:rFonts w:ascii="Consolas" w:hAnsi="Consolas"/>
          <w:color w:val="333333"/>
          <w:sz w:val="18"/>
        </w:rPr>
        <w:t xml:space="preserve">  "name": "Privileged Account Usage Outside Business Hours",</w:t>
        <w:br/>
      </w:r>
      <w:r>
        <w:rPr>
          <w:rFonts w:ascii="Consolas" w:hAnsi="Consolas"/>
          <w:color w:val="333333"/>
          <w:sz w:val="18"/>
        </w:rPr>
        <w:t xml:space="preserve">  "description": "Count of privileged account logons between 18:00 and 07:00...",</w:t>
        <w:br/>
      </w:r>
      <w:r>
        <w:rPr>
          <w:rFonts w:ascii="Consolas" w:hAnsi="Consolas"/>
          <w:color w:val="333333"/>
          <w:sz w:val="18"/>
        </w:rPr>
        <w:t xml:space="preserve">  "risk_id": 1,</w:t>
        <w:br/>
      </w:r>
      <w:r>
        <w:rPr>
          <w:rFonts w:ascii="Consolas" w:hAnsi="Consolas"/>
          <w:color w:val="333333"/>
          <w:sz w:val="18"/>
        </w:rPr>
        <w:t xml:space="preserve">  "data_source": "siem",</w:t>
        <w:br/>
      </w:r>
      <w:r>
        <w:rPr>
          <w:rFonts w:ascii="Consolas" w:hAnsi="Consolas"/>
          <w:color w:val="333333"/>
          <w:sz w:val="18"/>
        </w:rPr>
        <w:t xml:space="preserve">  "unit_of_measure": "count",</w:t>
        <w:br/>
      </w:r>
      <w:r>
        <w:rPr>
          <w:rFonts w:ascii="Consolas" w:hAnsi="Consolas"/>
          <w:color w:val="333333"/>
          <w:sz w:val="18"/>
        </w:rPr>
        <w:t xml:space="preserve">  "frequency": "weekly",</w:t>
        <w:br/>
      </w:r>
      <w:r>
        <w:rPr>
          <w:rFonts w:ascii="Consolas" w:hAnsi="Consolas"/>
          <w:color w:val="333333"/>
          <w:sz w:val="18"/>
        </w:rPr>
        <w:t xml:space="preserve">  "threshold_green": 5.0,</w:t>
        <w:br/>
      </w:r>
      <w:r>
        <w:rPr>
          <w:rFonts w:ascii="Consolas" w:hAnsi="Consolas"/>
          <w:color w:val="333333"/>
          <w:sz w:val="18"/>
        </w:rPr>
        <w:t xml:space="preserve">  "threshold_amber": 15.0,</w:t>
        <w:br/>
      </w:r>
      <w:r>
        <w:rPr>
          <w:rFonts w:ascii="Consolas" w:hAnsi="Consolas"/>
          <w:color w:val="333333"/>
          <w:sz w:val="18"/>
        </w:rPr>
        <w:t xml:space="preserve">  "threshold_red": 25.0,</w:t>
        <w:br/>
      </w:r>
      <w:r>
        <w:rPr>
          <w:rFonts w:ascii="Consolas" w:hAnsi="Consolas"/>
          <w:color w:val="333333"/>
          <w:sz w:val="18"/>
        </w:rPr>
        <w:t xml:space="preserve">  "current_value": null,</w:t>
        <w:br/>
      </w:r>
      <w:r>
        <w:rPr>
          <w:rFonts w:ascii="Consolas" w:hAnsi="Consolas"/>
          <w:color w:val="333333"/>
          <w:sz w:val="18"/>
        </w:rPr>
        <w:t xml:space="preserve">  "last_measured_at": null,</w:t>
        <w:br/>
      </w:r>
      <w:r>
        <w:rPr>
          <w:rFonts w:ascii="Consolas" w:hAnsi="Consolas"/>
          <w:color w:val="333333"/>
          <w:sz w:val="18"/>
        </w:rPr>
        <w:t xml:space="preserve">  "status": "normal",</w:t>
        <w:br/>
      </w:r>
      <w:r>
        <w:rPr>
          <w:rFonts w:ascii="Consolas" w:hAnsi="Consolas"/>
          <w:color w:val="333333"/>
          <w:sz w:val="18"/>
        </w:rPr>
        <w:t xml:space="preserve">  "owner_id": "USR-0042",</w:t>
        <w:br/>
      </w:r>
      <w:r>
        <w:rPr>
          <w:rFonts w:ascii="Consolas" w:hAnsi="Consolas"/>
          <w:color w:val="333333"/>
          <w:sz w:val="18"/>
        </w:rPr>
        <w:t xml:space="preserve">  "is_active": true</w:t>
        <w:br/>
      </w:r>
      <w:r>
        <w:rPr>
          <w:rFonts w:ascii="Consolas" w:hAnsi="Consolas"/>
          <w:color w:val="333333"/>
          <w:sz w:val="18"/>
        </w:rPr>
        <w:t>}</w:t>
        <w:br/>
      </w:r>
    </w:p>
    <w:p>
      <w:pPr>
        <w:pStyle w:val="Heading3"/>
      </w:pPr>
      <w:r>
        <w:t>5.3 Recording Measurements</w:t>
      </w:r>
    </w:p>
    <w:p>
      <w:r>
        <w:t>Measurements can be recorded manually or via automated feeds from connected systems.</w:t>
      </w:r>
    </w:p>
    <w:p>
      <w:r/>
      <w:r>
        <w:rPr>
          <w:b/>
        </w:rPr>
        <w:t>Manual measurement:</w:t>
      </w:r>
      <w:r/>
    </w:p>
    <w:p>
      <w:pPr>
        <w:ind w:left="432"/>
      </w:pPr>
      <w:r>
        <w:rPr>
          <w:rFonts w:ascii="Consolas" w:hAnsi="Consolas"/>
          <w:color w:val="333333"/>
          <w:sz w:val="18"/>
        </w:rPr>
        <w:t>POST /api/rm/kris/KRI_f9a03b1e72c8/measurements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"value": 18,</w:t>
        <w:br/>
      </w:r>
      <w:r>
        <w:rPr>
          <w:rFonts w:ascii="Consolas" w:hAnsi="Consolas"/>
          <w:color w:val="333333"/>
          <w:sz w:val="18"/>
        </w:rPr>
        <w:t xml:space="preserve">  "measured_by": "USR-0042",</w:t>
        <w:br/>
      </w:r>
      <w:r>
        <w:rPr>
          <w:rFonts w:ascii="Consolas" w:hAnsi="Consolas"/>
          <w:color w:val="333333"/>
          <w:sz w:val="18"/>
        </w:rPr>
        <w:t xml:space="preserve">  "source": "manual",</w:t>
        <w:br/>
      </w:r>
      <w:r>
        <w:rPr>
          <w:rFonts w:ascii="Consolas" w:hAnsi="Consolas"/>
          <w:color w:val="333333"/>
          <w:sz w:val="18"/>
        </w:rPr>
        <w:t xml:space="preserve">  "notes": "Week of 2026-09-01. Includes 3 legitimate after-hours incidents approved via firefighter request FF-0221."</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"measurement": {</w:t>
        <w:br/>
      </w:r>
      <w:r>
        <w:rPr>
          <w:rFonts w:ascii="Consolas" w:hAnsi="Consolas"/>
          <w:color w:val="333333"/>
          <w:sz w:val="18"/>
        </w:rPr>
        <w:t xml:space="preserve">    "kri_id": "KRI_f9a03b1e72c8",</w:t>
        <w:br/>
      </w:r>
      <w:r>
        <w:rPr>
          <w:rFonts w:ascii="Consolas" w:hAnsi="Consolas"/>
          <w:color w:val="333333"/>
          <w:sz w:val="18"/>
        </w:rPr>
        <w:t xml:space="preserve">    "value": 18.0,</w:t>
        <w:br/>
      </w:r>
      <w:r>
        <w:rPr>
          <w:rFonts w:ascii="Consolas" w:hAnsi="Consolas"/>
          <w:color w:val="333333"/>
          <w:sz w:val="18"/>
        </w:rPr>
        <w:t xml:space="preserve">    "measured_at": "2026-09-06T10:45:00",</w:t>
        <w:br/>
      </w:r>
      <w:r>
        <w:rPr>
          <w:rFonts w:ascii="Consolas" w:hAnsi="Consolas"/>
          <w:color w:val="333333"/>
          <w:sz w:val="18"/>
        </w:rPr>
        <w:t xml:space="preserve">    "measured_by": "USR-0042",</w:t>
        <w:br/>
      </w:r>
      <w:r>
        <w:rPr>
          <w:rFonts w:ascii="Consolas" w:hAnsi="Consolas"/>
          <w:color w:val="333333"/>
          <w:sz w:val="18"/>
        </w:rPr>
        <w:t xml:space="preserve">    "source": "manual",</w:t>
        <w:br/>
      </w:r>
      <w:r>
        <w:rPr>
          <w:rFonts w:ascii="Consolas" w:hAnsi="Consolas"/>
          <w:color w:val="333333"/>
          <w:sz w:val="18"/>
        </w:rPr>
        <w:t xml:space="preserve">    "notes": "Week of 2026-09-01..."</w:t>
        <w:br/>
      </w:r>
      <w:r>
        <w:rPr>
          <w:rFonts w:ascii="Consolas" w:hAnsi="Consolas"/>
          <w:color w:val="333333"/>
          <w:sz w:val="18"/>
        </w:rPr>
        <w:t xml:space="preserve">  },</w:t>
        <w:br/>
      </w:r>
      <w:r>
        <w:rPr>
          <w:rFonts w:ascii="Consolas" w:hAnsi="Consolas"/>
          <w:color w:val="333333"/>
          <w:sz w:val="18"/>
        </w:rPr>
        <w:t xml:space="preserve">  "kri_status": "warning"</w:t>
        <w:br/>
      </w:r>
      <w:r>
        <w:rPr>
          <w:rFonts w:ascii="Consolas" w:hAnsi="Consolas"/>
          <w:color w:val="333333"/>
          <w:sz w:val="18"/>
        </w:rPr>
        <w:t>}</w:t>
        <w:br/>
      </w:r>
    </w:p>
    <w:p>
      <w:r>
        <w:t xml:space="preserve">After each measurement, </w:t>
      </w:r>
      <w:r>
        <w:rPr>
          <w:rFonts w:ascii="Consolas" w:hAnsi="Consolas"/>
          <w:color w:val="1A1A2E"/>
          <w:sz w:val="18"/>
        </w:rPr>
        <w:t>current_value</w:t>
      </w:r>
      <w:r>
        <w:t xml:space="preserve">, </w:t>
      </w:r>
      <w:r>
        <w:rPr>
          <w:rFonts w:ascii="Consolas" w:hAnsi="Consolas"/>
          <w:color w:val="1A1A2E"/>
          <w:sz w:val="18"/>
        </w:rPr>
        <w:t>last_measured_at</w:t>
      </w:r>
      <w:r>
        <w:t xml:space="preserve">, and </w:t>
      </w:r>
      <w:r>
        <w:rPr>
          <w:rFonts w:ascii="Consolas" w:hAnsi="Consolas"/>
          <w:color w:val="1A1A2E"/>
          <w:sz w:val="18"/>
        </w:rPr>
        <w:t>status</w:t>
      </w:r>
      <w:r>
        <w:t xml:space="preserve"> on the KRI record are updated atomically.</w:t>
      </w:r>
    </w:p>
    <w:p>
      <w:r/>
      <w:r>
        <w:rPr>
          <w:b/>
        </w:rPr>
        <w:t>Automated feeds:</w:t>
      </w:r>
      <w:r>
        <w:t xml:space="preserve"> Automated integrations (SIEM, AC module, HRIS) post measurements by calling the same endpoint with </w:t>
      </w:r>
      <w:r>
        <w:rPr>
          <w:rFonts w:ascii="Consolas" w:hAnsi="Consolas"/>
          <w:color w:val="1A1A2E"/>
          <w:sz w:val="18"/>
        </w:rPr>
        <w:t>source</w:t>
      </w:r>
      <w:r>
        <w:t xml:space="preserve"> set to the system name. The GovernexPlus scheduler can be configured to call this endpoint on the KRI's </w:t>
      </w:r>
      <w:r>
        <w:rPr>
          <w:rFonts w:ascii="Consolas" w:hAnsi="Consolas"/>
          <w:color w:val="1A1A2E"/>
          <w:sz w:val="18"/>
        </w:rPr>
        <w:t>frequency</w:t>
      </w:r>
      <w:r>
        <w:t xml:space="preserve"> schedule.</w:t>
      </w:r>
    </w:p>
    <w:p>
      <w:pPr>
        <w:pStyle w:val="Heading3"/>
      </w:pPr>
      <w:r>
        <w:t>5.4 Traffic-Light Status Logic</w:t>
      </w:r>
    </w:p>
    <w:p>
      <w:r>
        <w:t xml:space="preserve">Status is recomputed on every measurement using the following logic (implemented in </w:t>
      </w:r>
      <w:r>
        <w:rPr>
          <w:rFonts w:ascii="Consolas" w:hAnsi="Consolas"/>
          <w:color w:val="1A1A2E"/>
          <w:sz w:val="18"/>
        </w:rPr>
        <w:t>api/routers/risk_mgmt.py → _kri_status()</w:t>
      </w:r>
      <w:r>
        <w:t>):</w:t>
      </w:r>
    </w:p>
    <w:p>
      <w:pPr>
        <w:ind w:left="432"/>
      </w:pPr>
      <w:r>
        <w:rPr>
          <w:rFonts w:ascii="Consolas" w:hAnsi="Consolas"/>
          <w:color w:val="333333"/>
          <w:sz w:val="18"/>
        </w:rPr>
        <w:t>if current_value is None:</w:t>
        <w:br/>
      </w:r>
      <w:r>
        <w:rPr>
          <w:rFonts w:ascii="Consolas" w:hAnsi="Consolas"/>
          <w:color w:val="333333"/>
          <w:sz w:val="18"/>
        </w:rPr>
        <w:t xml:space="preserve">    status = "normal"          # no data yet — assume normal</w:t>
        <w:br/>
      </w:r>
      <w:r>
        <w:rPr>
          <w:rFonts w:ascii="Consolas" w:hAnsi="Consolas"/>
          <w:color w:val="333333"/>
          <w:sz w:val="18"/>
        </w:rPr>
        <w:t>elif current_value &gt;= threshold_red:</w:t>
        <w:br/>
      </w:r>
      <w:r>
        <w:rPr>
          <w:rFonts w:ascii="Consolas" w:hAnsi="Consolas"/>
          <w:color w:val="333333"/>
          <w:sz w:val="18"/>
        </w:rPr>
        <w:t xml:space="preserve">    status = "breach"</w:t>
        <w:br/>
      </w:r>
      <w:r>
        <w:rPr>
          <w:rFonts w:ascii="Consolas" w:hAnsi="Consolas"/>
          <w:color w:val="333333"/>
          <w:sz w:val="18"/>
        </w:rPr>
        <w:t>elif current_value &gt;= threshold_amber:</w:t>
        <w:br/>
      </w:r>
      <w:r>
        <w:rPr>
          <w:rFonts w:ascii="Consolas" w:hAnsi="Consolas"/>
          <w:color w:val="333333"/>
          <w:sz w:val="18"/>
        </w:rPr>
        <w:t xml:space="preserve">    status = "warning"</w:t>
        <w:br/>
      </w:r>
      <w:r>
        <w:rPr>
          <w:rFonts w:ascii="Consolas" w:hAnsi="Consolas"/>
          <w:color w:val="333333"/>
          <w:sz w:val="18"/>
        </w:rPr>
        <w:t>else:</w:t>
        <w:br/>
      </w:r>
      <w:r>
        <w:rPr>
          <w:rFonts w:ascii="Consolas" w:hAnsi="Consolas"/>
          <w:color w:val="333333"/>
          <w:sz w:val="18"/>
        </w:rPr>
        <w:t xml:space="preserve">    status = "normal"</w:t>
        <w:br/>
      </w:r>
    </w:p>
    <w:p>
      <w:r>
        <w:t xml:space="preserve">This means values above </w:t>
      </w:r>
      <w:r>
        <w:rPr>
          <w:rFonts w:ascii="Consolas" w:hAnsi="Consolas"/>
          <w:color w:val="1A1A2E"/>
          <w:sz w:val="18"/>
        </w:rPr>
        <w:t>threshold_amber</w:t>
      </w:r>
      <w:r>
        <w:t xml:space="preserve"> (the amber threshold) but below </w:t>
      </w:r>
      <w:r>
        <w:rPr>
          <w:rFonts w:ascii="Consolas" w:hAnsi="Consolas"/>
          <w:color w:val="1A1A2E"/>
          <w:sz w:val="18"/>
        </w:rPr>
        <w:t>threshold_red</w:t>
      </w:r>
      <w:r>
        <w:t xml:space="preserve"> are classified as </w:t>
      </w:r>
      <w:r>
        <w:rPr>
          <w:rFonts w:ascii="Consolas" w:hAnsi="Consolas"/>
          <w:color w:val="1A1A2E"/>
          <w:sz w:val="18"/>
        </w:rPr>
        <w:t>warning</w:t>
      </w:r>
      <w:r>
        <w:t xml:space="preserve">. Values at or above </w:t>
      </w:r>
      <w:r>
        <w:rPr>
          <w:rFonts w:ascii="Consolas" w:hAnsi="Consolas"/>
          <w:color w:val="1A1A2E"/>
          <w:sz w:val="18"/>
        </w:rPr>
        <w:t>threshold_red</w:t>
      </w:r>
      <w:r>
        <w:t xml:space="preserve"> are classified as </w:t>
      </w:r>
      <w:r>
        <w:rPr>
          <w:rFonts w:ascii="Consolas" w:hAnsi="Consolas"/>
          <w:color w:val="1A1A2E"/>
          <w:sz w:val="18"/>
        </w:rPr>
        <w:t>breach</w:t>
      </w:r>
      <w:r>
        <w:t>. This is intentional: the amber zone is the pre-breach warning zone.</w:t>
      </w:r>
    </w:p>
    <w:p>
      <w:pPr>
        <w:pStyle w:val="Heading3"/>
      </w:pPr>
      <w:r>
        <w:t>5.5 KRI Dashboard</w:t>
      </w:r>
    </w:p>
    <w:p>
      <w:r>
        <w:t>The KRI dashboard provides a grouped traffic-light summary across all active KRIs.</w:t>
      </w:r>
    </w:p>
    <w:p>
      <w:pPr>
        <w:ind w:left="432"/>
      </w:pPr>
      <w:r>
        <w:rPr>
          <w:rFonts w:ascii="Consolas" w:hAnsi="Consolas"/>
          <w:color w:val="333333"/>
          <w:sz w:val="18"/>
        </w:rPr>
        <w:t>GET /api/rm/kris/dashboard</w:t>
        <w:br/>
      </w:r>
    </w:p>
    <w:p>
      <w:r/>
      <w:r>
        <w:rPr>
          <w:b/>
        </w:rPr>
        <w:t>Response:</w:t>
      </w:r>
      <w:r/>
    </w:p>
    <w:p>
      <w:pPr>
        <w:ind w:left="432"/>
      </w:pPr>
      <w:r>
        <w:rPr>
          <w:rFonts w:ascii="Consolas" w:hAnsi="Consolas"/>
          <w:color w:val="333333"/>
          <w:sz w:val="18"/>
        </w:rPr>
        <w:t>{</w:t>
        <w:br/>
      </w:r>
      <w:r>
        <w:rPr>
          <w:rFonts w:ascii="Consolas" w:hAnsi="Consolas"/>
          <w:color w:val="333333"/>
          <w:sz w:val="18"/>
        </w:rPr>
        <w:t xml:space="preserve">  "total_kris": 12,</w:t>
        <w:br/>
      </w:r>
      <w:r>
        <w:rPr>
          <w:rFonts w:ascii="Consolas" w:hAnsi="Consolas"/>
          <w:color w:val="333333"/>
          <w:sz w:val="18"/>
        </w:rPr>
        <w:t xml:space="preserve">  "normal": 8,</w:t>
        <w:br/>
      </w:r>
      <w:r>
        <w:rPr>
          <w:rFonts w:ascii="Consolas" w:hAnsi="Consolas"/>
          <w:color w:val="333333"/>
          <w:sz w:val="18"/>
        </w:rPr>
        <w:t xml:space="preserve">  "warning": 3,</w:t>
        <w:br/>
      </w:r>
      <w:r>
        <w:rPr>
          <w:rFonts w:ascii="Consolas" w:hAnsi="Consolas"/>
          <w:color w:val="333333"/>
          <w:sz w:val="18"/>
        </w:rPr>
        <w:t xml:space="preserve">  "breach": 1,</w:t>
        <w:br/>
      </w:r>
      <w:r>
        <w:rPr>
          <w:rFonts w:ascii="Consolas" w:hAnsi="Consolas"/>
          <w:color w:val="333333"/>
          <w:sz w:val="18"/>
        </w:rPr>
        <w:t xml:space="preserve">  "kris": [</w:t>
        <w:br/>
      </w:r>
      <w:r>
        <w:rPr>
          <w:rFonts w:ascii="Consolas" w:hAnsi="Consolas"/>
          <w:color w:val="333333"/>
          <w:sz w:val="18"/>
        </w:rPr>
        <w:t xml:space="preserve">    {</w:t>
        <w:br/>
      </w:r>
      <w:r>
        <w:rPr>
          <w:rFonts w:ascii="Consolas" w:hAnsi="Consolas"/>
          <w:color w:val="333333"/>
          <w:sz w:val="18"/>
        </w:rPr>
        <w:t xml:space="preserve">      "kri_id": "KRI_f9a03b1e72c8",</w:t>
        <w:br/>
      </w:r>
      <w:r>
        <w:rPr>
          <w:rFonts w:ascii="Consolas" w:hAnsi="Consolas"/>
          <w:color w:val="333333"/>
          <w:sz w:val="18"/>
        </w:rPr>
        <w:t xml:space="preserve">      "name": "Privileged Account Usage Outside Business Hours",</w:t>
        <w:br/>
      </w:r>
      <w:r>
        <w:rPr>
          <w:rFonts w:ascii="Consolas" w:hAnsi="Consolas"/>
          <w:color w:val="333333"/>
          <w:sz w:val="18"/>
        </w:rPr>
        <w:t xml:space="preserve">      "current_value": 18.0,</w:t>
        <w:br/>
      </w:r>
      <w:r>
        <w:rPr>
          <w:rFonts w:ascii="Consolas" w:hAnsi="Consolas"/>
          <w:color w:val="333333"/>
          <w:sz w:val="18"/>
        </w:rPr>
        <w:t xml:space="preserve">      "threshold_amber": 15.0,</w:t>
        <w:br/>
      </w:r>
      <w:r>
        <w:rPr>
          <w:rFonts w:ascii="Consolas" w:hAnsi="Consolas"/>
          <w:color w:val="333333"/>
          <w:sz w:val="18"/>
        </w:rPr>
        <w:t xml:space="preserve">      "threshold_red": 25.0,</w:t>
        <w:br/>
      </w:r>
      <w:r>
        <w:rPr>
          <w:rFonts w:ascii="Consolas" w:hAnsi="Consolas"/>
          <w:color w:val="333333"/>
          <w:sz w:val="18"/>
        </w:rPr>
        <w:t xml:space="preserve">      "status": "warning",</w:t>
        <w:br/>
      </w:r>
      <w:r>
        <w:rPr>
          <w:rFonts w:ascii="Consolas" w:hAnsi="Consolas"/>
          <w:color w:val="333333"/>
          <w:sz w:val="18"/>
        </w:rPr>
        <w:t xml:space="preserve">      "current_status": "warning",</w:t>
        <w:br/>
      </w:r>
      <w:r>
        <w:rPr>
          <w:rFonts w:ascii="Consolas" w:hAnsi="Consolas"/>
          <w:color w:val="333333"/>
          <w:sz w:val="18"/>
        </w:rPr>
        <w:t xml:space="preserve">      "last_measured_at": "2026-09-06T10:45:00"</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 xml:space="preserve">Each KRI in the response includes a </w:t>
      </w:r>
      <w:r>
        <w:rPr>
          <w:rFonts w:ascii="Consolas" w:hAnsi="Consolas"/>
          <w:color w:val="1A1A2E"/>
          <w:sz w:val="18"/>
        </w:rPr>
        <w:t>current_status</w:t>
      </w:r>
      <w:r>
        <w:t xml:space="preserve"> field that re-evaluates the status at query time based on </w:t>
      </w:r>
      <w:r>
        <w:rPr>
          <w:rFonts w:ascii="Consolas" w:hAnsi="Consolas"/>
          <w:color w:val="1A1A2E"/>
          <w:sz w:val="18"/>
        </w:rPr>
        <w:t>current_value</w:t>
      </w:r>
      <w:r>
        <w:t xml:space="preserve"> against thresholds. This ensures the dashboard reflects the most current position even if the stored </w:t>
      </w:r>
      <w:r>
        <w:rPr>
          <w:rFonts w:ascii="Consolas" w:hAnsi="Consolas"/>
          <w:color w:val="1A1A2E"/>
          <w:sz w:val="18"/>
        </w:rPr>
        <w:t>status</w:t>
      </w:r>
      <w:r>
        <w:t xml:space="preserve"> field is slightly behind.</w:t>
      </w:r>
    </w:p>
    <w:p>
      <w:r/>
      <w:r>
        <w:rPr>
          <w:b/>
        </w:rPr>
        <w:t>Measurement history:</w:t>
      </w:r>
      <w:r/>
    </w:p>
    <w:p>
      <w:pPr>
        <w:ind w:left="432"/>
      </w:pPr>
      <w:r>
        <w:rPr>
          <w:rFonts w:ascii="Consolas" w:hAnsi="Consolas"/>
          <w:color w:val="333333"/>
          <w:sz w:val="18"/>
        </w:rPr>
        <w:t>GET /api/rm/kris/{kri_id}/history</w:t>
        <w:br/>
      </w:r>
    </w:p>
    <w:p>
      <w:r>
        <w:t>Returns all measurement records in reverse chronological order, enabling sparkline charts in the dashboard.</w:t>
      </w:r>
    </w:p>
    <w:p>
      <w:pPr>
        <w:pStyle w:val="Heading3"/>
      </w:pPr>
      <w:r>
        <w:t>5.6 Breach Alerts and Notifications</w:t>
      </w:r>
    </w:p>
    <w:p>
      <w:r>
        <w:t xml:space="preserve">When a measurement tips a KRI into </w:t>
      </w:r>
      <w:r>
        <w:rPr>
          <w:rFonts w:ascii="Consolas" w:hAnsi="Consolas"/>
          <w:color w:val="1A1A2E"/>
          <w:sz w:val="18"/>
        </w:rPr>
        <w:t>breach</w:t>
      </w:r>
      <w:r>
        <w:t xml:space="preserve"> status, the notification delivery system sends alerts to:</w:t>
      </w:r>
    </w:p>
    <w:p>
      <w:pPr>
        <w:pStyle w:val="ListNumber"/>
      </w:pPr>
      <w:r>
        <w:t>The KRI owner (</w:t>
      </w:r>
      <w:r>
        <w:rPr>
          <w:rFonts w:ascii="Consolas" w:hAnsi="Consolas"/>
          <w:color w:val="1A1A2E"/>
          <w:sz w:val="18"/>
        </w:rPr>
        <w:t>owner_id</w:t>
      </w:r>
      <w:r>
        <w:t>)</w:t>
      </w:r>
    </w:p>
    <w:p>
      <w:pPr>
        <w:pStyle w:val="ListNumber"/>
      </w:pPr>
      <w:r>
        <w:t xml:space="preserve">The risk owner of the linked risk (if </w:t>
      </w:r>
      <w:r>
        <w:rPr>
          <w:rFonts w:ascii="Consolas" w:hAnsi="Consolas"/>
          <w:color w:val="1A1A2E"/>
          <w:sz w:val="18"/>
        </w:rPr>
        <w:t>risk_id</w:t>
      </w:r>
      <w:r>
        <w:t xml:space="preserve"> is set)</w:t>
      </w:r>
    </w:p>
    <w:p>
      <w:pPr>
        <w:pStyle w:val="ListNumber"/>
      </w:pPr>
      <w:r>
        <w:t xml:space="preserve">Any subscribers configured in the notification rules for </w:t>
      </w:r>
      <w:r>
        <w:rPr>
          <w:rFonts w:ascii="Consolas" w:hAnsi="Consolas"/>
          <w:color w:val="1A1A2E"/>
          <w:sz w:val="18"/>
        </w:rPr>
        <w:t>kri_breach</w:t>
      </w:r>
      <w:r>
        <w:t xml:space="preserve"> events</w:t>
      </w:r>
    </w:p>
    <w:p>
      <w:r>
        <w:t xml:space="preserve">Notification delivery is handled by the GovernexPlus notification engine (see the Notifications module). Risk managers should configure notification rules for </w:t>
      </w:r>
      <w:r>
        <w:rPr>
          <w:rFonts w:ascii="Consolas" w:hAnsi="Consolas"/>
          <w:color w:val="1A1A2E"/>
          <w:sz w:val="18"/>
        </w:rPr>
        <w:t>kri_breach</w:t>
      </w:r>
      <w:r>
        <w:t xml:space="preserve"> events during system setup.</w:t>
      </w:r>
    </w:p>
    <w:p>
      <w:r/>
      <w:r>
        <w:rPr>
          <w:b/>
        </w:rPr>
        <w:t>API Endpoints — KRIs: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/api/rm/kris</w:t>
            </w:r>
            <w:r/>
          </w:p>
        </w:tc>
        <w:tc>
          <w:tcPr>
            <w:tcW w:type="dxa" w:w="2880"/>
          </w:tcPr>
          <w:p>
            <w:r/>
            <w:r>
              <w:t>Create KRI</w:t>
            </w:r>
          </w:p>
        </w:tc>
      </w:tr>
      <w:tr>
        <w:tc>
          <w:tcPr>
            <w:tcW w:type="dxa" w:w="2880"/>
          </w:tcPr>
          <w:p>
            <w:r/>
            <w:r>
              <w:t>GET</w:t>
            </w:r>
          </w:p>
        </w:tc>
        <w:tc>
          <w:tcPr>
            <w:tcW w:type="dxa" w:w="2880"/>
          </w:tcPr>
          <w:p>
            <w:r/>
            <w:r/>
            <w:r>
              <w:rPr>
                <w:rFonts w:ascii="Consolas" w:hAnsi="Consolas"/>
                <w:color w:val="1A1A2E"/>
                <w:sz w:val="18"/>
              </w:rPr>
              <w:t>/api/rm/kris/dashboard</w:t>
            </w:r>
            <w:r/>
          </w:p>
        </w:tc>
        <w:tc>
          <w:tcPr>
            <w:tcW w:type="dxa" w:w="2880"/>
          </w:tcPr>
          <w:p>
            <w:r/>
            <w:r>
              <w:t>Traffic-light dashboard</w:t>
            </w:r>
          </w:p>
        </w:tc>
      </w:tr>
      <w:tr>
        <w:tc>
          <w:tcPr>
            <w:tcW w:type="dxa" w:w="2880"/>
          </w:tcPr>
          <w:p>
            <w:r/>
            <w:r>
              <w:t>POST</w:t>
            </w:r>
          </w:p>
        </w:tc>
        <w:tc>
          <w:tcPr>
            <w:tcW w:type="dxa" w:w="2880"/>
          </w:tcPr>
          <w:p>
            <w:r/>
            <w:r/>
            <w:r>
              <w:rPr>
                <w:rFonts w:ascii="Consolas" w:hAnsi="Consolas"/>
                <w:color w:val="1A1A2E"/>
                <w:sz w:val="18"/>
              </w:rPr>
              <w:t>/api/rm/kris/{kri_id}/measurements</w:t>
            </w:r>
            <w:r/>
          </w:p>
        </w:tc>
        <w:tc>
          <w:tcPr>
            <w:tcW w:type="dxa" w:w="2880"/>
          </w:tcPr>
          <w:p>
            <w:r/>
            <w:r>
              <w:t>Record measurement</w:t>
            </w:r>
          </w:p>
        </w:tc>
      </w:tr>
      <w:tr>
        <w:tc>
          <w:tcPr>
            <w:tcW w:type="dxa" w:w="2880"/>
          </w:tcPr>
          <w:p>
            <w:r/>
            <w:r>
              <w:t>GET</w:t>
            </w:r>
          </w:p>
        </w:tc>
        <w:tc>
          <w:tcPr>
            <w:tcW w:type="dxa" w:w="2880"/>
          </w:tcPr>
          <w:p>
            <w:r/>
            <w:r/>
            <w:r>
              <w:rPr>
                <w:rFonts w:ascii="Consolas" w:hAnsi="Consolas"/>
                <w:color w:val="1A1A2E"/>
                <w:sz w:val="18"/>
              </w:rPr>
              <w:t>/api/rm/kris/{kri_id}/history</w:t>
            </w:r>
            <w:r/>
          </w:p>
        </w:tc>
        <w:tc>
          <w:tcPr>
            <w:tcW w:type="dxa" w:w="2880"/>
          </w:tcPr>
          <w:p>
            <w:r/>
            <w:r>
              <w:t>Measurement history</w:t>
            </w:r>
          </w:p>
        </w:tc>
      </w:tr>
    </w:tbl>
    <w:p/>
    <w:p>
      <w:r>
        <w:rPr>
          <w:color w:val="CCCCCC"/>
        </w:rPr>
        <w:t>____________________________________________________________</w:t>
      </w:r>
    </w:p>
    <w:p>
      <w:pPr>
        <w:pStyle w:val="Heading2"/>
      </w:pPr>
      <w:r>
        <w:t>6. Risk Response Plans (RM-20)</w:t>
      </w:r>
    </w:p>
    <w:p>
      <w:r>
        <w:t>A risk response plan documents the concrete steps the organisation will take to address a risk. Every risk should have at least one response plan that aligns with the chosen response strategy.</w:t>
      </w:r>
    </w:p>
    <w:p>
      <w:pPr>
        <w:pStyle w:val="Heading3"/>
      </w:pPr>
      <w:r>
        <w:t>6.1 Response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When to Use</w:t>
            </w:r>
          </w:p>
        </w:tc>
      </w:tr>
      <w:tr>
        <w:tc>
          <w:tcPr>
            <w:tcW w:type="dxa" w:w="2880"/>
          </w:tcPr>
          <w:p>
            <w:r/>
            <w:r>
              <w:t>Accept</w:t>
            </w:r>
          </w:p>
        </w:tc>
        <w:tc>
          <w:tcPr>
            <w:tcW w:type="dxa" w:w="2880"/>
          </w:tcPr>
          <w:p>
            <w:r/>
            <w:r/>
            <w:r>
              <w:rPr>
                <w:rFonts w:ascii="Consolas" w:hAnsi="Consolas"/>
                <w:color w:val="1A1A2E"/>
                <w:sz w:val="18"/>
              </w:rPr>
              <w:t>accept</w:t>
            </w:r>
            <w:r/>
          </w:p>
        </w:tc>
        <w:tc>
          <w:tcPr>
            <w:tcW w:type="dxa" w:w="2880"/>
          </w:tcPr>
          <w:p>
            <w:r/>
            <w:r>
              <w:t>Risk is within appetite; no additional action taken; formally acknowledged</w:t>
            </w:r>
          </w:p>
        </w:tc>
      </w:tr>
      <w:tr>
        <w:tc>
          <w:tcPr>
            <w:tcW w:type="dxa" w:w="2880"/>
          </w:tcPr>
          <w:p>
            <w:r/>
            <w:r>
              <w:t>Mitigate</w:t>
            </w:r>
          </w:p>
        </w:tc>
        <w:tc>
          <w:tcPr>
            <w:tcW w:type="dxa" w:w="2880"/>
          </w:tcPr>
          <w:p>
            <w:r/>
            <w:r/>
            <w:r>
              <w:rPr>
                <w:rFonts w:ascii="Consolas" w:hAnsi="Consolas"/>
                <w:color w:val="1A1A2E"/>
                <w:sz w:val="18"/>
              </w:rPr>
              <w:t>mitigate</w:t>
            </w:r>
            <w:r/>
          </w:p>
        </w:tc>
        <w:tc>
          <w:tcPr>
            <w:tcW w:type="dxa" w:w="2880"/>
          </w:tcPr>
          <w:p>
            <w:r/>
            <w:r>
              <w:t>Controls or process improvements are implemented to reduce likelihood or impact</w:t>
            </w:r>
          </w:p>
        </w:tc>
      </w:tr>
      <w:tr>
        <w:tc>
          <w:tcPr>
            <w:tcW w:type="dxa" w:w="2880"/>
          </w:tcPr>
          <w:p>
            <w:r/>
            <w:r>
              <w:t>Transfer</w:t>
            </w:r>
          </w:p>
        </w:tc>
        <w:tc>
          <w:tcPr>
            <w:tcW w:type="dxa" w:w="2880"/>
          </w:tcPr>
          <w:p>
            <w:r/>
            <w:r/>
            <w:r>
              <w:rPr>
                <w:rFonts w:ascii="Consolas" w:hAnsi="Consolas"/>
                <w:color w:val="1A1A2E"/>
                <w:sz w:val="18"/>
              </w:rPr>
              <w:t>transfer</w:t>
            </w:r>
            <w:r/>
          </w:p>
        </w:tc>
        <w:tc>
          <w:tcPr>
            <w:tcW w:type="dxa" w:w="2880"/>
          </w:tcPr>
          <w:p>
            <w:r/>
            <w:r>
              <w:t>Risk is shifted to a third party (insurance, contractual indemnity, outsourcing)</w:t>
            </w:r>
          </w:p>
        </w:tc>
      </w:tr>
      <w:tr>
        <w:tc>
          <w:tcPr>
            <w:tcW w:type="dxa" w:w="2880"/>
          </w:tcPr>
          <w:p>
            <w:r/>
            <w:r>
              <w:t>Avoid</w:t>
            </w:r>
          </w:p>
        </w:tc>
        <w:tc>
          <w:tcPr>
            <w:tcW w:type="dxa" w:w="2880"/>
          </w:tcPr>
          <w:p>
            <w:r/>
            <w:r/>
            <w:r>
              <w:rPr>
                <w:rFonts w:ascii="Consolas" w:hAnsi="Consolas"/>
                <w:color w:val="1A1A2E"/>
                <w:sz w:val="18"/>
              </w:rPr>
              <w:t>avoid</w:t>
            </w:r>
            <w:r/>
          </w:p>
        </w:tc>
        <w:tc>
          <w:tcPr>
            <w:tcW w:type="dxa" w:w="2880"/>
          </w:tcPr>
          <w:p>
            <w:r/>
            <w:r>
              <w:t>The activity that creates the risk is discontinued entirely</w:t>
            </w:r>
          </w:p>
        </w:tc>
      </w:tr>
    </w:tbl>
    <w:p/>
    <w:p>
      <w:pPr>
        <w:pStyle w:val="Heading3"/>
      </w:pPr>
      <w:r>
        <w:t>6.2 Creating Response Plans</w:t>
      </w:r>
    </w:p>
    <w:p>
      <w:r>
        <w:t>A response plan consists of a high-level description, an owner, a due date, and a list of specific action items. Action items are stored as a JSON array within the response record.</w:t>
      </w:r>
    </w:p>
    <w:p>
      <w:r/>
      <w:r>
        <w:rPr>
          <w:b/>
        </w:rPr>
        <w:t>Request:</w:t>
      </w:r>
      <w:r/>
    </w:p>
    <w:p>
      <w:pPr>
        <w:ind w:left="432"/>
      </w:pPr>
      <w:r>
        <w:rPr>
          <w:rFonts w:ascii="Consolas" w:hAnsi="Consolas"/>
          <w:color w:val="333333"/>
          <w:sz w:val="18"/>
        </w:rPr>
        <w:t>POST /api/rm/risks/RISK_a3f7b2c81d04/responses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"response_type": "mitigate",</w:t>
        <w:br/>
      </w:r>
      <w:r>
        <w:rPr>
          <w:rFonts w:ascii="Consolas" w:hAnsi="Consolas"/>
          <w:color w:val="333333"/>
          <w:sz w:val="18"/>
        </w:rPr>
        <w:t xml:space="preserve">  "description": "Implement enhanced SoD controls for financial reporting transactions and deploy automated access review for all finance role assignments.",</w:t>
        <w:br/>
      </w:r>
      <w:r>
        <w:rPr>
          <w:rFonts w:ascii="Consolas" w:hAnsi="Consolas"/>
          <w:color w:val="333333"/>
          <w:sz w:val="18"/>
        </w:rPr>
        <w:t xml:space="preserve">  "owner_id": "USR-0042",</w:t>
        <w:br/>
      </w:r>
      <w:r>
        <w:rPr>
          <w:rFonts w:ascii="Consolas" w:hAnsi="Consolas"/>
          <w:color w:val="333333"/>
          <w:sz w:val="18"/>
        </w:rPr>
        <w:t xml:space="preserve">  "owner_name": "Ahmed Al-Rashid",</w:t>
        <w:br/>
      </w:r>
      <w:r>
        <w:rPr>
          <w:rFonts w:ascii="Consolas" w:hAnsi="Consolas"/>
          <w:color w:val="333333"/>
          <w:sz w:val="18"/>
        </w:rPr>
        <w:t xml:space="preserve">  "due_date": "2026-12-31T23:59:59",</w:t>
        <w:br/>
      </w:r>
      <w:r>
        <w:rPr>
          <w:rFonts w:ascii="Consolas" w:hAnsi="Consolas"/>
          <w:color w:val="333333"/>
          <w:sz w:val="18"/>
        </w:rPr>
        <w:t xml:space="preserve">  "actions": [</w:t>
        <w:br/>
      </w:r>
      <w:r>
        <w:rPr>
          <w:rFonts w:ascii="Consolas" w:hAnsi="Consolas"/>
          <w:color w:val="333333"/>
          <w:sz w:val="18"/>
        </w:rPr>
        <w:t xml:space="preserve">    {</w:t>
        <w:br/>
      </w:r>
      <w:r>
        <w:rPr>
          <w:rFonts w:ascii="Consolas" w:hAnsi="Consolas"/>
          <w:color w:val="333333"/>
          <w:sz w:val="18"/>
        </w:rPr>
        <w:t xml:space="preserve">      "seq": 1,</w:t>
        <w:br/>
      </w:r>
      <w:r>
        <w:rPr>
          <w:rFonts w:ascii="Consolas" w:hAnsi="Consolas"/>
          <w:color w:val="333333"/>
          <w:sz w:val="18"/>
        </w:rPr>
        <w:t xml:space="preserve">      "title": "Configure SoD rules for T-codes FB01, FB60, F110 in AC module",</w:t>
        <w:br/>
      </w:r>
      <w:r>
        <w:rPr>
          <w:rFonts w:ascii="Consolas" w:hAnsi="Consolas"/>
          <w:color w:val="333333"/>
          <w:sz w:val="18"/>
        </w:rPr>
        <w:t xml:space="preserve">      "due_date": "2026-10-15",</w:t>
        <w:br/>
      </w:r>
      <w:r>
        <w:rPr>
          <w:rFonts w:ascii="Consolas" w:hAnsi="Consolas"/>
          <w:color w:val="333333"/>
          <w:sz w:val="18"/>
        </w:rPr>
        <w:t xml:space="preserve">      "owner": "USR-0055",</w:t>
        <w:br/>
      </w:r>
      <w:r>
        <w:rPr>
          <w:rFonts w:ascii="Consolas" w:hAnsi="Consolas"/>
          <w:color w:val="333333"/>
          <w:sz w:val="18"/>
        </w:rPr>
        <w:t xml:space="preserve">      "status": "not_started"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"seq": 2,</w:t>
        <w:br/>
      </w:r>
      <w:r>
        <w:rPr>
          <w:rFonts w:ascii="Consolas" w:hAnsi="Consolas"/>
          <w:color w:val="333333"/>
          <w:sz w:val="18"/>
        </w:rPr>
        <w:t xml:space="preserve">      "title": "Run access recertification campaign for all users with F-module roles",</w:t>
        <w:br/>
      </w:r>
      <w:r>
        <w:rPr>
          <w:rFonts w:ascii="Consolas" w:hAnsi="Consolas"/>
          <w:color w:val="333333"/>
          <w:sz w:val="18"/>
        </w:rPr>
        <w:t xml:space="preserve">      "due_date": "2026-11-30",</w:t>
        <w:br/>
      </w:r>
      <w:r>
        <w:rPr>
          <w:rFonts w:ascii="Consolas" w:hAnsi="Consolas"/>
          <w:color w:val="333333"/>
          <w:sz w:val="18"/>
        </w:rPr>
        <w:t xml:space="preserve">      "owner": "USR-0042",</w:t>
        <w:br/>
      </w:r>
      <w:r>
        <w:rPr>
          <w:rFonts w:ascii="Consolas" w:hAnsi="Consolas"/>
          <w:color w:val="333333"/>
          <w:sz w:val="18"/>
        </w:rPr>
        <w:t xml:space="preserve">      "status": "not_started"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"seq": 3,</w:t>
        <w:br/>
      </w:r>
      <w:r>
        <w:rPr>
          <w:rFonts w:ascii="Consolas" w:hAnsi="Consolas"/>
          <w:color w:val="333333"/>
          <w:sz w:val="18"/>
        </w:rPr>
        <w:t xml:space="preserve">      "title": "Deploy automated quarterly access review for finance roles",</w:t>
        <w:br/>
      </w:r>
      <w:r>
        <w:rPr>
          <w:rFonts w:ascii="Consolas" w:hAnsi="Consolas"/>
          <w:color w:val="333333"/>
          <w:sz w:val="18"/>
        </w:rPr>
        <w:t xml:space="preserve">      "due_date": "2026-12-31",</w:t>
        <w:br/>
      </w:r>
      <w:r>
        <w:rPr>
          <w:rFonts w:ascii="Consolas" w:hAnsi="Consolas"/>
          <w:color w:val="333333"/>
          <w:sz w:val="18"/>
        </w:rPr>
        <w:t xml:space="preserve">      "owner": "USR-0060",</w:t>
        <w:br/>
      </w:r>
      <w:r>
        <w:rPr>
          <w:rFonts w:ascii="Consolas" w:hAnsi="Consolas"/>
          <w:color w:val="333333"/>
          <w:sz w:val="18"/>
        </w:rPr>
        <w:t xml:space="preserve">      "status": "not_started"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"response_id": "RESP_c4d71a903e2f",</w:t>
        <w:br/>
      </w:r>
      <w:r>
        <w:rPr>
          <w:rFonts w:ascii="Consolas" w:hAnsi="Consolas"/>
          <w:color w:val="333333"/>
          <w:sz w:val="18"/>
        </w:rPr>
        <w:t xml:space="preserve">  "risk_id": 1,</w:t>
        <w:br/>
      </w:r>
      <w:r>
        <w:rPr>
          <w:rFonts w:ascii="Consolas" w:hAnsi="Consolas"/>
          <w:color w:val="333333"/>
          <w:sz w:val="18"/>
        </w:rPr>
        <w:t xml:space="preserve">  "response_type": "mitigate",</w:t>
        <w:br/>
      </w:r>
      <w:r>
        <w:rPr>
          <w:rFonts w:ascii="Consolas" w:hAnsi="Consolas"/>
          <w:color w:val="333333"/>
          <w:sz w:val="18"/>
        </w:rPr>
        <w:t xml:space="preserve">  "description": "Implement enhanced SoD controls...",</w:t>
        <w:br/>
      </w:r>
      <w:r>
        <w:rPr>
          <w:rFonts w:ascii="Consolas" w:hAnsi="Consolas"/>
          <w:color w:val="333333"/>
          <w:sz w:val="18"/>
        </w:rPr>
        <w:t xml:space="preserve">  "owner_id": "USR-0042",</w:t>
        <w:br/>
      </w:r>
      <w:r>
        <w:rPr>
          <w:rFonts w:ascii="Consolas" w:hAnsi="Consolas"/>
          <w:color w:val="333333"/>
          <w:sz w:val="18"/>
        </w:rPr>
        <w:t xml:space="preserve">  "owner_name": "Ahmed Al-Rashid",</w:t>
        <w:br/>
      </w:r>
      <w:r>
        <w:rPr>
          <w:rFonts w:ascii="Consolas" w:hAnsi="Consolas"/>
          <w:color w:val="333333"/>
          <w:sz w:val="18"/>
        </w:rPr>
        <w:t xml:space="preserve">  "due_date": "2026-12-31T23:59:59",</w:t>
        <w:br/>
      </w:r>
      <w:r>
        <w:rPr>
          <w:rFonts w:ascii="Consolas" w:hAnsi="Consolas"/>
          <w:color w:val="333333"/>
          <w:sz w:val="18"/>
        </w:rPr>
        <w:t xml:space="preserve">  "status": "planned",</w:t>
        <w:br/>
      </w:r>
      <w:r>
        <w:rPr>
          <w:rFonts w:ascii="Consolas" w:hAnsi="Consolas"/>
          <w:color w:val="333333"/>
          <w:sz w:val="18"/>
        </w:rPr>
        <w:t xml:space="preserve">  "effectiveness_rating": null,</w:t>
        <w:br/>
      </w:r>
      <w:r>
        <w:rPr>
          <w:rFonts w:ascii="Consolas" w:hAnsi="Consolas"/>
          <w:color w:val="333333"/>
          <w:sz w:val="18"/>
        </w:rPr>
        <w:t xml:space="preserve">  "completed_at": null,</w:t>
        <w:br/>
      </w:r>
      <w:r>
        <w:rPr>
          <w:rFonts w:ascii="Consolas" w:hAnsi="Consolas"/>
          <w:color w:val="333333"/>
          <w:sz w:val="18"/>
        </w:rPr>
        <w:t xml:space="preserve">  "actions": [ ... ]</w:t>
        <w:br/>
      </w:r>
      <w:r>
        <w:rPr>
          <w:rFonts w:ascii="Consolas" w:hAnsi="Consolas"/>
          <w:color w:val="333333"/>
          <w:sz w:val="18"/>
        </w:rPr>
        <w:t>}</w:t>
        <w:br/>
      </w:r>
    </w:p>
    <w:p>
      <w:pPr>
        <w:pStyle w:val="Heading3"/>
      </w:pPr>
      <w:r>
        <w:t>6.3 Status Tracking</w:t>
      </w:r>
    </w:p>
    <w:p>
      <w:r>
        <w:t>Response plan status is managed via a dedicated endpoint:</w:t>
      </w:r>
    </w:p>
    <w:p>
      <w:pPr>
        <w:ind w:left="432"/>
      </w:pPr>
      <w:r>
        <w:rPr>
          <w:rFonts w:ascii="Consolas" w:hAnsi="Consolas"/>
          <w:color w:val="333333"/>
          <w:sz w:val="18"/>
        </w:rPr>
        <w:t>PUT /api/rm/responses/{response_id}/status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"status": "in_progress"</w:t>
        <w:br/>
      </w:r>
      <w:r>
        <w:rPr>
          <w:rFonts w:ascii="Consolas" w:hAnsi="Consolas"/>
          <w:color w:val="333333"/>
          <w:sz w:val="18"/>
        </w:rPr>
        <w:t>}</w:t>
        <w:br/>
      </w:r>
    </w:p>
    <w:p>
      <w:r>
        <w:t>Valid transitions:</w:t>
      </w:r>
    </w:p>
    <w:p>
      <w:pPr>
        <w:ind w:left="432"/>
      </w:pPr>
      <w:r>
        <w:rPr>
          <w:rFonts w:ascii="Consolas" w:hAnsi="Consolas"/>
          <w:color w:val="333333"/>
          <w:sz w:val="18"/>
        </w:rPr>
        <w:t>planned --&gt; in_progress --&gt; completed</w:t>
        <w:br/>
      </w:r>
      <w:r>
        <w:rPr>
          <w:rFonts w:ascii="Consolas" w:hAnsi="Consolas"/>
          <w:color w:val="333333"/>
          <w:sz w:val="18"/>
        </w:rPr>
        <w:t xml:space="preserve">                   |</w:t>
        <w:br/>
      </w:r>
      <w:r>
        <w:rPr>
          <w:rFonts w:ascii="Consolas" w:hAnsi="Consolas"/>
          <w:color w:val="333333"/>
          <w:sz w:val="18"/>
        </w:rPr>
        <w:t xml:space="preserve">                   v</w:t>
        <w:br/>
      </w:r>
      <w:r>
        <w:rPr>
          <w:rFonts w:ascii="Consolas" w:hAnsi="Consolas"/>
          <w:color w:val="333333"/>
          <w:sz w:val="18"/>
        </w:rPr>
        <w:t xml:space="preserve">                overdue   (auto-set by scheduler when due_date passes)</w:t>
        <w:br/>
      </w:r>
    </w:p>
    <w:p>
      <w:r>
        <w:t xml:space="preserve">When </w:t>
      </w:r>
      <w:r>
        <w:rPr>
          <w:rFonts w:ascii="Consolas" w:hAnsi="Consolas"/>
          <w:color w:val="1A1A2E"/>
          <w:sz w:val="18"/>
        </w:rPr>
        <w:t>status</w:t>
      </w:r>
      <w:r>
        <w:t xml:space="preserve"> is set to </w:t>
      </w:r>
      <w:r>
        <w:rPr>
          <w:rFonts w:ascii="Consolas" w:hAnsi="Consolas"/>
          <w:color w:val="1A1A2E"/>
          <w:sz w:val="18"/>
        </w:rPr>
        <w:t>completed</w:t>
      </w:r>
      <w:r>
        <w:t xml:space="preserve">, the </w:t>
      </w:r>
      <w:r>
        <w:rPr>
          <w:rFonts w:ascii="Consolas" w:hAnsi="Consolas"/>
          <w:color w:val="1A1A2E"/>
          <w:sz w:val="18"/>
        </w:rPr>
        <w:t>completed_at</w:t>
      </w:r>
      <w:r>
        <w:t xml:space="preserve"> timestamp is automatically recorded.</w:t>
      </w:r>
    </w:p>
    <w:p>
      <w:r>
        <w:t xml:space="preserve">Individual action items within the </w:t>
      </w:r>
      <w:r>
        <w:rPr>
          <w:rFonts w:ascii="Consolas" w:hAnsi="Consolas"/>
          <w:color w:val="1A1A2E"/>
          <w:sz w:val="18"/>
        </w:rPr>
        <w:t>actions</w:t>
      </w:r>
      <w:r>
        <w:t xml:space="preserve"> JSON array are updated by including the full modified array in the status update or a PUT to the response record. The action item statuses are stored as embedded JSON and are not enforced by the system — they serve as a structured checklist for the response owner.</w:t>
      </w:r>
    </w:p>
    <w:p>
      <w:pPr>
        <w:pStyle w:val="Heading3"/>
      </w:pPr>
      <w:r>
        <w:t>6.4 Effectiveness Rating</w:t>
      </w:r>
    </w:p>
    <w:p>
      <w:r>
        <w:t>After a mitigate or transfer response is completed, the risk owner should record an effectiveness rating to indicate whether the response actually reduced the risk to the expected level:</w:t>
      </w:r>
    </w:p>
    <w:p>
      <w:pPr>
        <w:ind w:left="432"/>
      </w:pPr>
      <w:r>
        <w:rPr>
          <w:rFonts w:ascii="Consolas" w:hAnsi="Consolas"/>
          <w:color w:val="333333"/>
          <w:sz w:val="18"/>
        </w:rPr>
        <w:t>PUT /api/rm/responses/RESP_c4d71a903e2f/status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"status": "completed",</w:t>
        <w:br/>
      </w:r>
      <w:r>
        <w:rPr>
          <w:rFonts w:ascii="Consolas" w:hAnsi="Consolas"/>
          <w:color w:val="333333"/>
          <w:sz w:val="18"/>
        </w:rPr>
        <w:t xml:space="preserve">  "effectiveness_rating": 4</w:t>
        <w:br/>
      </w:r>
      <w:r>
        <w:rPr>
          <w:rFonts w:ascii="Consolas" w:hAnsi="Consolas"/>
          <w:color w:val="333333"/>
          <w:sz w:val="18"/>
        </w:rPr>
        <w:t>}</w:t>
        <w:br/>
      </w:r>
    </w:p>
    <w:p>
      <w:r/>
      <w:r>
        <w:rPr>
          <w:rFonts w:ascii="Consolas" w:hAnsi="Consolas"/>
          <w:color w:val="1A1A2E"/>
          <w:sz w:val="18"/>
        </w:rPr>
        <w:t>effectiveness_rating</w:t>
      </w:r>
      <w:r>
        <w:t xml:space="preserve"> is an integer on a 1–5 scale where 5 = fully effective and 1 = ineffective. This feeds into the risk trend analysis and KRI design for future cycles.</w:t>
      </w:r>
    </w:p>
    <w:p>
      <w:r/>
      <w:r>
        <w:rPr>
          <w:b/>
        </w:rPr>
        <w:t>API Endpoints — Responses: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/api/rm/risks/{risk_id}/responses</w:t>
            </w:r>
            <w:r/>
          </w:p>
        </w:tc>
        <w:tc>
          <w:tcPr>
            <w:tcW w:type="dxa" w:w="2880"/>
          </w:tcPr>
          <w:p>
            <w:r/>
            <w:r>
              <w:t>Create response plan</w:t>
            </w:r>
          </w:p>
        </w:tc>
      </w:tr>
      <w:tr>
        <w:tc>
          <w:tcPr>
            <w:tcW w:type="dxa" w:w="2880"/>
          </w:tcPr>
          <w:p>
            <w:r/>
            <w:r>
              <w:t>GET</w:t>
            </w:r>
          </w:p>
        </w:tc>
        <w:tc>
          <w:tcPr>
            <w:tcW w:type="dxa" w:w="2880"/>
          </w:tcPr>
          <w:p>
            <w:r/>
            <w:r/>
            <w:r>
              <w:rPr>
                <w:rFonts w:ascii="Consolas" w:hAnsi="Consolas"/>
                <w:color w:val="1A1A2E"/>
                <w:sz w:val="18"/>
              </w:rPr>
              <w:t>/api/rm/risks/{risk_id}/responses</w:t>
            </w:r>
            <w:r/>
          </w:p>
        </w:tc>
        <w:tc>
          <w:tcPr>
            <w:tcW w:type="dxa" w:w="2880"/>
          </w:tcPr>
          <w:p>
            <w:r/>
            <w:r>
              <w:t>List response plans for a risk</w:t>
            </w:r>
          </w:p>
        </w:tc>
      </w:tr>
      <w:tr>
        <w:tc>
          <w:tcPr>
            <w:tcW w:type="dxa" w:w="2880"/>
          </w:tcPr>
          <w:p>
            <w:r/>
            <w:r>
              <w:t>PUT</w:t>
            </w:r>
          </w:p>
        </w:tc>
        <w:tc>
          <w:tcPr>
            <w:tcW w:type="dxa" w:w="2880"/>
          </w:tcPr>
          <w:p>
            <w:r/>
            <w:r/>
            <w:r>
              <w:rPr>
                <w:rFonts w:ascii="Consolas" w:hAnsi="Consolas"/>
                <w:color w:val="1A1A2E"/>
                <w:sz w:val="18"/>
              </w:rPr>
              <w:t>/api/rm/responses/{response_id}/status</w:t>
            </w:r>
            <w:r/>
          </w:p>
        </w:tc>
        <w:tc>
          <w:tcPr>
            <w:tcW w:type="dxa" w:w="2880"/>
          </w:tcPr>
          <w:p>
            <w:r/>
            <w:r>
              <w:t>Update status and effectiveness</w:t>
            </w:r>
          </w:p>
        </w:tc>
      </w:tr>
    </w:tbl>
    <w:p/>
    <w:p>
      <w:r>
        <w:rPr>
          <w:color w:val="CCCCCC"/>
        </w:rPr>
        <w:t>____________________________________________________________</w:t>
      </w:r>
    </w:p>
    <w:p>
      <w:pPr>
        <w:pStyle w:val="Heading2"/>
      </w:pPr>
      <w:r>
        <w:t>7. Incidents and Loss Events (RM-22)</w:t>
      </w:r>
    </w:p>
    <w:p>
      <w:r>
        <w:t>The incident module records risk events that have materialised — actual losses, near-misses, or operational failures. Incidents provide empirical evidence for likelihood calibration and contribute to the historical loss database required by frameworks like Basel III and Solvency II.</w:t>
      </w:r>
    </w:p>
    <w:p>
      <w:pPr>
        <w:pStyle w:val="Heading3"/>
      </w:pPr>
      <w:r>
        <w:t>7.1 Incident Structure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Description</w:t>
            </w:r>
          </w:p>
        </w:tc>
      </w:tr>
      <w:tr>
        <w:tc>
          <w:tcPr>
            <w:tcW w:type="dxa" w:w="2880"/>
          </w:tcPr>
          <w:p>
            <w:r/>
            <w:r/>
            <w:r>
              <w:rPr>
                <w:rFonts w:ascii="Consolas" w:hAnsi="Consolas"/>
                <w:color w:val="1A1A2E"/>
                <w:sz w:val="18"/>
              </w:rPr>
              <w:t>incident_id</w:t>
            </w:r>
            <w:r/>
          </w:p>
        </w:tc>
        <w:tc>
          <w:tcPr>
            <w:tcW w:type="dxa" w:w="2880"/>
          </w:tcPr>
          <w:p>
            <w:r/>
            <w:r>
              <w:t>string</w:t>
            </w:r>
          </w:p>
        </w:tc>
        <w:tc>
          <w:tcPr>
            <w:tcW w:type="dxa" w:w="2880"/>
          </w:tcPr>
          <w:p>
            <w:r/>
            <w:r>
              <w:t>Unique identifier</w:t>
            </w:r>
          </w:p>
        </w:tc>
      </w:tr>
      <w:tr>
        <w:tc>
          <w:tcPr>
            <w:tcW w:type="dxa" w:w="2880"/>
          </w:tcPr>
          <w:p>
            <w:r/>
            <w:r/>
            <w:r>
              <w:rPr>
                <w:rFonts w:ascii="Consolas" w:hAnsi="Consolas"/>
                <w:color w:val="1A1A2E"/>
                <w:sz w:val="18"/>
              </w:rPr>
              <w:t>title</w:t>
            </w:r>
            <w:r/>
          </w:p>
        </w:tc>
        <w:tc>
          <w:tcPr>
            <w:tcW w:type="dxa" w:w="2880"/>
          </w:tcPr>
          <w:p>
            <w:r/>
            <w:r>
              <w:t>string</w:t>
            </w:r>
          </w:p>
        </w:tc>
        <w:tc>
          <w:tcPr>
            <w:tcW w:type="dxa" w:w="2880"/>
          </w:tcPr>
          <w:p>
            <w:r/>
            <w:r>
              <w:t>Concise incident name</w:t>
            </w:r>
          </w:p>
        </w:tc>
      </w:tr>
      <w:tr>
        <w:tc>
          <w:tcPr>
            <w:tcW w:type="dxa" w:w="2880"/>
          </w:tcPr>
          <w:p>
            <w:r/>
            <w:r/>
            <w:r>
              <w:rPr>
                <w:rFonts w:ascii="Consolas" w:hAnsi="Consolas"/>
                <w:color w:val="1A1A2E"/>
                <w:sz w:val="18"/>
              </w:rPr>
              <w:t>description</w:t>
            </w:r>
            <w:r/>
          </w:p>
        </w:tc>
        <w:tc>
          <w:tcPr>
            <w:tcW w:type="dxa" w:w="2880"/>
          </w:tcPr>
          <w:p>
            <w:r/>
            <w:r>
              <w:t>text</w:t>
            </w:r>
          </w:p>
        </w:tc>
        <w:tc>
          <w:tcPr>
            <w:tcW w:type="dxa" w:w="2880"/>
          </w:tcPr>
          <w:p>
            <w:r/>
            <w:r>
              <w:t>Full incident description</w:t>
            </w:r>
          </w:p>
        </w:tc>
      </w:tr>
      <w:tr>
        <w:tc>
          <w:tcPr>
            <w:tcW w:type="dxa" w:w="2880"/>
          </w:tcPr>
          <w:p>
            <w:r/>
            <w:r/>
            <w:r>
              <w:rPr>
                <w:rFonts w:ascii="Consolas" w:hAnsi="Consolas"/>
                <w:color w:val="1A1A2E"/>
                <w:sz w:val="18"/>
              </w:rPr>
              <w:t>severity</w:t>
            </w:r>
            <w:r/>
          </w:p>
        </w:tc>
        <w:tc>
          <w:tcPr>
            <w:tcW w:type="dxa" w:w="2880"/>
          </w:tcPr>
          <w:p>
            <w:r/>
            <w:r>
              <w:t>enum</w:t>
            </w:r>
          </w:p>
        </w:tc>
        <w:tc>
          <w:tcPr>
            <w:tcW w:type="dxa" w:w="2880"/>
          </w:tcPr>
          <w:p>
            <w:r/>
            <w:r/>
            <w:r>
              <w:rPr>
                <w:rFonts w:ascii="Consolas" w:hAnsi="Consolas"/>
                <w:color w:val="1A1A2E"/>
                <w:sz w:val="18"/>
              </w:rPr>
              <w:t>low</w:t>
            </w:r>
            <w:r>
              <w:t xml:space="preserve">, </w:t>
            </w:r>
            <w:r>
              <w:rPr>
                <w:rFonts w:ascii="Consolas" w:hAnsi="Consolas"/>
                <w:color w:val="1A1A2E"/>
                <w:sz w:val="18"/>
              </w:rPr>
              <w:t>medium</w:t>
            </w:r>
            <w:r>
              <w:t xml:space="preserve">, </w:t>
            </w:r>
            <w:r>
              <w:rPr>
                <w:rFonts w:ascii="Consolas" w:hAnsi="Consolas"/>
                <w:color w:val="1A1A2E"/>
                <w:sz w:val="18"/>
              </w:rPr>
              <w:t>high</w:t>
            </w:r>
            <w:r>
              <w:t xml:space="preserve">, </w:t>
            </w:r>
            <w:r>
              <w:rPr>
                <w:rFonts w:ascii="Consolas" w:hAnsi="Consolas"/>
                <w:color w:val="1A1A2E"/>
                <w:sz w:val="18"/>
              </w:rPr>
              <w:t>critical</w:t>
            </w:r>
            <w:r/>
          </w:p>
        </w:tc>
      </w:tr>
      <w:tr>
        <w:tc>
          <w:tcPr>
            <w:tcW w:type="dxa" w:w="2880"/>
          </w:tcPr>
          <w:p>
            <w:r/>
            <w:r/>
            <w:r>
              <w:rPr>
                <w:rFonts w:ascii="Consolas" w:hAnsi="Consolas"/>
                <w:color w:val="1A1A2E"/>
                <w:sz w:val="18"/>
              </w:rPr>
              <w:t>financial_impact</w:t>
            </w:r>
            <w:r/>
          </w:p>
        </w:tc>
        <w:tc>
          <w:tcPr>
            <w:tcW w:type="dxa" w:w="2880"/>
          </w:tcPr>
          <w:p>
            <w:r/>
            <w:r>
              <w:t>float</w:t>
            </w:r>
          </w:p>
        </w:tc>
        <w:tc>
          <w:tcPr>
            <w:tcW w:type="dxa" w:w="2880"/>
          </w:tcPr>
          <w:p>
            <w:r/>
            <w:r>
              <w:t>Estimated monetary loss</w:t>
            </w:r>
          </w:p>
        </w:tc>
      </w:tr>
      <w:tr>
        <w:tc>
          <w:tcPr>
            <w:tcW w:type="dxa" w:w="2880"/>
          </w:tcPr>
          <w:p>
            <w:r/>
            <w:r/>
            <w:r>
              <w:rPr>
                <w:rFonts w:ascii="Consolas" w:hAnsi="Consolas"/>
                <w:color w:val="1A1A2E"/>
                <w:sz w:val="18"/>
              </w:rPr>
              <w:t>currency</w:t>
            </w:r>
            <w:r/>
          </w:p>
        </w:tc>
        <w:tc>
          <w:tcPr>
            <w:tcW w:type="dxa" w:w="2880"/>
          </w:tcPr>
          <w:p>
            <w:r/>
            <w:r>
              <w:t>string</w:t>
            </w:r>
          </w:p>
        </w:tc>
        <w:tc>
          <w:tcPr>
            <w:tcW w:type="dxa" w:w="2880"/>
          </w:tcPr>
          <w:p>
            <w:r/>
            <w:r>
              <w:t xml:space="preserve">ISO 4217 currency code (default </w:t>
            </w:r>
            <w:r>
              <w:rPr>
                <w:rFonts w:ascii="Consolas" w:hAnsi="Consolas"/>
                <w:color w:val="1A1A2E"/>
                <w:sz w:val="18"/>
              </w:rPr>
              <w:t>USD</w:t>
            </w:r>
            <w:r>
              <w:t>)</w:t>
            </w:r>
          </w:p>
        </w:tc>
      </w:tr>
      <w:tr>
        <w:tc>
          <w:tcPr>
            <w:tcW w:type="dxa" w:w="2880"/>
          </w:tcPr>
          <w:p>
            <w:r/>
            <w:r/>
            <w:r>
              <w:rPr>
                <w:rFonts w:ascii="Consolas" w:hAnsi="Consolas"/>
                <w:color w:val="1A1A2E"/>
                <w:sz w:val="18"/>
              </w:rPr>
              <w:t>occurred_at</w:t>
            </w:r>
            <w:r/>
          </w:p>
        </w:tc>
        <w:tc>
          <w:tcPr>
            <w:tcW w:type="dxa" w:w="2880"/>
          </w:tcPr>
          <w:p>
            <w:r/>
            <w:r>
              <w:t>datetime</w:t>
            </w:r>
          </w:p>
        </w:tc>
        <w:tc>
          <w:tcPr>
            <w:tcW w:type="dxa" w:w="2880"/>
          </w:tcPr>
          <w:p>
            <w:r/>
            <w:r>
              <w:t>When the incident occurred</w:t>
            </w:r>
          </w:p>
        </w:tc>
      </w:tr>
      <w:tr>
        <w:tc>
          <w:tcPr>
            <w:tcW w:type="dxa" w:w="2880"/>
          </w:tcPr>
          <w:p>
            <w:r/>
            <w:r/>
            <w:r>
              <w:rPr>
                <w:rFonts w:ascii="Consolas" w:hAnsi="Consolas"/>
                <w:color w:val="1A1A2E"/>
                <w:sz w:val="18"/>
              </w:rPr>
              <w:t>detected_at</w:t>
            </w:r>
            <w:r/>
          </w:p>
        </w:tc>
        <w:tc>
          <w:tcPr>
            <w:tcW w:type="dxa" w:w="2880"/>
          </w:tcPr>
          <w:p>
            <w:r/>
            <w:r>
              <w:t>datetime</w:t>
            </w:r>
          </w:p>
        </w:tc>
        <w:tc>
          <w:tcPr>
            <w:tcW w:type="dxa" w:w="2880"/>
          </w:tcPr>
          <w:p>
            <w:r/>
            <w:r>
              <w:t>When the incident was detected (set automatically at creation)</w:t>
            </w:r>
          </w:p>
        </w:tc>
      </w:tr>
      <w:tr>
        <w:tc>
          <w:tcPr>
            <w:tcW w:type="dxa" w:w="2880"/>
          </w:tcPr>
          <w:p>
            <w:r/>
            <w:r/>
            <w:r>
              <w:rPr>
                <w:rFonts w:ascii="Consolas" w:hAnsi="Consolas"/>
                <w:color w:val="1A1A2E"/>
                <w:sz w:val="18"/>
              </w:rPr>
              <w:t>reported_by</w:t>
            </w:r>
            <w:r/>
          </w:p>
        </w:tc>
        <w:tc>
          <w:tcPr>
            <w:tcW w:type="dxa" w:w="2880"/>
          </w:tcPr>
          <w:p>
            <w:r/>
            <w:r>
              <w:t>string</w:t>
            </w:r>
          </w:p>
        </w:tc>
        <w:tc>
          <w:tcPr>
            <w:tcW w:type="dxa" w:w="2880"/>
          </w:tcPr>
          <w:p>
            <w:r/>
            <w:r>
              <w:t>User ID of the person reporting</w:t>
            </w:r>
          </w:p>
        </w:tc>
      </w:tr>
      <w:tr>
        <w:tc>
          <w:tcPr>
            <w:tcW w:type="dxa" w:w="2880"/>
          </w:tcPr>
          <w:p>
            <w:r/>
            <w:r/>
            <w:r>
              <w:rPr>
                <w:rFonts w:ascii="Consolas" w:hAnsi="Consolas"/>
                <w:color w:val="1A1A2E"/>
                <w:sz w:val="18"/>
              </w:rPr>
              <w:t>root_cause</w:t>
            </w:r>
            <w:r/>
          </w:p>
        </w:tc>
        <w:tc>
          <w:tcPr>
            <w:tcW w:type="dxa" w:w="2880"/>
          </w:tcPr>
          <w:p>
            <w:r/>
            <w:r>
              <w:t>text</w:t>
            </w:r>
          </w:p>
        </w:tc>
        <w:tc>
          <w:tcPr>
            <w:tcW w:type="dxa" w:w="2880"/>
          </w:tcPr>
          <w:p>
            <w:r/>
            <w:r>
              <w:t>Root cause analysis narrative</w:t>
            </w:r>
          </w:p>
        </w:tc>
      </w:tr>
      <w:tr>
        <w:tc>
          <w:tcPr>
            <w:tcW w:type="dxa" w:w="2880"/>
          </w:tcPr>
          <w:p>
            <w:r/>
            <w:r/>
            <w:r>
              <w:rPr>
                <w:rFonts w:ascii="Consolas" w:hAnsi="Consolas"/>
                <w:color w:val="1A1A2E"/>
                <w:sz w:val="18"/>
              </w:rPr>
              <w:t>corrective_actions</w:t>
            </w:r>
            <w:r/>
          </w:p>
        </w:tc>
        <w:tc>
          <w:tcPr>
            <w:tcW w:type="dxa" w:w="2880"/>
          </w:tcPr>
          <w:p>
            <w:r/>
            <w:r>
              <w:t>JSON array</w:t>
            </w:r>
          </w:p>
        </w:tc>
        <w:tc>
          <w:tcPr>
            <w:tcW w:type="dxa" w:w="2880"/>
          </w:tcPr>
          <w:p>
            <w:r/>
            <w:r>
              <w:t>Corrective actions being taken</w:t>
            </w:r>
          </w:p>
        </w:tc>
      </w:tr>
      <w:tr>
        <w:tc>
          <w:tcPr>
            <w:tcW w:type="dxa" w:w="2880"/>
          </w:tcPr>
          <w:p>
            <w:r/>
            <w:r/>
            <w:r>
              <w:rPr>
                <w:rFonts w:ascii="Consolas" w:hAnsi="Consolas"/>
                <w:color w:val="1A1A2E"/>
                <w:sz w:val="18"/>
              </w:rPr>
              <w:t>status</w:t>
            </w:r>
            <w:r/>
          </w:p>
        </w:tc>
        <w:tc>
          <w:tcPr>
            <w:tcW w:type="dxa" w:w="2880"/>
          </w:tcPr>
          <w:p>
            <w:r/>
            <w:r>
              <w:t>enum</w:t>
            </w:r>
          </w:p>
        </w:tc>
        <w:tc>
          <w:tcPr>
            <w:tcW w:type="dxa" w:w="2880"/>
          </w:tcPr>
          <w:p>
            <w:r/>
            <w:r>
              <w:t>Lifecycle status</w:t>
            </w:r>
          </w:p>
        </w:tc>
      </w:tr>
      <w:tr>
        <w:tc>
          <w:tcPr>
            <w:tcW w:type="dxa" w:w="2880"/>
          </w:tcPr>
          <w:p>
            <w:r/>
            <w:r/>
            <w:r>
              <w:rPr>
                <w:rFonts w:ascii="Consolas" w:hAnsi="Consolas"/>
                <w:color w:val="1A1A2E"/>
                <w:sz w:val="18"/>
              </w:rPr>
              <w:t>risk_id</w:t>
            </w:r>
            <w:r/>
          </w:p>
        </w:tc>
        <w:tc>
          <w:tcPr>
            <w:tcW w:type="dxa" w:w="2880"/>
          </w:tcPr>
          <w:p>
            <w:r/>
            <w:r>
              <w:t>integer</w:t>
            </w:r>
          </w:p>
        </w:tc>
        <w:tc>
          <w:tcPr>
            <w:tcW w:type="dxa" w:w="2880"/>
          </w:tcPr>
          <w:p>
            <w:r/>
            <w:r>
              <w:t>FK to linked enterprise risk (optional)</w:t>
            </w:r>
          </w:p>
        </w:tc>
      </w:tr>
    </w:tbl>
    <w:p/>
    <w:p>
      <w:pPr>
        <w:pStyle w:val="Heading3"/>
      </w:pPr>
      <w:r>
        <w:t>7.2 Reporting an Incident</w:t>
      </w:r>
    </w:p>
    <w:p>
      <w:r/>
      <w:r>
        <w:rPr>
          <w:b/>
        </w:rPr>
        <w:t>Request:</w:t>
      </w:r>
      <w:r/>
    </w:p>
    <w:p>
      <w:pPr>
        <w:ind w:left="432"/>
      </w:pPr>
      <w:r>
        <w:rPr>
          <w:rFonts w:ascii="Consolas" w:hAnsi="Consolas"/>
          <w:color w:val="333333"/>
          <w:sz w:val="18"/>
        </w:rPr>
        <w:t>POST /api/rm/incidents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"Unauthorised AP Vendor Master Change - Production",</w:t>
        <w:br/>
      </w:r>
      <w:r>
        <w:rPr>
          <w:rFonts w:ascii="Consolas" w:hAnsi="Consolas"/>
          <w:color w:val="333333"/>
          <w:sz w:val="18"/>
        </w:rPr>
        <w:t xml:space="preserve">  "description": "A user with both AP change and payment approval access modified vendor bank account details for supplier #VP-0441 and subsequently approved a payment. The modification was detected during the monthly reconciliation review.",</w:t>
        <w:br/>
      </w:r>
      <w:r>
        <w:rPr>
          <w:rFonts w:ascii="Consolas" w:hAnsi="Consolas"/>
          <w:color w:val="333333"/>
          <w:sz w:val="18"/>
        </w:rPr>
        <w:t xml:space="preserve">  "severity": "high",</w:t>
        <w:br/>
      </w:r>
      <w:r>
        <w:rPr>
          <w:rFonts w:ascii="Consolas" w:hAnsi="Consolas"/>
          <w:color w:val="333333"/>
          <w:sz w:val="18"/>
        </w:rPr>
        <w:t xml:space="preserve">  "financial_impact": 125000.00,</w:t>
        <w:br/>
      </w:r>
      <w:r>
        <w:rPr>
          <w:rFonts w:ascii="Consolas" w:hAnsi="Consolas"/>
          <w:color w:val="333333"/>
          <w:sz w:val="18"/>
        </w:rPr>
        <w:t xml:space="preserve">  "currency": "SAR",</w:t>
        <w:br/>
      </w:r>
      <w:r>
        <w:rPr>
          <w:rFonts w:ascii="Consolas" w:hAnsi="Consolas"/>
          <w:color w:val="333333"/>
          <w:sz w:val="18"/>
        </w:rPr>
        <w:t xml:space="preserve">  "occurred_at": "2026-08-28T14:30:00",</w:t>
        <w:br/>
      </w:r>
      <w:r>
        <w:rPr>
          <w:rFonts w:ascii="Consolas" w:hAnsi="Consolas"/>
          <w:color w:val="333333"/>
          <w:sz w:val="18"/>
        </w:rPr>
        <w:t xml:space="preserve">  "reported_by": "USR-0099",</w:t>
        <w:br/>
      </w:r>
      <w:r>
        <w:rPr>
          <w:rFonts w:ascii="Consolas" w:hAnsi="Consolas"/>
          <w:color w:val="333333"/>
          <w:sz w:val="18"/>
        </w:rPr>
        <w:t xml:space="preserve">  "corrective_actions": [</w:t>
        <w:br/>
      </w:r>
      <w:r>
        <w:rPr>
          <w:rFonts w:ascii="Consolas" w:hAnsi="Consolas"/>
          <w:color w:val="333333"/>
          <w:sz w:val="18"/>
        </w:rPr>
        <w:t xml:space="preserve">    "Immediately revoked dual-role access for the affected user",</w:t>
        <w:br/>
      </w:r>
      <w:r>
        <w:rPr>
          <w:rFonts w:ascii="Consolas" w:hAnsi="Consolas"/>
          <w:color w:val="333333"/>
          <w:sz w:val="18"/>
        </w:rPr>
        <w:t xml:space="preserve">    "Initiated vendor bank account re-verification process",</w:t>
        <w:br/>
      </w:r>
      <w:r>
        <w:rPr>
          <w:rFonts w:ascii="Consolas" w:hAnsi="Consolas"/>
          <w:color w:val="333333"/>
          <w:sz w:val="18"/>
        </w:rPr>
        <w:t xml:space="preserve">    "Payment placed on hold pending investigation"</w:t>
        <w:br/>
      </w:r>
      <w:r>
        <w:rPr>
          <w:rFonts w:ascii="Consolas" w:hAnsi="Consolas"/>
          <w:color w:val="333333"/>
          <w:sz w:val="18"/>
        </w:rPr>
        <w:t xml:space="preserve">  ]</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"incident_id": "INC_d8e7a1c4f930",</w:t>
        <w:br/>
      </w:r>
      <w:r>
        <w:rPr>
          <w:rFonts w:ascii="Consolas" w:hAnsi="Consolas"/>
          <w:color w:val="333333"/>
          <w:sz w:val="18"/>
        </w:rPr>
        <w:t xml:space="preserve">  "title": "Unauthorised AP Vendor Master Change - Production",</w:t>
        <w:br/>
      </w:r>
      <w:r>
        <w:rPr>
          <w:rFonts w:ascii="Consolas" w:hAnsi="Consolas"/>
          <w:color w:val="333333"/>
          <w:sz w:val="18"/>
        </w:rPr>
        <w:t xml:space="preserve">  "severity": "high",</w:t>
        <w:br/>
      </w:r>
      <w:r>
        <w:rPr>
          <w:rFonts w:ascii="Consolas" w:hAnsi="Consolas"/>
          <w:color w:val="333333"/>
          <w:sz w:val="18"/>
        </w:rPr>
        <w:t xml:space="preserve">  "financial_impact": 125000.0,</w:t>
        <w:br/>
      </w:r>
      <w:r>
        <w:rPr>
          <w:rFonts w:ascii="Consolas" w:hAnsi="Consolas"/>
          <w:color w:val="333333"/>
          <w:sz w:val="18"/>
        </w:rPr>
        <w:t xml:space="preserve">  "currency": "SAR",</w:t>
        <w:br/>
      </w:r>
      <w:r>
        <w:rPr>
          <w:rFonts w:ascii="Consolas" w:hAnsi="Consolas"/>
          <w:color w:val="333333"/>
          <w:sz w:val="18"/>
        </w:rPr>
        <w:t xml:space="preserve">  "occurred_at": "2026-08-28T14:30:00",</w:t>
        <w:br/>
      </w:r>
      <w:r>
        <w:rPr>
          <w:rFonts w:ascii="Consolas" w:hAnsi="Consolas"/>
          <w:color w:val="333333"/>
          <w:sz w:val="18"/>
        </w:rPr>
        <w:t xml:space="preserve">  "detected_at": "2026-09-06T11:00:00",</w:t>
        <w:br/>
      </w:r>
      <w:r>
        <w:rPr>
          <w:rFonts w:ascii="Consolas" w:hAnsi="Consolas"/>
          <w:color w:val="333333"/>
          <w:sz w:val="18"/>
        </w:rPr>
        <w:t xml:space="preserve">  "reported_by": "USR-0099",</w:t>
        <w:br/>
      </w:r>
      <w:r>
        <w:rPr>
          <w:rFonts w:ascii="Consolas" w:hAnsi="Consolas"/>
          <w:color w:val="333333"/>
          <w:sz w:val="18"/>
        </w:rPr>
        <w:t xml:space="preserve">  "status": "reported",</w:t>
        <w:br/>
      </w:r>
      <w:r>
        <w:rPr>
          <w:rFonts w:ascii="Consolas" w:hAnsi="Consolas"/>
          <w:color w:val="333333"/>
          <w:sz w:val="18"/>
        </w:rPr>
        <w:t xml:space="preserve">  "root_cause": null,</w:t>
        <w:br/>
      </w:r>
      <w:r>
        <w:rPr>
          <w:rFonts w:ascii="Consolas" w:hAnsi="Consolas"/>
          <w:color w:val="333333"/>
          <w:sz w:val="18"/>
        </w:rPr>
        <w:t xml:space="preserve">  "corrective_actions": ["Immediately revoked dual-role access...", "..."],</w:t>
        <w:br/>
      </w:r>
      <w:r>
        <w:rPr>
          <w:rFonts w:ascii="Consolas" w:hAnsi="Consolas"/>
          <w:color w:val="333333"/>
          <w:sz w:val="18"/>
        </w:rPr>
        <w:t xml:space="preserve">  "risk_id": null</w:t>
        <w:br/>
      </w:r>
      <w:r>
        <w:rPr>
          <w:rFonts w:ascii="Consolas" w:hAnsi="Consolas"/>
          <w:color w:val="333333"/>
          <w:sz w:val="18"/>
        </w:rPr>
        <w:t>}</w:t>
        <w:br/>
      </w:r>
    </w:p>
    <w:p>
      <w:pPr>
        <w:pStyle w:val="Heading3"/>
      </w:pPr>
      <w:r>
        <w:t>7.3 Linking to Risks</w:t>
      </w:r>
    </w:p>
    <w:p>
      <w:r>
        <w:t>After reporting, link the incident to the relevant risk in the register. This enables likelihood recalibration — if several incidents materialise against the same risk, the next periodic assessment should reflect an upward revision to the likelihood score.</w:t>
      </w:r>
    </w:p>
    <w:p>
      <w:pPr>
        <w:ind w:left="432"/>
      </w:pPr>
      <w:r>
        <w:rPr>
          <w:rFonts w:ascii="Consolas" w:hAnsi="Consolas"/>
          <w:color w:val="333333"/>
          <w:sz w:val="18"/>
        </w:rPr>
        <w:t>POST /api/rm/incidents/INC_d8e7a1c4f930/link-risk</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"risk_id": "RISK_a3f7b2c81d04"</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"incident_id": "INC_d8e7a1c4f930",</w:t>
        <w:br/>
      </w:r>
      <w:r>
        <w:rPr>
          <w:rFonts w:ascii="Consolas" w:hAnsi="Consolas"/>
          <w:color w:val="333333"/>
          <w:sz w:val="18"/>
        </w:rPr>
        <w:t xml:space="preserve">  "linked_risk_id": "RISK_a3f7b2c81d04",</w:t>
        <w:br/>
      </w:r>
      <w:r>
        <w:rPr>
          <w:rFonts w:ascii="Consolas" w:hAnsi="Consolas"/>
          <w:color w:val="333333"/>
          <w:sz w:val="18"/>
        </w:rPr>
        <w:t xml:space="preserve">  "success": true</w:t>
        <w:br/>
      </w:r>
      <w:r>
        <w:rPr>
          <w:rFonts w:ascii="Consolas" w:hAnsi="Consolas"/>
          <w:color w:val="333333"/>
          <w:sz w:val="18"/>
        </w:rPr>
        <w:t>}</w:t>
        <w:br/>
      </w:r>
    </w:p>
    <w:p>
      <w:r>
        <w:t>The system does not automatically adjust the risk's likelihood score — that requires a deliberate ad-hoc assessment (Section 3). However, the link creates the data trail needed for the CRO to see which risks are materialising most frequently when reviewing the register.</w:t>
      </w:r>
    </w:p>
    <w:p>
      <w:pPr>
        <w:pStyle w:val="Heading3"/>
      </w:pPr>
      <w:r>
        <w:t>7.4 Root Cause Analysis</w:t>
      </w:r>
    </w:p>
    <w:p>
      <w:r>
        <w:t xml:space="preserve">Root cause is recorded as free text in the </w:t>
      </w:r>
      <w:r>
        <w:rPr>
          <w:rFonts w:ascii="Consolas" w:hAnsi="Consolas"/>
          <w:color w:val="1A1A2E"/>
          <w:sz w:val="18"/>
        </w:rPr>
        <w:t>root_cause</w:t>
      </w:r>
      <w:r>
        <w:t xml:space="preserve"> field. Update it as the investigation progresses:</w:t>
      </w:r>
    </w:p>
    <w:p>
      <w:pPr>
        <w:ind w:left="432"/>
      </w:pPr>
      <w:r>
        <w:rPr>
          <w:rFonts w:ascii="Consolas" w:hAnsi="Consolas"/>
          <w:color w:val="333333"/>
          <w:sz w:val="18"/>
        </w:rPr>
        <w:t>PUT /api/rm/incidents/INC_d8e7a1c4f930</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"root_cause": "Inadequate SoD controls in the Accounts Payable module. The user was granted vendor master change access as part of a temporary project role that was never revoked after project completion (JML failure). No compensating control was in place to detect the dual-role combination.",</w:t>
        <w:br/>
      </w:r>
      <w:r>
        <w:rPr>
          <w:rFonts w:ascii="Consolas" w:hAnsi="Consolas"/>
          <w:color w:val="333333"/>
          <w:sz w:val="18"/>
        </w:rPr>
        <w:t xml:space="preserve">  "status": "investigating"</w:t>
        <w:br/>
      </w:r>
      <w:r>
        <w:rPr>
          <w:rFonts w:ascii="Consolas" w:hAnsi="Consolas"/>
          <w:color w:val="333333"/>
          <w:sz w:val="18"/>
        </w:rPr>
        <w:t>}</w:t>
        <w:br/>
      </w:r>
    </w:p>
    <w:p>
      <w:pPr>
        <w:pStyle w:val="Heading3"/>
      </w:pPr>
      <w:r>
        <w:t>7.5 Corrective Actions</w:t>
      </w:r>
    </w:p>
    <w:p>
      <w:r>
        <w:t xml:space="preserve">The </w:t>
      </w:r>
      <w:r>
        <w:rPr>
          <w:rFonts w:ascii="Consolas" w:hAnsi="Consolas"/>
          <w:color w:val="1A1A2E"/>
          <w:sz w:val="18"/>
        </w:rPr>
        <w:t>corrective_actions</w:t>
      </w:r>
      <w:r>
        <w:t xml:space="preserve"> array is updated by providing the full updated array in a PUT request. Each element can be a string (simple action description) or a structured object with owner and due date:</w:t>
      </w:r>
    </w:p>
    <w:p>
      <w:pPr>
        <w:ind w:left="432"/>
      </w:pPr>
      <w:r>
        <w:rPr>
          <w:rFonts w:ascii="Consolas" w:hAnsi="Consolas"/>
          <w:color w:val="333333"/>
          <w:sz w:val="18"/>
        </w:rPr>
        <w:t>PUT /api/rm/incidents/INC_d8e7a1c4f930</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"corrective_actions": [</w:t>
        <w:br/>
      </w:r>
      <w:r>
        <w:rPr>
          <w:rFonts w:ascii="Consolas" w:hAnsi="Consolas"/>
          <w:color w:val="333333"/>
          <w:sz w:val="18"/>
        </w:rPr>
        <w:t xml:space="preserve">    {</w:t>
        <w:br/>
      </w:r>
      <w:r>
        <w:rPr>
          <w:rFonts w:ascii="Consolas" w:hAnsi="Consolas"/>
          <w:color w:val="333333"/>
          <w:sz w:val="18"/>
        </w:rPr>
        <w:t xml:space="preserve">      "action": "Revoke dual-role access",</w:t>
        <w:br/>
      </w:r>
      <w:r>
        <w:rPr>
          <w:rFonts w:ascii="Consolas" w:hAnsi="Consolas"/>
          <w:color w:val="333333"/>
          <w:sz w:val="18"/>
        </w:rPr>
        <w:t xml:space="preserve">      "owner": "USR-0042",</w:t>
        <w:br/>
      </w:r>
      <w:r>
        <w:rPr>
          <w:rFonts w:ascii="Consolas" w:hAnsi="Consolas"/>
          <w:color w:val="333333"/>
          <w:sz w:val="18"/>
        </w:rPr>
        <w:t xml:space="preserve">      "due_date": "2026-09-06",</w:t>
        <w:br/>
      </w:r>
      <w:r>
        <w:rPr>
          <w:rFonts w:ascii="Consolas" w:hAnsi="Consolas"/>
          <w:color w:val="333333"/>
          <w:sz w:val="18"/>
        </w:rPr>
        <w:t xml:space="preserve">      "status": "completed"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"action": "Implement SoD rule for AP change + AP payment combination",</w:t>
        <w:br/>
      </w:r>
      <w:r>
        <w:rPr>
          <w:rFonts w:ascii="Consolas" w:hAnsi="Consolas"/>
          <w:color w:val="333333"/>
          <w:sz w:val="18"/>
        </w:rPr>
        <w:t xml:space="preserve">      "owner": "USR-0055",</w:t>
        <w:br/>
      </w:r>
      <w:r>
        <w:rPr>
          <w:rFonts w:ascii="Consolas" w:hAnsi="Consolas"/>
          <w:color w:val="333333"/>
          <w:sz w:val="18"/>
        </w:rPr>
        <w:t xml:space="preserve">      "due_date": "2026-10-01",</w:t>
        <w:br/>
      </w:r>
      <w:r>
        <w:rPr>
          <w:rFonts w:ascii="Consolas" w:hAnsi="Consolas"/>
          <w:color w:val="333333"/>
          <w:sz w:val="18"/>
        </w:rPr>
        <w:t xml:space="preserve">      "status": "in_progress"</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"action": "Run JML audit for all project-granted roles older than 90 days",</w:t>
        <w:br/>
      </w:r>
      <w:r>
        <w:rPr>
          <w:rFonts w:ascii="Consolas" w:hAnsi="Consolas"/>
          <w:color w:val="333333"/>
          <w:sz w:val="18"/>
        </w:rPr>
        <w:t xml:space="preserve">      "owner": "USR-0060",</w:t>
        <w:br/>
      </w:r>
      <w:r>
        <w:rPr>
          <w:rFonts w:ascii="Consolas" w:hAnsi="Consolas"/>
          <w:color w:val="333333"/>
          <w:sz w:val="18"/>
        </w:rPr>
        <w:t xml:space="preserve">      "due_date": "2026-10-15",</w:t>
        <w:br/>
      </w:r>
      <w:r>
        <w:rPr>
          <w:rFonts w:ascii="Consolas" w:hAnsi="Consolas"/>
          <w:color w:val="333333"/>
          <w:sz w:val="18"/>
        </w:rPr>
        <w:t xml:space="preserve">      "status": "not_started"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7.6 Status Lifecycle</w:t>
      </w:r>
    </w:p>
    <w:p>
      <w:pPr>
        <w:ind w:left="432"/>
      </w:pPr>
      <w:r>
        <w:rPr>
          <w:rFonts w:ascii="Consolas" w:hAnsi="Consolas"/>
          <w:color w:val="333333"/>
          <w:sz w:val="18"/>
        </w:rPr>
        <w:t>reported --&gt; investigating --&gt; resolved --&gt; closed</w:t>
        <w:b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r>
              <w:rPr>
                <w:rFonts w:ascii="Consolas" w:hAnsi="Consolas"/>
                <w:color w:val="1A1A2E"/>
                <w:sz w:val="18"/>
              </w:rPr>
              <w:t>reported</w:t>
            </w:r>
            <w:r/>
          </w:p>
        </w:tc>
        <w:tc>
          <w:tcPr>
            <w:tcW w:type="dxa" w:w="4320"/>
          </w:tcPr>
          <w:p>
            <w:r/>
            <w:r>
              <w:t>Initial submission; investigation not yet started</w:t>
            </w:r>
          </w:p>
        </w:tc>
      </w:tr>
      <w:tr>
        <w:tc>
          <w:tcPr>
            <w:tcW w:type="dxa" w:w="4320"/>
          </w:tcPr>
          <w:p>
            <w:r/>
            <w:r/>
            <w:r>
              <w:rPr>
                <w:rFonts w:ascii="Consolas" w:hAnsi="Consolas"/>
                <w:color w:val="1A1A2E"/>
                <w:sz w:val="18"/>
              </w:rPr>
              <w:t>investigating</w:t>
            </w:r>
            <w:r/>
          </w:p>
        </w:tc>
        <w:tc>
          <w:tcPr>
            <w:tcW w:type="dxa" w:w="4320"/>
          </w:tcPr>
          <w:p>
            <w:r/>
            <w:r>
              <w:t>Active investigation underway; root cause being determined</w:t>
            </w:r>
          </w:p>
        </w:tc>
      </w:tr>
      <w:tr>
        <w:tc>
          <w:tcPr>
            <w:tcW w:type="dxa" w:w="4320"/>
          </w:tcPr>
          <w:p>
            <w:r/>
            <w:r/>
            <w:r>
              <w:rPr>
                <w:rFonts w:ascii="Consolas" w:hAnsi="Consolas"/>
                <w:color w:val="1A1A2E"/>
                <w:sz w:val="18"/>
              </w:rPr>
              <w:t>resolved</w:t>
            </w:r>
            <w:r/>
          </w:p>
        </w:tc>
        <w:tc>
          <w:tcPr>
            <w:tcW w:type="dxa" w:w="4320"/>
          </w:tcPr>
          <w:p>
            <w:r/>
            <w:r>
              <w:t>Root cause identified; corrective actions completed</w:t>
            </w:r>
          </w:p>
        </w:tc>
      </w:tr>
      <w:tr>
        <w:tc>
          <w:tcPr>
            <w:tcW w:type="dxa" w:w="4320"/>
          </w:tcPr>
          <w:p>
            <w:r/>
            <w:r/>
            <w:r>
              <w:rPr>
                <w:rFonts w:ascii="Consolas" w:hAnsi="Consolas"/>
                <w:color w:val="1A1A2E"/>
                <w:sz w:val="18"/>
              </w:rPr>
              <w:t>closed</w:t>
            </w:r>
            <w:r/>
          </w:p>
        </w:tc>
        <w:tc>
          <w:tcPr>
            <w:tcW w:type="dxa" w:w="4320"/>
          </w:tcPr>
          <w:p>
            <w:r/>
            <w:r>
              <w:t>Incident formally closed; all follow-up actions verified</w:t>
            </w:r>
          </w:p>
        </w:tc>
      </w:tr>
    </w:tbl>
    <w:p/>
    <w:p>
      <w:r>
        <w:t xml:space="preserve">When status is set to </w:t>
      </w:r>
      <w:r>
        <w:rPr>
          <w:rFonts w:ascii="Consolas" w:hAnsi="Consolas"/>
          <w:color w:val="1A1A2E"/>
          <w:sz w:val="18"/>
        </w:rPr>
        <w:t>resolved</w:t>
      </w:r>
      <w:r>
        <w:t xml:space="preserve">, </w:t>
      </w:r>
      <w:r>
        <w:rPr>
          <w:rFonts w:ascii="Consolas" w:hAnsi="Consolas"/>
          <w:color w:val="1A1A2E"/>
          <w:sz w:val="18"/>
        </w:rPr>
        <w:t>resolved_at</w:t>
      </w:r>
      <w:r>
        <w:t xml:space="preserve"> is automatically stamped.</w:t>
      </w:r>
    </w:p>
    <w:p>
      <w:r/>
      <w:r>
        <w:rPr>
          <w:b/>
        </w:rPr>
        <w:t>API Endpoints — Incidents: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/api/rm/incidents</w:t>
            </w:r>
            <w:r/>
          </w:p>
        </w:tc>
        <w:tc>
          <w:tcPr>
            <w:tcW w:type="dxa" w:w="2880"/>
          </w:tcPr>
          <w:p>
            <w:r/>
            <w:r>
              <w:t>Report incident</w:t>
            </w:r>
          </w:p>
        </w:tc>
      </w:tr>
      <w:tr>
        <w:tc>
          <w:tcPr>
            <w:tcW w:type="dxa" w:w="2880"/>
          </w:tcPr>
          <w:p>
            <w:r/>
            <w:r>
              <w:t>GET</w:t>
            </w:r>
          </w:p>
        </w:tc>
        <w:tc>
          <w:tcPr>
            <w:tcW w:type="dxa" w:w="2880"/>
          </w:tcPr>
          <w:p>
            <w:r/>
            <w:r/>
            <w:r>
              <w:rPr>
                <w:rFonts w:ascii="Consolas" w:hAnsi="Consolas"/>
                <w:color w:val="1A1A2E"/>
                <w:sz w:val="18"/>
              </w:rPr>
              <w:t>/api/rm/incidents</w:t>
            </w:r>
            <w:r/>
          </w:p>
        </w:tc>
        <w:tc>
          <w:tcPr>
            <w:tcW w:type="dxa" w:w="2880"/>
          </w:tcPr>
          <w:p>
            <w:r/>
            <w:r>
              <w:t>List incidents (filters: status, severity)</w:t>
            </w:r>
          </w:p>
        </w:tc>
      </w:tr>
      <w:tr>
        <w:tc>
          <w:tcPr>
            <w:tcW w:type="dxa" w:w="2880"/>
          </w:tcPr>
          <w:p>
            <w:r/>
            <w:r>
              <w:t>PUT</w:t>
            </w:r>
          </w:p>
        </w:tc>
        <w:tc>
          <w:tcPr>
            <w:tcW w:type="dxa" w:w="2880"/>
          </w:tcPr>
          <w:p>
            <w:r/>
            <w:r/>
            <w:r>
              <w:rPr>
                <w:rFonts w:ascii="Consolas" w:hAnsi="Consolas"/>
                <w:color w:val="1A1A2E"/>
                <w:sz w:val="18"/>
              </w:rPr>
              <w:t>/api/rm/incidents/{incident_id}</w:t>
            </w:r>
            <w:r/>
          </w:p>
        </w:tc>
        <w:tc>
          <w:tcPr>
            <w:tcW w:type="dxa" w:w="2880"/>
          </w:tcPr>
          <w:p>
            <w:r/>
            <w:r>
              <w:t>Update incident</w:t>
            </w:r>
          </w:p>
        </w:tc>
      </w:tr>
      <w:tr>
        <w:tc>
          <w:tcPr>
            <w:tcW w:type="dxa" w:w="2880"/>
          </w:tcPr>
          <w:p>
            <w:r/>
            <w:r>
              <w:t>POST</w:t>
            </w:r>
          </w:p>
        </w:tc>
        <w:tc>
          <w:tcPr>
            <w:tcW w:type="dxa" w:w="2880"/>
          </w:tcPr>
          <w:p>
            <w:r/>
            <w:r/>
            <w:r>
              <w:rPr>
                <w:rFonts w:ascii="Consolas" w:hAnsi="Consolas"/>
                <w:color w:val="1A1A2E"/>
                <w:sz w:val="18"/>
              </w:rPr>
              <w:t>/api/rm/incidents/{incident_id}/link-risk</w:t>
            </w:r>
            <w:r/>
          </w:p>
        </w:tc>
        <w:tc>
          <w:tcPr>
            <w:tcW w:type="dxa" w:w="2880"/>
          </w:tcPr>
          <w:p>
            <w:r/>
            <w:r>
              <w:t>Link incident to risk</w:t>
            </w:r>
          </w:p>
        </w:tc>
      </w:tr>
    </w:tbl>
    <w:p/>
    <w:p>
      <w:r>
        <w:rPr>
          <w:color w:val="CCCCCC"/>
        </w:rPr>
        <w:t>____________________________________________________________</w:t>
      </w:r>
    </w:p>
    <w:p>
      <w:pPr>
        <w:pStyle w:val="Heading2"/>
      </w:pPr>
      <w:r>
        <w:t>8. Risk Review and Attestation (RM-23)</w:t>
      </w:r>
    </w:p>
    <w:p>
      <w:r>
        <w:t>Every risk in the register must be periodically reviewed to confirm that the scoring, ownership, and response plans remain current. The review attestation mechanism creates a formal paper trail of who reviewed a risk and when.</w:t>
      </w:r>
    </w:p>
    <w:p>
      <w:pPr>
        <w:pStyle w:val="Heading3"/>
      </w:pPr>
      <w:r>
        <w:t>8.1 Review Frequency Setup</w:t>
      </w:r>
    </w:p>
    <w:p>
      <w:r>
        <w:t xml:space="preserve">Review frequency is set per-risk in the </w:t>
      </w:r>
      <w:r>
        <w:rPr>
          <w:rFonts w:ascii="Consolas" w:hAnsi="Consolas"/>
          <w:color w:val="1A1A2E"/>
          <w:sz w:val="18"/>
        </w:rPr>
        <w:t>review_frequency</w:t>
      </w:r>
      <w:r>
        <w:t xml:space="preserve"> field: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Value</w:t>
            </w:r>
          </w:p>
        </w:tc>
        <w:tc>
          <w:tcPr>
            <w:tcW w:type="dxa" w:w="4320"/>
          </w:tcPr>
          <w:p>
            <w:r>
              <w:rPr>
                <w:b/>
              </w:rPr>
            </w:r>
            <w:r>
              <w:rPr>
                <w:b/>
              </w:rPr>
              <w:t>Review Interval</w:t>
            </w:r>
          </w:p>
        </w:tc>
      </w:tr>
      <w:tr>
        <w:tc>
          <w:tcPr>
            <w:tcW w:type="dxa" w:w="4320"/>
          </w:tcPr>
          <w:p>
            <w:r/>
            <w:r/>
            <w:r>
              <w:rPr>
                <w:rFonts w:ascii="Consolas" w:hAnsi="Consolas"/>
                <w:color w:val="1A1A2E"/>
                <w:sz w:val="18"/>
              </w:rPr>
              <w:t>monthly</w:t>
            </w:r>
            <w:r/>
          </w:p>
        </w:tc>
        <w:tc>
          <w:tcPr>
            <w:tcW w:type="dxa" w:w="4320"/>
          </w:tcPr>
          <w:p>
            <w:r/>
            <w:r>
              <w:t>30 days</w:t>
            </w:r>
          </w:p>
        </w:tc>
      </w:tr>
      <w:tr>
        <w:tc>
          <w:tcPr>
            <w:tcW w:type="dxa" w:w="4320"/>
          </w:tcPr>
          <w:p>
            <w:r/>
            <w:r/>
            <w:r>
              <w:rPr>
                <w:rFonts w:ascii="Consolas" w:hAnsi="Consolas"/>
                <w:color w:val="1A1A2E"/>
                <w:sz w:val="18"/>
              </w:rPr>
              <w:t>quarterly</w:t>
            </w:r>
            <w:r/>
          </w:p>
        </w:tc>
        <w:tc>
          <w:tcPr>
            <w:tcW w:type="dxa" w:w="4320"/>
          </w:tcPr>
          <w:p>
            <w:r/>
            <w:r>
              <w:t>90 days</w:t>
            </w:r>
          </w:p>
        </w:tc>
      </w:tr>
      <w:tr>
        <w:tc>
          <w:tcPr>
            <w:tcW w:type="dxa" w:w="4320"/>
          </w:tcPr>
          <w:p>
            <w:r/>
            <w:r/>
            <w:r>
              <w:rPr>
                <w:rFonts w:ascii="Consolas" w:hAnsi="Consolas"/>
                <w:color w:val="1A1A2E"/>
                <w:sz w:val="18"/>
              </w:rPr>
              <w:t>semi_annual</w:t>
            </w:r>
            <w:r/>
          </w:p>
        </w:tc>
        <w:tc>
          <w:tcPr>
            <w:tcW w:type="dxa" w:w="4320"/>
          </w:tcPr>
          <w:p>
            <w:r/>
            <w:r>
              <w:t>180 days</w:t>
            </w:r>
          </w:p>
        </w:tc>
      </w:tr>
      <w:tr>
        <w:tc>
          <w:tcPr>
            <w:tcW w:type="dxa" w:w="4320"/>
          </w:tcPr>
          <w:p>
            <w:r/>
            <w:r/>
            <w:r>
              <w:rPr>
                <w:rFonts w:ascii="Consolas" w:hAnsi="Consolas"/>
                <w:color w:val="1A1A2E"/>
                <w:sz w:val="18"/>
              </w:rPr>
              <w:t>annual</w:t>
            </w:r>
            <w:r/>
          </w:p>
        </w:tc>
        <w:tc>
          <w:tcPr>
            <w:tcW w:type="dxa" w:w="4320"/>
          </w:tcPr>
          <w:p>
            <w:r/>
            <w:r>
              <w:t>365 days</w:t>
            </w:r>
          </w:p>
        </w:tc>
      </w:tr>
    </w:tbl>
    <w:p/>
    <w:p>
      <w:r>
        <w:t>High-criticality risks (score 20–25) should be reviewed monthly. High-risk (12–19) risks quarterly. Medium (6–11) and low (1–5) risks semi-annually or annually respectively. The organisation's risk policy should specify minimum review frequencies by risk zone.</w:t>
      </w:r>
    </w:p>
    <w:p>
      <w:pPr>
        <w:pStyle w:val="Heading3"/>
      </w:pPr>
      <w:r>
        <w:t>8.2 Overdue Review Detection</w:t>
      </w:r>
    </w:p>
    <w:p>
      <w:r>
        <w:t>Run the overdue review report at any time:</w:t>
      </w:r>
    </w:p>
    <w:p>
      <w:pPr>
        <w:ind w:left="432"/>
      </w:pPr>
      <w:r>
        <w:rPr>
          <w:rFonts w:ascii="Consolas" w:hAnsi="Consolas"/>
          <w:color w:val="333333"/>
          <w:sz w:val="18"/>
        </w:rPr>
        <w:t>GET /api/rm/overdue-reviews</w:t>
        <w:br/>
      </w:r>
    </w:p>
    <w:p>
      <w:r/>
      <w:r>
        <w:rPr>
          <w:b/>
        </w:rPr>
        <w:t>Response:</w:t>
      </w:r>
      <w:r/>
    </w:p>
    <w:p>
      <w:pPr>
        <w:ind w:left="432"/>
      </w:pPr>
      <w:r>
        <w:rPr>
          <w:rFonts w:ascii="Consolas" w:hAnsi="Consolas"/>
          <w:color w:val="333333"/>
          <w:sz w:val="18"/>
        </w:rPr>
        <w:t>{</w:t>
        <w:br/>
      </w:r>
      <w:r>
        <w:rPr>
          <w:rFonts w:ascii="Consolas" w:hAnsi="Consolas"/>
          <w:color w:val="333333"/>
          <w:sz w:val="18"/>
        </w:rPr>
        <w:t xml:space="preserve">  "total_overdue": 3,</w:t>
        <w:br/>
      </w:r>
      <w:r>
        <w:rPr>
          <w:rFonts w:ascii="Consolas" w:hAnsi="Consolas"/>
          <w:color w:val="333333"/>
          <w:sz w:val="18"/>
        </w:rPr>
        <w:t xml:space="preserve">  "risks": [</w:t>
        <w:br/>
      </w:r>
      <w:r>
        <w:rPr>
          <w:rFonts w:ascii="Consolas" w:hAnsi="Consolas"/>
          <w:color w:val="333333"/>
          <w:sz w:val="18"/>
        </w:rPr>
        <w:t xml:space="preserve">    {</w:t>
        <w:br/>
      </w:r>
      <w:r>
        <w:rPr>
          <w:rFonts w:ascii="Consolas" w:hAnsi="Consolas"/>
          <w:color w:val="333333"/>
          <w:sz w:val="18"/>
        </w:rPr>
        <w:t xml:space="preserve">      "risk_id": "RISK_b7c43a1d8e90",</w:t>
        <w:br/>
      </w:r>
      <w:r>
        <w:rPr>
          <w:rFonts w:ascii="Consolas" w:hAnsi="Consolas"/>
          <w:color w:val="333333"/>
          <w:sz w:val="18"/>
        </w:rPr>
        <w:t xml:space="preserve">      "title": "Regulatory Capital Calculation Error",</w:t>
        <w:br/>
      </w:r>
      <w:r>
        <w:rPr>
          <w:rFonts w:ascii="Consolas" w:hAnsi="Consolas"/>
          <w:color w:val="333333"/>
          <w:sz w:val="18"/>
        </w:rPr>
        <w:t xml:space="preserve">      "status": "assessed",</w:t>
        <w:br/>
      </w:r>
      <w:r>
        <w:rPr>
          <w:rFonts w:ascii="Consolas" w:hAnsi="Consolas"/>
          <w:color w:val="333333"/>
          <w:sz w:val="18"/>
        </w:rPr>
        <w:t xml:space="preserve">      "next_review_date": "2026-08-01T00:00:00",</w:t>
        <w:br/>
      </w:r>
      <w:r>
        <w:rPr>
          <w:rFonts w:ascii="Consolas" w:hAnsi="Consolas"/>
          <w:color w:val="333333"/>
          <w:sz w:val="18"/>
        </w:rPr>
        <w:t xml:space="preserve">      "risk_owner_name": "Fatima Al-Zahra",</w:t>
        <w:br/>
      </w:r>
      <w:r>
        <w:rPr>
          <w:rFonts w:ascii="Consolas" w:hAnsi="Consolas"/>
          <w:color w:val="333333"/>
          <w:sz w:val="18"/>
        </w:rPr>
        <w:t xml:space="preserve">      "residual_score": 12.0,</w:t>
        <w:br/>
      </w:r>
      <w:r>
        <w:rPr>
          <w:rFonts w:ascii="Consolas" w:hAnsi="Consolas"/>
          <w:color w:val="333333"/>
          <w:sz w:val="18"/>
        </w:rPr>
        <w:t xml:space="preserve">      "days_overdue": 36</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The scheduler runs this check nightly and sends reminder notifications to risk owners for risks that are 7, 14, and 30 days overdue. At 30 days overdue, the notification is escalated to the risk owner's manager.</w:t>
      </w:r>
    </w:p>
    <w:p>
      <w:pPr>
        <w:pStyle w:val="Heading3"/>
      </w:pPr>
      <w:r>
        <w:t>8.3 Review Attestation</w:t>
      </w:r>
    </w:p>
    <w:p>
      <w:r>
        <w:t>When a risk owner completes their review (confirms scores are current, response plans are progressing, and ownership is correct), they record an attestation:</w:t>
      </w:r>
    </w:p>
    <w:p>
      <w:pPr>
        <w:ind w:left="432"/>
      </w:pPr>
      <w:r>
        <w:rPr>
          <w:rFonts w:ascii="Consolas" w:hAnsi="Consolas"/>
          <w:color w:val="333333"/>
          <w:sz w:val="18"/>
        </w:rPr>
        <w:t>POST /api/rm/risks/RISK_b7c43a1d8e90/review-attestation</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"attested_by": "USR-0075",</w:t>
        <w:br/>
      </w:r>
      <w:r>
        <w:rPr>
          <w:rFonts w:ascii="Consolas" w:hAnsi="Consolas"/>
          <w:color w:val="333333"/>
          <w:sz w:val="18"/>
        </w:rPr>
        <w:t xml:space="preserve">  "notes": "Scores confirmed as current. Control CTRL-012 has been upgraded to annual testing from quarterly — residual scores will be reassessed after next test completion."</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"risk_id": "RISK_b7c43a1d8e90",</w:t>
        <w:br/>
      </w:r>
      <w:r>
        <w:rPr>
          <w:rFonts w:ascii="Consolas" w:hAnsi="Consolas"/>
          <w:color w:val="333333"/>
          <w:sz w:val="18"/>
        </w:rPr>
        <w:t xml:space="preserve">  "attested_by": "USR-0075",</w:t>
        <w:br/>
      </w:r>
      <w:r>
        <w:rPr>
          <w:rFonts w:ascii="Consolas" w:hAnsi="Consolas"/>
          <w:color w:val="333333"/>
          <w:sz w:val="18"/>
        </w:rPr>
        <w:t xml:space="preserve">  "attested_at": "2026-09-06T12:00:00",</w:t>
        <w:br/>
      </w:r>
      <w:r>
        <w:rPr>
          <w:rFonts w:ascii="Consolas" w:hAnsi="Consolas"/>
          <w:color w:val="333333"/>
          <w:sz w:val="18"/>
        </w:rPr>
        <w:t xml:space="preserve">  "next_review_date": "2026-12-05T12:00:00"</w:t>
        <w:br/>
      </w:r>
      <w:r>
        <w:rPr>
          <w:rFonts w:ascii="Consolas" w:hAnsi="Consolas"/>
          <w:color w:val="333333"/>
          <w:sz w:val="18"/>
        </w:rPr>
        <w:t>}</w:t>
        <w:br/>
      </w:r>
    </w:p>
    <w:p>
      <w:r>
        <w:t>The attestation:</w:t>
      </w:r>
    </w:p>
    <w:p>
      <w:pPr>
        <w:pStyle w:val="ListNumber"/>
      </w:pPr>
      <w:r>
        <w:t xml:space="preserve">Updates </w:t>
      </w:r>
      <w:r>
        <w:rPr>
          <w:rFonts w:ascii="Consolas" w:hAnsi="Consolas"/>
          <w:color w:val="1A1A2E"/>
          <w:sz w:val="18"/>
        </w:rPr>
        <w:t>last_assessed_at</w:t>
      </w:r>
      <w:r>
        <w:t xml:space="preserve"> to now</w:t>
      </w:r>
    </w:p>
    <w:p>
      <w:pPr>
        <w:pStyle w:val="ListNumber"/>
      </w:pPr>
      <w:r>
        <w:t xml:space="preserve">Computes the next </w:t>
      </w:r>
      <w:r>
        <w:rPr>
          <w:rFonts w:ascii="Consolas" w:hAnsi="Consolas"/>
          <w:color w:val="1A1A2E"/>
          <w:sz w:val="18"/>
        </w:rPr>
        <w:t>next_review_date</w:t>
      </w:r>
      <w:r>
        <w:t xml:space="preserve"> using the risk's </w:t>
      </w:r>
      <w:r>
        <w:rPr>
          <w:rFonts w:ascii="Consolas" w:hAnsi="Consolas"/>
          <w:color w:val="1A1A2E"/>
          <w:sz w:val="18"/>
        </w:rPr>
        <w:t>review_frequency</w:t>
      </w:r>
      <w:r>
        <w:t xml:space="preserve"> (90 days for quarterly)</w:t>
      </w:r>
    </w:p>
    <w:p>
      <w:pPr>
        <w:pStyle w:val="ListNumber"/>
      </w:pPr>
      <w:r>
        <w:t xml:space="preserve">Updates </w:t>
      </w:r>
      <w:r>
        <w:rPr>
          <w:rFonts w:ascii="Consolas" w:hAnsi="Consolas"/>
          <w:color w:val="1A1A2E"/>
          <w:sz w:val="18"/>
        </w:rPr>
        <w:t>risk_owner_id</w:t>
      </w:r>
      <w:r>
        <w:t xml:space="preserve"> to the </w:t>
      </w:r>
      <w:r>
        <w:rPr>
          <w:rFonts w:ascii="Consolas" w:hAnsi="Consolas"/>
          <w:color w:val="1A1A2E"/>
          <w:sz w:val="18"/>
        </w:rPr>
        <w:t>attested_by</w:t>
      </w:r>
      <w:r>
        <w:t xml:space="preserve"> user (confirming ownership has not changed, or transferring it if a different user attests)</w:t>
      </w:r>
    </w:p>
    <w:p>
      <w:pPr>
        <w:pStyle w:val="Heading3"/>
      </w:pPr>
      <w:r>
        <w:t>8.4 Escalation for Overdue Reviews</w:t>
      </w:r>
    </w:p>
    <w:p>
      <w:r>
        <w:t>The GovernexPlus scheduler runs a nightly escalation job that:</w:t>
      </w:r>
    </w:p>
    <w:p>
      <w:pPr>
        <w:pStyle w:val="ListNumber"/>
      </w:pPr>
      <w:r>
        <w:t xml:space="preserve">Queries </w:t>
      </w:r>
      <w:r>
        <w:rPr>
          <w:rFonts w:ascii="Consolas" w:hAnsi="Consolas"/>
          <w:color w:val="1A1A2E"/>
          <w:sz w:val="18"/>
        </w:rPr>
        <w:t>GET /api/rm/overdue-reviews</w:t>
      </w:r>
      <w:r/>
    </w:p>
    <w:p>
      <w:pPr>
        <w:pStyle w:val="ListNumber"/>
      </w:pPr>
      <w:r>
        <w:t>For risks 1–6 days overdue: sends a reminder to the risk owner</w:t>
      </w:r>
    </w:p>
    <w:p>
      <w:pPr>
        <w:pStyle w:val="ListNumber"/>
      </w:pPr>
      <w:r>
        <w:t>For risks 7–13 days overdue: sends a second reminder and copies the risk manager</w:t>
      </w:r>
    </w:p>
    <w:p>
      <w:pPr>
        <w:pStyle w:val="ListNumber"/>
      </w:pPr>
      <w:r>
        <w:t>For risks 14–29 days overdue: escalates to the risk owner's manager</w:t>
      </w:r>
    </w:p>
    <w:p>
      <w:pPr>
        <w:pStyle w:val="ListNumber"/>
      </w:pPr>
      <w:r>
        <w:t>For risks 30+ days overdue: flags the risk in the dashboard with a red overdue badge and notifies the Chief Risk Officer</w:t>
      </w:r>
    </w:p>
    <w:p>
      <w:r>
        <w:t>Escalation rules are configurable in the notification delivery module settings.</w:t>
      </w:r>
    </w:p>
    <w:p>
      <w:r>
        <w:rPr>
          <w:color w:val="CCCCCC"/>
        </w:rPr>
        <w:t>____________________________________________________________</w:t>
      </w:r>
    </w:p>
    <w:p>
      <w:pPr>
        <w:pStyle w:val="Heading2"/>
      </w:pPr>
      <w:r>
        <w:t>9. RM Reporting (RM-12, RM-30, RM-31)</w:t>
      </w:r>
    </w:p>
    <w:p>
      <w:pPr>
        <w:pStyle w:val="Heading3"/>
      </w:pPr>
      <w:r>
        <w:t>9.1 Risk Heatmap</w:t>
      </w:r>
    </w:p>
    <w:p>
      <w:r>
        <w:t>The risk heatmap provides a visual representation of the entire risk portfolio on a 5×5 likelihood-impact grid.</w:t>
      </w:r>
    </w:p>
    <w:p>
      <w:pPr>
        <w:ind w:left="432"/>
      </w:pPr>
      <w:r>
        <w:rPr>
          <w:rFonts w:ascii="Consolas" w:hAnsi="Consolas"/>
          <w:color w:val="333333"/>
          <w:sz w:val="18"/>
        </w:rPr>
        <w:t>GET /api/rm/heatmap</w:t>
        <w:br/>
      </w:r>
    </w:p>
    <w:p>
      <w:r>
        <w:t>The endpoint returns all 25 cells of the 5×5 grid, each with:</w:t>
      </w:r>
    </w:p>
    <w:p>
      <w:pPr>
        <w:pStyle w:val="ListBullet"/>
      </w:pPr>
      <w:r/>
      <w:r>
        <w:rPr>
          <w:rFonts w:ascii="Consolas" w:hAnsi="Consolas"/>
          <w:color w:val="1A1A2E"/>
          <w:sz w:val="18"/>
        </w:rPr>
        <w:t>likelihood</w:t>
      </w:r>
      <w:r>
        <w:t xml:space="preserve"> (1–5)</w:t>
      </w:r>
    </w:p>
    <w:p>
      <w:pPr>
        <w:pStyle w:val="ListBullet"/>
      </w:pPr>
      <w:r/>
      <w:r>
        <w:rPr>
          <w:rFonts w:ascii="Consolas" w:hAnsi="Consolas"/>
          <w:color w:val="1A1A2E"/>
          <w:sz w:val="18"/>
        </w:rPr>
        <w:t>impact</w:t>
      </w:r>
      <w:r>
        <w:t xml:space="preserve"> (1–5)</w:t>
      </w:r>
    </w:p>
    <w:p>
      <w:pPr>
        <w:pStyle w:val="ListBullet"/>
      </w:pPr>
      <w:r/>
      <w:r>
        <w:rPr>
          <w:rFonts w:ascii="Consolas" w:hAnsi="Consolas"/>
          <w:color w:val="1A1A2E"/>
          <w:sz w:val="18"/>
        </w:rPr>
        <w:t>score</w:t>
      </w:r>
      <w:r>
        <w:t xml:space="preserve"> (likelihood × impact)</w:t>
      </w:r>
    </w:p>
    <w:p>
      <w:pPr>
        <w:pStyle w:val="ListBullet"/>
      </w:pPr>
      <w:r/>
      <w:r>
        <w:rPr>
          <w:rFonts w:ascii="Consolas" w:hAnsi="Consolas"/>
          <w:color w:val="1A1A2E"/>
          <w:sz w:val="18"/>
        </w:rPr>
        <w:t>count</w:t>
      </w:r>
      <w:r>
        <w:t xml:space="preserve"> (number of risks in this cell)</w:t>
      </w:r>
    </w:p>
    <w:p>
      <w:pPr>
        <w:pStyle w:val="ListBullet"/>
      </w:pPr>
      <w:r/>
      <w:r>
        <w:rPr>
          <w:rFonts w:ascii="Consolas" w:hAnsi="Consolas"/>
          <w:color w:val="1A1A2E"/>
          <w:sz w:val="18"/>
        </w:rPr>
        <w:t>zone</w:t>
      </w:r>
      <w:r>
        <w:t xml:space="preserve"> (low/medium/high/critical)</w:t>
      </w:r>
    </w:p>
    <w:p>
      <w:r>
        <w:t xml:space="preserve">Risks are plotted using their </w:t>
      </w:r>
      <w:r>
        <w:rPr>
          <w:b/>
        </w:rPr>
        <w:t>residual</w:t>
      </w:r>
      <w:r>
        <w:t xml:space="preserve"> scores by default. When residual scores are not set, inherent scores are used as a fallback.</w:t>
      </w:r>
    </w:p>
    <w:p>
      <w:r/>
      <w:r>
        <w:rPr>
          <w:b/>
        </w:rPr>
        <w:t>Response (abbreviated):</w:t>
      </w:r>
      <w:r/>
    </w:p>
    <w:p>
      <w:pPr>
        <w:ind w:left="432"/>
      </w:pPr>
      <w:r>
        <w:rPr>
          <w:rFonts w:ascii="Consolas" w:hAnsi="Consolas"/>
          <w:color w:val="333333"/>
          <w:sz w:val="18"/>
        </w:rPr>
        <w:t>{</w:t>
        <w:br/>
      </w:r>
      <w:r>
        <w:rPr>
          <w:rFonts w:ascii="Consolas" w:hAnsi="Consolas"/>
          <w:color w:val="333333"/>
          <w:sz w:val="18"/>
        </w:rPr>
        <w:t xml:space="preserve">  "total_risks": 42,</w:t>
        <w:br/>
      </w:r>
      <w:r>
        <w:rPr>
          <w:rFonts w:ascii="Consolas" w:hAnsi="Consolas"/>
          <w:color w:val="333333"/>
          <w:sz w:val="18"/>
        </w:rPr>
        <w:t xml:space="preserve">  "unscored": 3,</w:t>
        <w:br/>
      </w:r>
      <w:r>
        <w:rPr>
          <w:rFonts w:ascii="Consolas" w:hAnsi="Consolas"/>
          <w:color w:val="333333"/>
          <w:sz w:val="18"/>
        </w:rPr>
        <w:t xml:space="preserve">  "heatmap": [</w:t>
        <w:br/>
      </w:r>
      <w:r>
        <w:rPr>
          <w:rFonts w:ascii="Consolas" w:hAnsi="Consolas"/>
          <w:color w:val="333333"/>
          <w:sz w:val="18"/>
        </w:rPr>
        <w:t xml:space="preserve">    {"likelihood": 1, "impact": 1, "score": 1, "count": 5, "zone": "low"},</w:t>
        <w:br/>
      </w:r>
      <w:r>
        <w:rPr>
          <w:rFonts w:ascii="Consolas" w:hAnsi="Consolas"/>
          <w:color w:val="333333"/>
          <w:sz w:val="18"/>
        </w:rPr>
        <w:t xml:space="preserve">    {"likelihood": 1, "impact": 2, "score": 2, "count": 3, "zone": "low"},</w:t>
        <w:br/>
      </w:r>
      <w:r>
        <w:rPr>
          <w:rFonts w:ascii="Consolas" w:hAnsi="Consolas"/>
          <w:color w:val="333333"/>
          <w:sz w:val="18"/>
        </w:rPr>
        <w:t xml:space="preserve">    ...</w:t>
        <w:br/>
      </w:r>
      <w:r>
        <w:rPr>
          <w:rFonts w:ascii="Consolas" w:hAnsi="Consolas"/>
          <w:color w:val="333333"/>
          <w:sz w:val="18"/>
        </w:rPr>
        <w:t xml:space="preserve">    {"likelihood": 4, "impact": 5, "score": 20, "count": 2, "zone": "critical"},</w:t>
        <w:br/>
      </w:r>
      <w:r>
        <w:rPr>
          <w:rFonts w:ascii="Consolas" w:hAnsi="Consolas"/>
          <w:color w:val="333333"/>
          <w:sz w:val="18"/>
        </w:rPr>
        <w:t xml:space="preserve">    {"likelihood": 5, "impact": 5, "score": 25, "count": 0, "zone": "critical"}</w:t>
        <w:br/>
      </w:r>
      <w:r>
        <w:rPr>
          <w:rFonts w:ascii="Consolas" w:hAnsi="Consolas"/>
          <w:color w:val="333333"/>
          <w:sz w:val="18"/>
        </w:rPr>
        <w:t xml:space="preserve">  ]</w:t>
        <w:br/>
      </w:r>
      <w:r>
        <w:rPr>
          <w:rFonts w:ascii="Consolas" w:hAnsi="Consolas"/>
          <w:color w:val="333333"/>
          <w:sz w:val="18"/>
        </w:rPr>
        <w:t>}</w:t>
        <w:br/>
      </w:r>
    </w:p>
    <w:p>
      <w:r/>
      <w:r>
        <w:rPr>
          <w:b/>
        </w:rPr>
        <w:t>ASCII representation of a 5×5 heatmap:</w:t>
      </w:r>
      <w:r/>
    </w:p>
    <w:p>
      <w:pPr>
        <w:ind w:left="432"/>
      </w:pPr>
      <w:r>
        <w:rPr>
          <w:rFonts w:ascii="Consolas" w:hAnsi="Consolas"/>
          <w:color w:val="333333"/>
          <w:sz w:val="18"/>
        </w:rPr>
        <w:t>Impact --&gt;</w:t>
        <w:br/>
      </w:r>
      <w:r>
        <w:rPr>
          <w:rFonts w:ascii="Consolas" w:hAnsi="Consolas"/>
          <w:color w:val="333333"/>
          <w:sz w:val="18"/>
        </w:rPr>
        <w:t xml:space="preserve">          1     2     3     4     5</w:t>
        <w:br/>
      </w:r>
      <w:r>
        <w:rPr>
          <w:rFonts w:ascii="Consolas" w:hAnsi="Consolas"/>
          <w:color w:val="333333"/>
          <w:sz w:val="18"/>
        </w:rPr>
        <w:t xml:space="preserve">        +-----+-----+-----+-----+-----+</w:t>
        <w:br/>
      </w:r>
      <w:r>
        <w:rPr>
          <w:rFonts w:ascii="Consolas" w:hAnsi="Consolas"/>
          <w:color w:val="333333"/>
          <w:sz w:val="18"/>
        </w:rPr>
        <w:t xml:space="preserve">      5 | MED | MED | HIGH| CRIT| CRIT|</w:t>
        <w:br/>
      </w:r>
      <w:r>
        <w:rPr>
          <w:rFonts w:ascii="Consolas" w:hAnsi="Consolas"/>
          <w:color w:val="333333"/>
          <w:sz w:val="18"/>
        </w:rPr>
        <w:t xml:space="preserve">        +-----+-----+-----+-----+-----+</w:t>
        <w:br/>
      </w:r>
      <w:r>
        <w:rPr>
          <w:rFonts w:ascii="Consolas" w:hAnsi="Consolas"/>
          <w:color w:val="333333"/>
          <w:sz w:val="18"/>
        </w:rPr>
        <w:t xml:space="preserve">      4 | LOW | MED | HIGH| HIGH| CRIT|</w:t>
        <w:br/>
      </w:r>
      <w:r>
        <w:rPr>
          <w:rFonts w:ascii="Consolas" w:hAnsi="Consolas"/>
          <w:color w:val="333333"/>
          <w:sz w:val="18"/>
        </w:rPr>
        <w:t>L     3 | LOW | MED | MED | HIGH| HIGH|</w:t>
        <w:br/>
      </w:r>
      <w:r>
        <w:rPr>
          <w:rFonts w:ascii="Consolas" w:hAnsi="Consolas"/>
          <w:color w:val="333333"/>
          <w:sz w:val="18"/>
        </w:rPr>
        <w:t>I       +-----+-----+-----+-----+-----+</w:t>
        <w:br/>
      </w:r>
      <w:r>
        <w:rPr>
          <w:rFonts w:ascii="Consolas" w:hAnsi="Consolas"/>
          <w:color w:val="333333"/>
          <w:sz w:val="18"/>
        </w:rPr>
        <w:t>K     2 | LOW | LOW | MED | MED | HIGH|</w:t>
        <w:br/>
      </w:r>
      <w:r>
        <w:rPr>
          <w:rFonts w:ascii="Consolas" w:hAnsi="Consolas"/>
          <w:color w:val="333333"/>
          <w:sz w:val="18"/>
        </w:rPr>
        <w:t>E       +-----+-----+-----+-----+-----+</w:t>
        <w:br/>
      </w:r>
      <w:r>
        <w:rPr>
          <w:rFonts w:ascii="Consolas" w:hAnsi="Consolas"/>
          <w:color w:val="333333"/>
          <w:sz w:val="18"/>
        </w:rPr>
        <w:t>L     1 | LOW | LOW | LOW | LOW | MED |</w:t>
        <w:br/>
      </w:r>
      <w:r>
        <w:rPr>
          <w:rFonts w:ascii="Consolas" w:hAnsi="Consolas"/>
          <w:color w:val="333333"/>
          <w:sz w:val="18"/>
        </w:rPr>
        <w:t>I       +-----+-----+-----+-----+-----+</w:t>
        <w:br/>
      </w:r>
      <w:r>
        <w:rPr>
          <w:rFonts w:ascii="Consolas" w:hAnsi="Consolas"/>
          <w:color w:val="333333"/>
          <w:sz w:val="18"/>
        </w:rPr>
        <w:t>H</w:t>
        <w:br/>
      </w:r>
      <w:r>
        <w:rPr>
          <w:rFonts w:ascii="Consolas" w:hAnsi="Consolas"/>
          <w:color w:val="333333"/>
          <w:sz w:val="18"/>
        </w:rPr>
        <w:t>O</w:t>
        <w:br/>
      </w:r>
      <w:r>
        <w:rPr>
          <w:rFonts w:ascii="Consolas" w:hAnsi="Consolas"/>
          <w:color w:val="333333"/>
          <w:sz w:val="18"/>
        </w:rPr>
        <w:t>O</w:t>
        <w:br/>
      </w:r>
      <w:r>
        <w:rPr>
          <w:rFonts w:ascii="Consolas" w:hAnsi="Consolas"/>
          <w:color w:val="333333"/>
          <w:sz w:val="18"/>
        </w:rPr>
        <w:t>D</w:t>
        <w:br/>
      </w:r>
    </w:p>
    <w:p>
      <w:r>
        <w:t xml:space="preserve">Cell drill-down: </w:t>
      </w:r>
      <w:r>
        <w:rPr>
          <w:rFonts w:ascii="Consolas" w:hAnsi="Consolas"/>
          <w:color w:val="1A1A2E"/>
          <w:sz w:val="18"/>
        </w:rPr>
        <w:t>GET /api/rm/risks?inherent_likelihood=4&amp;inherent_impact=5</w:t>
      </w:r>
      <w:r>
        <w:t xml:space="preserve"> (filter by specific cell coordinates using the list endpoint's query parameters).</w:t>
      </w:r>
    </w:p>
    <w:p>
      <w:pPr>
        <w:pStyle w:val="Heading3"/>
      </w:pPr>
      <w:r>
        <w:t>9.2 Risk Trends</w:t>
      </w:r>
    </w:p>
    <w:p>
      <w:pPr>
        <w:ind w:left="432"/>
      </w:pPr>
      <w:r>
        <w:rPr>
          <w:rFonts w:ascii="Consolas" w:hAnsi="Consolas"/>
          <w:color w:val="333333"/>
          <w:sz w:val="18"/>
        </w:rPr>
        <w:t>GET /api/rm/trends?period_months=12</w:t>
        <w:br/>
      </w:r>
    </w:p>
    <w:p>
      <w:r>
        <w:t xml:space="preserve">Returns the average risk assessment score per month over the requested period, computed from all assessment records with </w:t>
      </w:r>
      <w:r>
        <w:rPr>
          <w:rFonts w:ascii="Consolas" w:hAnsi="Consolas"/>
          <w:color w:val="1A1A2E"/>
          <w:sz w:val="18"/>
        </w:rPr>
        <w:t>created_at</w:t>
      </w:r>
      <w:r>
        <w:t xml:space="preserve"> within the window.</w:t>
      </w:r>
    </w:p>
    <w:p>
      <w:r/>
      <w:r>
        <w:rPr>
          <w:b/>
        </w:rPr>
        <w:t>Response:</w:t>
      </w:r>
      <w:r/>
    </w:p>
    <w:p>
      <w:pPr>
        <w:ind w:left="432"/>
      </w:pPr>
      <w:r>
        <w:rPr>
          <w:rFonts w:ascii="Consolas" w:hAnsi="Consolas"/>
          <w:color w:val="333333"/>
          <w:sz w:val="18"/>
        </w:rPr>
        <w:t>{</w:t>
        <w:br/>
      </w:r>
      <w:r>
        <w:rPr>
          <w:rFonts w:ascii="Consolas" w:hAnsi="Consolas"/>
          <w:color w:val="333333"/>
          <w:sz w:val="18"/>
        </w:rPr>
        <w:t xml:space="preserve">  "period_months": 12,</w:t>
        <w:br/>
      </w:r>
      <w:r>
        <w:rPr>
          <w:rFonts w:ascii="Consolas" w:hAnsi="Consolas"/>
          <w:color w:val="333333"/>
          <w:sz w:val="18"/>
        </w:rPr>
        <w:t xml:space="preserve">  "trend": [</w:t>
        <w:br/>
      </w:r>
      <w:r>
        <w:rPr>
          <w:rFonts w:ascii="Consolas" w:hAnsi="Consolas"/>
          <w:color w:val="333333"/>
          <w:sz w:val="18"/>
        </w:rPr>
        <w:t xml:space="preserve">    {"month": "2025-09", "avg_score": 11.4, "count": 8},</w:t>
        <w:br/>
      </w:r>
      <w:r>
        <w:rPr>
          <w:rFonts w:ascii="Consolas" w:hAnsi="Consolas"/>
          <w:color w:val="333333"/>
          <w:sz w:val="18"/>
        </w:rPr>
        <w:t xml:space="preserve">    {"month": "2025-10", "avg_score": 10.2, "count": 12},</w:t>
        <w:br/>
      </w:r>
      <w:r>
        <w:rPr>
          <w:rFonts w:ascii="Consolas" w:hAnsi="Consolas"/>
          <w:color w:val="333333"/>
          <w:sz w:val="18"/>
        </w:rPr>
        <w:t xml:space="preserve">    {"month": "2025-11", "avg_score": 9.8, "count": 9},</w:t>
        <w:br/>
      </w:r>
      <w:r>
        <w:rPr>
          <w:rFonts w:ascii="Consolas" w:hAnsi="Consolas"/>
          <w:color w:val="333333"/>
          <w:sz w:val="18"/>
        </w:rPr>
        <w:t xml:space="preserve">    ...</w:t>
        <w:br/>
      </w:r>
      <w:r>
        <w:rPr>
          <w:rFonts w:ascii="Consolas" w:hAnsi="Consolas"/>
          <w:color w:val="333333"/>
          <w:sz w:val="18"/>
        </w:rPr>
        <w:t xml:space="preserve">    {"month": "2026-08", "avg_score": 8.6, "count": 14}</w:t>
        <w:br/>
      </w:r>
      <w:r>
        <w:rPr>
          <w:rFonts w:ascii="Consolas" w:hAnsi="Consolas"/>
          <w:color w:val="333333"/>
          <w:sz w:val="18"/>
        </w:rPr>
        <w:t xml:space="preserve">  ]</w:t>
        <w:br/>
      </w:r>
      <w:r>
        <w:rPr>
          <w:rFonts w:ascii="Consolas" w:hAnsi="Consolas"/>
          <w:color w:val="333333"/>
          <w:sz w:val="18"/>
        </w:rPr>
        <w:t>}</w:t>
        <w:br/>
      </w:r>
    </w:p>
    <w:p>
      <w:r>
        <w:t>A declining average score over time indicates the risk management programme is effectively reducing residual risk. An increasing trend signals deterioration and should trigger a management review.</w:t>
      </w:r>
    </w:p>
    <w:p>
      <w:pPr>
        <w:pStyle w:val="Heading3"/>
      </w:pPr>
      <w:r>
        <w:t>9.3 Top Risks</w:t>
      </w:r>
    </w:p>
    <w:p>
      <w:pPr>
        <w:ind w:left="432"/>
      </w:pPr>
      <w:r>
        <w:rPr>
          <w:rFonts w:ascii="Consolas" w:hAnsi="Consolas"/>
          <w:color w:val="333333"/>
          <w:sz w:val="18"/>
        </w:rPr>
        <w:t>GET /api/rm/top-risks?limit=10</w:t>
        <w:br/>
      </w:r>
    </w:p>
    <w:p>
      <w:r>
        <w:t xml:space="preserve">Returns the top N active risks ordered by </w:t>
      </w:r>
      <w:r>
        <w:rPr>
          <w:rFonts w:ascii="Consolas" w:hAnsi="Consolas"/>
          <w:color w:val="1A1A2E"/>
          <w:sz w:val="18"/>
        </w:rPr>
        <w:t>residual_score</w:t>
      </w:r>
      <w:r>
        <w:t xml:space="preserve"> descending (with null residual scores ranked last). This drives the "top risks" section of board risk reports.</w:t>
      </w:r>
    </w:p>
    <w:p>
      <w:pPr>
        <w:pStyle w:val="Heading3"/>
      </w:pPr>
      <w:r>
        <w:t>9.4 Risk-Control Coverage</w:t>
      </w:r>
    </w:p>
    <w:p>
      <w:pPr>
        <w:ind w:left="432"/>
      </w:pPr>
      <w:r>
        <w:rPr>
          <w:rFonts w:ascii="Consolas" w:hAnsi="Consolas"/>
          <w:color w:val="333333"/>
          <w:sz w:val="18"/>
        </w:rPr>
        <w:t>GET /api/rm/risk-control-coverage</w:t>
        <w:br/>
      </w:r>
    </w:p>
    <w:p>
      <w:r/>
      <w:r>
        <w:rPr>
          <w:b/>
        </w:rPr>
        <w:t>Response:</w:t>
      </w:r>
      <w:r/>
    </w:p>
    <w:p>
      <w:pPr>
        <w:ind w:left="432"/>
      </w:pPr>
      <w:r>
        <w:rPr>
          <w:rFonts w:ascii="Consolas" w:hAnsi="Consolas"/>
          <w:color w:val="333333"/>
          <w:sz w:val="18"/>
        </w:rPr>
        <w:t>{</w:t>
        <w:br/>
      </w:r>
      <w:r>
        <w:rPr>
          <w:rFonts w:ascii="Consolas" w:hAnsi="Consolas"/>
          <w:color w:val="333333"/>
          <w:sz w:val="18"/>
        </w:rPr>
        <w:t xml:space="preserve">  "total_risks": 42,</w:t>
        <w:br/>
      </w:r>
      <w:r>
        <w:rPr>
          <w:rFonts w:ascii="Consolas" w:hAnsi="Consolas"/>
          <w:color w:val="333333"/>
          <w:sz w:val="18"/>
        </w:rPr>
        <w:t xml:space="preserve">  "covered": 35,</w:t>
        <w:br/>
      </w:r>
      <w:r>
        <w:rPr>
          <w:rFonts w:ascii="Consolas" w:hAnsi="Consolas"/>
          <w:color w:val="333333"/>
          <w:sz w:val="18"/>
        </w:rPr>
        <w:t xml:space="preserve">  "uncovered": 7,</w:t>
        <w:br/>
      </w:r>
      <w:r>
        <w:rPr>
          <w:rFonts w:ascii="Consolas" w:hAnsi="Consolas"/>
          <w:color w:val="333333"/>
          <w:sz w:val="18"/>
        </w:rPr>
        <w:t xml:space="preserve">  "coverage_pct": 83.3</w:t>
        <w:br/>
      </w:r>
      <w:r>
        <w:rPr>
          <w:rFonts w:ascii="Consolas" w:hAnsi="Consolas"/>
          <w:color w:val="333333"/>
          <w:sz w:val="18"/>
        </w:rPr>
        <w:t>}</w:t>
        <w:br/>
      </w:r>
    </w:p>
    <w:p>
      <w:r>
        <w:t xml:space="preserve">Risks with an empty </w:t>
      </w:r>
      <w:r>
        <w:rPr>
          <w:rFonts w:ascii="Consolas" w:hAnsi="Consolas"/>
          <w:color w:val="1A1A2E"/>
          <w:sz w:val="18"/>
        </w:rPr>
        <w:t>related_control_ids</w:t>
      </w:r>
      <w:r>
        <w:t xml:space="preserve"> array are considered uncovered. A coverage percentage below 80% should be flagged in the risk committee report. Individual uncovered risks can be retrieved via </w:t>
      </w:r>
      <w:r>
        <w:rPr>
          <w:rFonts w:ascii="Consolas" w:hAnsi="Consolas"/>
          <w:color w:val="1A1A2E"/>
          <w:sz w:val="18"/>
        </w:rPr>
        <w:t>GET /api/rm/risks</w:t>
      </w:r>
      <w:r>
        <w:t xml:space="preserve"> filtered by any risks you identify manually, or by filtering for risks whose </w:t>
      </w:r>
      <w:r>
        <w:rPr>
          <w:rFonts w:ascii="Consolas" w:hAnsi="Consolas"/>
          <w:color w:val="1A1A2E"/>
          <w:sz w:val="18"/>
        </w:rPr>
        <w:t>related_control_ids</w:t>
      </w:r>
      <w:r>
        <w:t xml:space="preserve"> is empty (this can be checked in the response data).</w:t>
      </w:r>
    </w:p>
    <w:p>
      <w:pPr>
        <w:pStyle w:val="Heading3"/>
      </w:pPr>
      <w:r>
        <w:t>9.5 Overdue Reviews Report</w:t>
      </w:r>
    </w:p>
    <w:p>
      <w:pPr>
        <w:ind w:left="432"/>
      </w:pPr>
      <w:r>
        <w:rPr>
          <w:rFonts w:ascii="Consolas" w:hAnsi="Consolas"/>
          <w:color w:val="333333"/>
          <w:sz w:val="18"/>
        </w:rPr>
        <w:t>GET /api/rm/overdue-reviews</w:t>
        <w:br/>
      </w:r>
    </w:p>
    <w:p>
      <w:r>
        <w:t xml:space="preserve">Returns all risks where </w:t>
      </w:r>
      <w:r>
        <w:rPr>
          <w:rFonts w:ascii="Consolas" w:hAnsi="Consolas"/>
          <w:color w:val="1A1A2E"/>
          <w:sz w:val="18"/>
        </w:rPr>
        <w:t>next_review_date</w:t>
      </w:r>
      <w:r>
        <w:t xml:space="preserve"> is in the past. See Section 8.2 for details.</w:t>
      </w:r>
    </w:p>
    <w:p>
      <w:pPr>
        <w:pStyle w:val="Heading3"/>
      </w:pPr>
      <w:r>
        <w:t>9.6 Board/Committee Risk Reports</w:t>
      </w:r>
    </w:p>
    <w:p>
      <w:r>
        <w:t>The following combination of endpoints provides everything needed for a board-level risk report:</w:t>
      </w:r>
    </w:p>
    <w:p>
      <w:pPr>
        <w:pStyle w:val="ListNumber"/>
      </w:pPr>
      <w:r/>
      <w:r>
        <w:rPr>
          <w:rFonts w:ascii="Consolas" w:hAnsi="Consolas"/>
          <w:color w:val="1A1A2E"/>
          <w:sz w:val="18"/>
        </w:rPr>
        <w:t>GET /api/rm/top-risks?limit=15</w:t>
      </w:r>
      <w:r>
        <w:t xml:space="preserve"> — top 15 risks by residual score</w:t>
      </w:r>
    </w:p>
    <w:p>
      <w:pPr>
        <w:pStyle w:val="ListNumber"/>
      </w:pPr>
      <w:r/>
      <w:r>
        <w:rPr>
          <w:rFonts w:ascii="Consolas" w:hAnsi="Consolas"/>
          <w:color w:val="1A1A2E"/>
          <w:sz w:val="18"/>
        </w:rPr>
        <w:t>GET /api/rm/heatmap</w:t>
      </w:r>
      <w:r>
        <w:t xml:space="preserve"> — portfolio heatmap</w:t>
      </w:r>
    </w:p>
    <w:p>
      <w:pPr>
        <w:pStyle w:val="ListNumber"/>
      </w:pPr>
      <w:r/>
      <w:r>
        <w:rPr>
          <w:rFonts w:ascii="Consolas" w:hAnsi="Consolas"/>
          <w:color w:val="1A1A2E"/>
          <w:sz w:val="18"/>
        </w:rPr>
        <w:t>GET /api/rm/trends?period_months=12</w:t>
      </w:r>
      <w:r>
        <w:t xml:space="preserve"> — 12-month trend</w:t>
      </w:r>
    </w:p>
    <w:p>
      <w:pPr>
        <w:pStyle w:val="ListNumber"/>
      </w:pPr>
      <w:r/>
      <w:r>
        <w:rPr>
          <w:rFonts w:ascii="Consolas" w:hAnsi="Consolas"/>
          <w:color w:val="1A1A2E"/>
          <w:sz w:val="18"/>
        </w:rPr>
        <w:t>GET /api/rm/risk-control-coverage</w:t>
      </w:r>
      <w:r>
        <w:t xml:space="preserve"> — coverage metrics</w:t>
      </w:r>
    </w:p>
    <w:p>
      <w:pPr>
        <w:pStyle w:val="ListNumber"/>
      </w:pPr>
      <w:r/>
      <w:r>
        <w:rPr>
          <w:rFonts w:ascii="Consolas" w:hAnsi="Consolas"/>
          <w:color w:val="1A1A2E"/>
          <w:sz w:val="18"/>
        </w:rPr>
        <w:t>GET /api/rm/overdue-reviews</w:t>
      </w:r>
      <w:r>
        <w:t xml:space="preserve"> — overdue review summary</w:t>
      </w:r>
    </w:p>
    <w:p>
      <w:pPr>
        <w:pStyle w:val="ListNumber"/>
      </w:pPr>
      <w:r/>
      <w:r>
        <w:rPr>
          <w:rFonts w:ascii="Consolas" w:hAnsi="Consolas"/>
          <w:color w:val="1A1A2E"/>
          <w:sz w:val="18"/>
        </w:rPr>
        <w:t>GET /api/rm/kris/dashboard</w:t>
      </w:r>
      <w:r>
        <w:t xml:space="preserve"> — KRI traffic-light summary</w:t>
      </w:r>
    </w:p>
    <w:p>
      <w:pPr>
        <w:pStyle w:val="ListNumber"/>
      </w:pPr>
      <w:r/>
      <w:r>
        <w:rPr>
          <w:rFonts w:ascii="Consolas" w:hAnsi="Consolas"/>
          <w:color w:val="1A1A2E"/>
          <w:sz w:val="18"/>
        </w:rPr>
        <w:t>GET /api/rm/incidents?status=reported&amp;status=investigating</w:t>
      </w:r>
      <w:r>
        <w:t xml:space="preserve"> — open incidents</w:t>
      </w:r>
    </w:p>
    <w:p>
      <w:r>
        <w:t xml:space="preserve">The GovernexPlus AI assistant (XL-C) can narrate these data points into a board-ready risk summary in plain English or Arabic. Call </w:t>
      </w:r>
      <w:r>
        <w:rPr>
          <w:rFonts w:ascii="Consolas" w:hAnsi="Consolas"/>
          <w:color w:val="1A1A2E"/>
          <w:sz w:val="18"/>
        </w:rPr>
        <w:t>POST /api/ai/grc-assist</w:t>
      </w:r>
      <w:r>
        <w:t xml:space="preserve"> with </w:t>
      </w:r>
      <w:r>
        <w:rPr>
          <w:rFonts w:ascii="Consolas" w:hAnsi="Consolas"/>
          <w:color w:val="1A1A2E"/>
          <w:sz w:val="18"/>
        </w:rPr>
        <w:t>{"module": "rm", "action": "board_summary"}</w:t>
      </w:r>
      <w:r>
        <w:t>.</w:t>
      </w:r>
    </w:p>
    <w:p>
      <w:pPr>
        <w:pStyle w:val="Heading3"/>
      </w:pPr>
      <w:r>
        <w:t>9.7 PPTX/PDF Export</w:t>
      </w:r>
    </w:p>
    <w:p>
      <w:r>
        <w:t>Risk reports can be exported via the reporting engine:</w:t>
      </w:r>
    </w:p>
    <w:p>
      <w:pPr>
        <w:ind w:left="432"/>
      </w:pPr>
      <w:r>
        <w:rPr>
          <w:rFonts w:ascii="Consolas" w:hAnsi="Consolas"/>
          <w:color w:val="333333"/>
          <w:sz w:val="18"/>
        </w:rPr>
        <w:t>POST /api/reports/export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"report_type": "risk_summary",</w:t>
        <w:br/>
      </w:r>
      <w:r>
        <w:rPr>
          <w:rFonts w:ascii="Consolas" w:hAnsi="Consolas"/>
          <w:color w:val="333333"/>
          <w:sz w:val="18"/>
        </w:rPr>
        <w:t xml:space="preserve">  "format": "pptx",</w:t>
        <w:br/>
      </w:r>
      <w:r>
        <w:rPr>
          <w:rFonts w:ascii="Consolas" w:hAnsi="Consolas"/>
          <w:color w:val="333333"/>
          <w:sz w:val="18"/>
        </w:rPr>
        <w:t xml:space="preserve">  "fiscal_year": 2026,</w:t>
        <w:br/>
      </w:r>
      <w:r>
        <w:rPr>
          <w:rFonts w:ascii="Consolas" w:hAnsi="Consolas"/>
          <w:color w:val="333333"/>
          <w:sz w:val="18"/>
        </w:rPr>
        <w:t xml:space="preserve">  "include_heatmap": true,</w:t>
        <w:br/>
      </w:r>
      <w:r>
        <w:rPr>
          <w:rFonts w:ascii="Consolas" w:hAnsi="Consolas"/>
          <w:color w:val="333333"/>
          <w:sz w:val="18"/>
        </w:rPr>
        <w:t xml:space="preserve">  "include_top_risks": true,</w:t>
        <w:br/>
      </w:r>
      <w:r>
        <w:rPr>
          <w:rFonts w:ascii="Consolas" w:hAnsi="Consolas"/>
          <w:color w:val="333333"/>
          <w:sz w:val="18"/>
        </w:rPr>
        <w:t xml:space="preserve">  "include_kri_dashboard": true</w:t>
        <w:br/>
      </w:r>
      <w:r>
        <w:rPr>
          <w:rFonts w:ascii="Consolas" w:hAnsi="Consolas"/>
          <w:color w:val="333333"/>
          <w:sz w:val="18"/>
        </w:rPr>
        <w:t>}</w:t>
        <w:br/>
      </w:r>
    </w:p>
    <w:p>
      <w:r>
        <w:t>The export engine generates a formatted PowerPoint or PDF using the same data as the API endpoints. Templates are configurable per tenant.</w:t>
      </w:r>
    </w:p>
    <w:p>
      <w:r>
        <w:rPr>
          <w:color w:val="CCCCCC"/>
        </w:rPr>
        <w:t>____________________________________________________________</w:t>
      </w:r>
    </w:p>
    <w:p>
      <w:pPr>
        <w:pStyle w:val="Heading2"/>
      </w:pPr>
      <w:r>
        <w:t>10. Integration with Other Modules</w:t>
      </w:r>
    </w:p>
    <w:p>
      <w:pPr>
        <w:pStyle w:val="Heading3"/>
      </w:pPr>
      <w:r>
        <w:t>RM → PC (Risk Management to Process Control)</w:t>
      </w:r>
    </w:p>
    <w:p>
      <w:pPr>
        <w:pStyle w:val="ListBullet"/>
      </w:pPr>
      <w:r>
        <w:t xml:space="preserve">Risks are linked to controls via </w:t>
      </w:r>
      <w:r>
        <w:rPr>
          <w:rFonts w:ascii="Consolas" w:hAnsi="Consolas"/>
          <w:color w:val="1A1A2E"/>
          <w:sz w:val="18"/>
        </w:rPr>
        <w:t>related_control_ids</w:t>
      </w:r>
      <w:r>
        <w:t xml:space="preserve"> on the </w:t>
      </w:r>
      <w:r>
        <w:rPr>
          <w:rFonts w:ascii="Consolas" w:hAnsi="Consolas"/>
          <w:color w:val="1A1A2E"/>
          <w:sz w:val="18"/>
        </w:rPr>
        <w:t>EnterpriseRisk</w:t>
      </w:r>
      <w:r>
        <w:t xml:space="preserve"> record</w:t>
      </w:r>
    </w:p>
    <w:p>
      <w:pPr>
        <w:pStyle w:val="ListBullet"/>
      </w:pPr>
      <w:r>
        <w:t>The risk-control matrix shows which controls address which risks</w:t>
      </w:r>
    </w:p>
    <w:p>
      <w:pPr>
        <w:pStyle w:val="ListBullet"/>
      </w:pPr>
      <w:r/>
      <w:r>
        <w:rPr>
          <w:rFonts w:ascii="Consolas" w:hAnsi="Consolas"/>
          <w:color w:val="1A1A2E"/>
          <w:sz w:val="18"/>
        </w:rPr>
        <w:t>POST /api/rm/risks/{risk_id}/recompute-coverage</w:t>
      </w:r>
      <w:r>
        <w:t xml:space="preserve"> (XL-A) reads control health from the PC module to compute the system-indicated residual</w:t>
      </w:r>
    </w:p>
    <w:p>
      <w:pPr>
        <w:pStyle w:val="Heading3"/>
      </w:pPr>
      <w:r>
        <w:t>RM → AM (Risk Management to Audit Management)</w:t>
      </w:r>
    </w:p>
    <w:p>
      <w:pPr>
        <w:pStyle w:val="ListBullet"/>
      </w:pPr>
      <w:r>
        <w:t xml:space="preserve">Risk scores from RM feed the audit universe risk scoring formula: </w:t>
      </w:r>
      <w:r>
        <w:rPr>
          <w:rFonts w:ascii="Consolas" w:hAnsi="Consolas"/>
          <w:color w:val="1A1A2E"/>
          <w:sz w:val="18"/>
        </w:rPr>
        <w:t>composite = RM 40% + PC 35% + AC 25%</w:t>
      </w:r>
      <w:r/>
    </w:p>
    <w:p>
      <w:pPr>
        <w:pStyle w:val="ListBullet"/>
      </w:pPr>
      <w:r>
        <w:t>High-risk entities (those whose composite score is driven by elevated RM scores) are prioritised in the annual audit plan</w:t>
      </w:r>
    </w:p>
    <w:p>
      <w:pPr>
        <w:pStyle w:val="ListBullet"/>
      </w:pPr>
      <w:r>
        <w:t>This feed is the XI-04 risk-based planning integration</w:t>
      </w:r>
    </w:p>
    <w:p>
      <w:pPr>
        <w:pStyle w:val="Heading3"/>
      </w:pPr>
      <w:r>
        <w:t>PC → RM (Process Control to Risk Management — XL-A)</w:t>
      </w:r>
    </w:p>
    <w:p>
      <w:pPr>
        <w:pStyle w:val="ListBullet"/>
      </w:pPr>
      <w:r>
        <w:t xml:space="preserve">When a control fails a test or accumulates deficiencies, the PC module can trigger </w:t>
      </w:r>
      <w:r>
        <w:rPr>
          <w:rFonts w:ascii="Consolas" w:hAnsi="Consolas"/>
          <w:color w:val="1A1A2E"/>
          <w:sz w:val="18"/>
        </w:rPr>
        <w:t>recompute-coverage</w:t>
      </w:r>
      <w:r>
        <w:t xml:space="preserve"> on all risks that reference that control</w:t>
      </w:r>
    </w:p>
    <w:p>
      <w:pPr>
        <w:pStyle w:val="ListBullet"/>
      </w:pPr>
      <w:r>
        <w:t xml:space="preserve">This updates </w:t>
      </w:r>
      <w:r>
        <w:rPr>
          <w:rFonts w:ascii="Consolas" w:hAnsi="Consolas"/>
          <w:color w:val="1A1A2E"/>
          <w:sz w:val="18"/>
        </w:rPr>
        <w:t>control_coverage</w:t>
      </w:r>
      <w:r>
        <w:t xml:space="preserve"> and </w:t>
      </w:r>
      <w:r>
        <w:rPr>
          <w:rFonts w:ascii="Consolas" w:hAnsi="Consolas"/>
          <w:color w:val="1A1A2E"/>
          <w:sz w:val="18"/>
        </w:rPr>
        <w:t>system_indicated_residual</w:t>
      </w:r>
      <w:r>
        <w:t xml:space="preserve"> without touching the assessor's residual score</w:t>
      </w:r>
    </w:p>
    <w:p>
      <w:pPr>
        <w:pStyle w:val="ListBullet"/>
      </w:pPr>
      <w:r>
        <w:t>The appetite check then reflects the updated system-indicated position</w:t>
      </w:r>
    </w:p>
    <w:p>
      <w:pPr>
        <w:pStyle w:val="Heading3"/>
      </w:pPr>
      <w:r>
        <w:t>AM → RM (Audit Management to Risk Management — XI-03)</w:t>
      </w:r>
    </w:p>
    <w:p>
      <w:pPr>
        <w:pStyle w:val="ListBullet"/>
      </w:pPr>
      <w:r>
        <w:t xml:space="preserve">Audit findings are linked to risks via </w:t>
      </w:r>
      <w:r>
        <w:rPr>
          <w:rFonts w:ascii="Consolas" w:hAnsi="Consolas"/>
          <w:color w:val="1A1A2E"/>
          <w:sz w:val="18"/>
        </w:rPr>
        <w:t>POST /api/am/findings/{finding_id}/link-risk</w:t>
      </w:r>
      <w:r/>
    </w:p>
    <w:p>
      <w:pPr>
        <w:pStyle w:val="ListBullet"/>
      </w:pPr>
      <w:r>
        <w:t xml:space="preserve">The linked finding IDs are stored in </w:t>
      </w:r>
      <w:r>
        <w:rPr>
          <w:rFonts w:ascii="Consolas" w:hAnsi="Consolas"/>
          <w:color w:val="1A1A2E"/>
          <w:sz w:val="18"/>
        </w:rPr>
        <w:t>related_finding_ids</w:t>
      </w:r>
      <w:r>
        <w:t xml:space="preserve"> on the risk</w:t>
      </w:r>
    </w:p>
    <w:p>
      <w:pPr>
        <w:pStyle w:val="ListBullet"/>
      </w:pPr>
      <w:r>
        <w:t>A finding linked to a risk signals that the risk has materialised in the audit context and should be reviewed by the risk owner</w:t>
      </w:r>
    </w:p>
    <w:p>
      <w:pPr>
        <w:pStyle w:val="Heading3"/>
      </w:pPr>
      <w:r>
        <w:t>AC → RM (Access Control to Risk Management)</w:t>
      </w:r>
    </w:p>
    <w:p>
      <w:pPr>
        <w:pStyle w:val="ListBullet"/>
      </w:pPr>
      <w:r>
        <w:t>SoD violation counts from the Access Control module are one input to the KRI framework</w:t>
      </w:r>
    </w:p>
    <w:p>
      <w:pPr>
        <w:pStyle w:val="ListBullet"/>
      </w:pPr>
      <w:r>
        <w:t xml:space="preserve">For example, a KRI measuring "open SoD violations in FI module" can be fed directly from </w:t>
      </w:r>
      <w:r>
        <w:rPr>
          <w:rFonts w:ascii="Consolas" w:hAnsi="Consolas"/>
          <w:color w:val="1A1A2E"/>
          <w:sz w:val="18"/>
        </w:rPr>
        <w:t>GET /api/ara/violations</w:t>
      </w:r>
      <w:r/>
    </w:p>
    <w:p>
      <w:pPr>
        <w:pStyle w:val="ListBullet"/>
      </w:pPr>
      <w:r>
        <w:t>Elevated violation counts should trigger an ad-hoc assessment of the related IT/cyber or compliance risks</w:t>
      </w:r>
    </w:p>
    <w:p>
      <w:r>
        <w:rPr>
          <w:color w:val="CCCCCC"/>
        </w:rPr>
        <w:t>____________________________________________________________</w:t>
      </w:r>
    </w:p>
    <w:p>
      <w:pPr>
        <w:pStyle w:val="Heading2"/>
      </w:pPr>
      <w:r>
        <w:t>11. Configuration Reference</w:t>
      </w:r>
    </w:p>
    <w:p>
      <w:pPr>
        <w:pStyle w:val="Heading3"/>
      </w:pPr>
      <w:r>
        <w:t>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Variable</w:t>
            </w:r>
          </w:p>
        </w:tc>
        <w:tc>
          <w:tcPr>
            <w:tcW w:type="dxa" w:w="2880"/>
          </w:tcPr>
          <w:p>
            <w:r>
              <w:rPr>
                <w:b/>
              </w:rPr>
            </w:r>
            <w:r>
              <w:rPr>
                <w:b/>
              </w:rPr>
              <w:t>Default</w:t>
            </w:r>
          </w:p>
        </w:tc>
        <w:tc>
          <w:tcPr>
            <w:tcW w:type="dxa" w:w="2880"/>
          </w:tcPr>
          <w:p>
            <w:r>
              <w:rPr>
                <w:b/>
              </w:rPr>
            </w:r>
            <w:r>
              <w:rPr>
                <w:b/>
              </w:rPr>
              <w:t>Description</w:t>
            </w:r>
          </w:p>
        </w:tc>
      </w:tr>
      <w:tr>
        <w:tc>
          <w:tcPr>
            <w:tcW w:type="dxa" w:w="2880"/>
          </w:tcPr>
          <w:p>
            <w:r/>
            <w:r/>
            <w:r>
              <w:rPr>
                <w:rFonts w:ascii="Consolas" w:hAnsi="Consolas"/>
                <w:color w:val="1A1A2E"/>
                <w:sz w:val="18"/>
              </w:rPr>
              <w:t>RM_DEFAULT_REVIEW_FREQUENCY</w:t>
            </w:r>
            <w:r/>
          </w:p>
        </w:tc>
        <w:tc>
          <w:tcPr>
            <w:tcW w:type="dxa" w:w="2880"/>
          </w:tcPr>
          <w:p>
            <w:r/>
            <w:r/>
            <w:r>
              <w:rPr>
                <w:rFonts w:ascii="Consolas" w:hAnsi="Consolas"/>
                <w:color w:val="1A1A2E"/>
                <w:sz w:val="18"/>
              </w:rPr>
              <w:t>quarterly</w:t>
            </w:r>
            <w:r/>
          </w:p>
        </w:tc>
        <w:tc>
          <w:tcPr>
            <w:tcW w:type="dxa" w:w="2880"/>
          </w:tcPr>
          <w:p>
            <w:r/>
            <w:r>
              <w:t>Default review frequency for new risks</w:t>
            </w:r>
          </w:p>
        </w:tc>
      </w:tr>
      <w:tr>
        <w:tc>
          <w:tcPr>
            <w:tcW w:type="dxa" w:w="2880"/>
          </w:tcPr>
          <w:p>
            <w:r/>
            <w:r/>
            <w:r>
              <w:rPr>
                <w:rFonts w:ascii="Consolas" w:hAnsi="Consolas"/>
                <w:color w:val="1A1A2E"/>
                <w:sz w:val="18"/>
              </w:rPr>
              <w:t>RM_HEATMAP_CRITICAL_THRESHOLD</w:t>
            </w:r>
            <w:r/>
          </w:p>
        </w:tc>
        <w:tc>
          <w:tcPr>
            <w:tcW w:type="dxa" w:w="2880"/>
          </w:tcPr>
          <w:p>
            <w:r/>
            <w:r/>
            <w:r>
              <w:rPr>
                <w:rFonts w:ascii="Consolas" w:hAnsi="Consolas"/>
                <w:color w:val="1A1A2E"/>
                <w:sz w:val="18"/>
              </w:rPr>
              <w:t>20</w:t>
            </w:r>
            <w:r/>
          </w:p>
        </w:tc>
        <w:tc>
          <w:tcPr>
            <w:tcW w:type="dxa" w:w="2880"/>
          </w:tcPr>
          <w:p>
            <w:r/>
            <w:r>
              <w:t>Score above which a cell is classified as critical</w:t>
            </w:r>
          </w:p>
        </w:tc>
      </w:tr>
      <w:tr>
        <w:tc>
          <w:tcPr>
            <w:tcW w:type="dxa" w:w="2880"/>
          </w:tcPr>
          <w:p>
            <w:r/>
            <w:r/>
            <w:r>
              <w:rPr>
                <w:rFonts w:ascii="Consolas" w:hAnsi="Consolas"/>
                <w:color w:val="1A1A2E"/>
                <w:sz w:val="18"/>
              </w:rPr>
              <w:t>RM_HEATMAP_HIGH_THRESHOLD</w:t>
            </w:r>
            <w:r/>
          </w:p>
        </w:tc>
        <w:tc>
          <w:tcPr>
            <w:tcW w:type="dxa" w:w="2880"/>
          </w:tcPr>
          <w:p>
            <w:r/>
            <w:r/>
            <w:r>
              <w:rPr>
                <w:rFonts w:ascii="Consolas" w:hAnsi="Consolas"/>
                <w:color w:val="1A1A2E"/>
                <w:sz w:val="18"/>
              </w:rPr>
              <w:t>12</w:t>
            </w:r>
            <w:r/>
          </w:p>
        </w:tc>
        <w:tc>
          <w:tcPr>
            <w:tcW w:type="dxa" w:w="2880"/>
          </w:tcPr>
          <w:p>
            <w:r/>
            <w:r>
              <w:t>Score above which a cell is classified as high</w:t>
            </w:r>
          </w:p>
        </w:tc>
      </w:tr>
      <w:tr>
        <w:tc>
          <w:tcPr>
            <w:tcW w:type="dxa" w:w="2880"/>
          </w:tcPr>
          <w:p>
            <w:r/>
            <w:r/>
            <w:r>
              <w:rPr>
                <w:rFonts w:ascii="Consolas" w:hAnsi="Consolas"/>
                <w:color w:val="1A1A2E"/>
                <w:sz w:val="18"/>
              </w:rPr>
              <w:t>RM_HEATMAP_MEDIUM_THRESHOLD</w:t>
            </w:r>
            <w:r/>
          </w:p>
        </w:tc>
        <w:tc>
          <w:tcPr>
            <w:tcW w:type="dxa" w:w="2880"/>
          </w:tcPr>
          <w:p>
            <w:r/>
            <w:r/>
            <w:r>
              <w:rPr>
                <w:rFonts w:ascii="Consolas" w:hAnsi="Consolas"/>
                <w:color w:val="1A1A2E"/>
                <w:sz w:val="18"/>
              </w:rPr>
              <w:t>6</w:t>
            </w:r>
            <w:r/>
          </w:p>
        </w:tc>
        <w:tc>
          <w:tcPr>
            <w:tcW w:type="dxa" w:w="2880"/>
          </w:tcPr>
          <w:p>
            <w:r/>
            <w:r>
              <w:t>Score above which a cell is classified as medium</w:t>
            </w:r>
          </w:p>
        </w:tc>
      </w:tr>
      <w:tr>
        <w:tc>
          <w:tcPr>
            <w:tcW w:type="dxa" w:w="2880"/>
          </w:tcPr>
          <w:p>
            <w:r/>
            <w:r/>
            <w:r>
              <w:rPr>
                <w:rFonts w:ascii="Consolas" w:hAnsi="Consolas"/>
                <w:color w:val="1A1A2E"/>
                <w:sz w:val="18"/>
              </w:rPr>
              <w:t>RM_OVERDUE_ESCALATION_DAYS_1</w:t>
            </w:r>
            <w:r/>
          </w:p>
        </w:tc>
        <w:tc>
          <w:tcPr>
            <w:tcW w:type="dxa" w:w="2880"/>
          </w:tcPr>
          <w:p>
            <w:r/>
            <w:r/>
            <w:r>
              <w:rPr>
                <w:rFonts w:ascii="Consolas" w:hAnsi="Consolas"/>
                <w:color w:val="1A1A2E"/>
                <w:sz w:val="18"/>
              </w:rPr>
              <w:t>7</w:t>
            </w:r>
            <w:r/>
          </w:p>
        </w:tc>
        <w:tc>
          <w:tcPr>
            <w:tcW w:type="dxa" w:w="2880"/>
          </w:tcPr>
          <w:p>
            <w:r/>
            <w:r>
              <w:t>Days overdue before first escalation</w:t>
            </w:r>
          </w:p>
        </w:tc>
      </w:tr>
      <w:tr>
        <w:tc>
          <w:tcPr>
            <w:tcW w:type="dxa" w:w="2880"/>
          </w:tcPr>
          <w:p>
            <w:r/>
            <w:r/>
            <w:r>
              <w:rPr>
                <w:rFonts w:ascii="Consolas" w:hAnsi="Consolas"/>
                <w:color w:val="1A1A2E"/>
                <w:sz w:val="18"/>
              </w:rPr>
              <w:t>RM_OVERDUE_ESCALATION_DAYS_2</w:t>
            </w:r>
            <w:r/>
          </w:p>
        </w:tc>
        <w:tc>
          <w:tcPr>
            <w:tcW w:type="dxa" w:w="2880"/>
          </w:tcPr>
          <w:p>
            <w:r/>
            <w:r/>
            <w:r>
              <w:rPr>
                <w:rFonts w:ascii="Consolas" w:hAnsi="Consolas"/>
                <w:color w:val="1A1A2E"/>
                <w:sz w:val="18"/>
              </w:rPr>
              <w:t>14</w:t>
            </w:r>
            <w:r/>
          </w:p>
        </w:tc>
        <w:tc>
          <w:tcPr>
            <w:tcW w:type="dxa" w:w="2880"/>
          </w:tcPr>
          <w:p>
            <w:r/>
            <w:r>
              <w:t>Days overdue before manager notification</w:t>
            </w:r>
          </w:p>
        </w:tc>
      </w:tr>
      <w:tr>
        <w:tc>
          <w:tcPr>
            <w:tcW w:type="dxa" w:w="2880"/>
          </w:tcPr>
          <w:p>
            <w:r/>
            <w:r/>
            <w:r>
              <w:rPr>
                <w:rFonts w:ascii="Consolas" w:hAnsi="Consolas"/>
                <w:color w:val="1A1A2E"/>
                <w:sz w:val="18"/>
              </w:rPr>
              <w:t>RM_OVERDUE_ESCALATION_DAYS_3</w:t>
            </w:r>
            <w:r/>
          </w:p>
        </w:tc>
        <w:tc>
          <w:tcPr>
            <w:tcW w:type="dxa" w:w="2880"/>
          </w:tcPr>
          <w:p>
            <w:r/>
            <w:r/>
            <w:r>
              <w:rPr>
                <w:rFonts w:ascii="Consolas" w:hAnsi="Consolas"/>
                <w:color w:val="1A1A2E"/>
                <w:sz w:val="18"/>
              </w:rPr>
              <w:t>30</w:t>
            </w:r>
            <w:r/>
          </w:p>
        </w:tc>
        <w:tc>
          <w:tcPr>
            <w:tcW w:type="dxa" w:w="2880"/>
          </w:tcPr>
          <w:p>
            <w:r/>
            <w:r>
              <w:t>Days overdue before CRO notification</w:t>
            </w:r>
          </w:p>
        </w:tc>
      </w:tr>
    </w:tbl>
    <w:p/>
    <w:p>
      <w:pPr>
        <w:pStyle w:val="Heading3"/>
      </w:pPr>
      <w:r>
        <w:t>Complete RM API Endpoint Table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/api/rm/risks</w:t>
            </w:r>
            <w:r/>
          </w:p>
        </w:tc>
        <w:tc>
          <w:tcPr>
            <w:tcW w:type="dxa" w:w="2880"/>
          </w:tcPr>
          <w:p>
            <w:r/>
            <w:r>
              <w:t>Create risk</w:t>
            </w:r>
          </w:p>
        </w:tc>
      </w:tr>
      <w:tr>
        <w:tc>
          <w:tcPr>
            <w:tcW w:type="dxa" w:w="2880"/>
          </w:tcPr>
          <w:p>
            <w:r/>
            <w:r>
              <w:t>GET</w:t>
            </w:r>
          </w:p>
        </w:tc>
        <w:tc>
          <w:tcPr>
            <w:tcW w:type="dxa" w:w="2880"/>
          </w:tcPr>
          <w:p>
            <w:r/>
            <w:r/>
            <w:r>
              <w:rPr>
                <w:rFonts w:ascii="Consolas" w:hAnsi="Consolas"/>
                <w:color w:val="1A1A2E"/>
                <w:sz w:val="18"/>
              </w:rPr>
              <w:t>/api/rm/risks</w:t>
            </w:r>
            <w:r/>
          </w:p>
        </w:tc>
        <w:tc>
          <w:tcPr>
            <w:tcW w:type="dxa" w:w="2880"/>
          </w:tcPr>
          <w:p>
            <w:r/>
            <w:r>
              <w:t>List risks</w:t>
            </w:r>
          </w:p>
        </w:tc>
      </w:tr>
      <w:tr>
        <w:tc>
          <w:tcPr>
            <w:tcW w:type="dxa" w:w="2880"/>
          </w:tcPr>
          <w:p>
            <w:r/>
            <w:r>
              <w:t>GET</w:t>
            </w:r>
          </w:p>
        </w:tc>
        <w:tc>
          <w:tcPr>
            <w:tcW w:type="dxa" w:w="2880"/>
          </w:tcPr>
          <w:p>
            <w:r/>
            <w:r/>
            <w:r>
              <w:rPr>
                <w:rFonts w:ascii="Consolas" w:hAnsi="Consolas"/>
                <w:color w:val="1A1A2E"/>
                <w:sz w:val="18"/>
              </w:rPr>
              <w:t>/api/rm/risks/{risk_id}</w:t>
            </w:r>
            <w:r/>
          </w:p>
        </w:tc>
        <w:tc>
          <w:tcPr>
            <w:tcW w:type="dxa" w:w="2880"/>
          </w:tcPr>
          <w:p>
            <w:r/>
            <w:r>
              <w:t>Get risk</w:t>
            </w:r>
          </w:p>
        </w:tc>
      </w:tr>
      <w:tr>
        <w:tc>
          <w:tcPr>
            <w:tcW w:type="dxa" w:w="2880"/>
          </w:tcPr>
          <w:p>
            <w:r/>
            <w:r>
              <w:t>PUT</w:t>
            </w:r>
          </w:p>
        </w:tc>
        <w:tc>
          <w:tcPr>
            <w:tcW w:type="dxa" w:w="2880"/>
          </w:tcPr>
          <w:p>
            <w:r/>
            <w:r/>
            <w:r>
              <w:rPr>
                <w:rFonts w:ascii="Consolas" w:hAnsi="Consolas"/>
                <w:color w:val="1A1A2E"/>
                <w:sz w:val="18"/>
              </w:rPr>
              <w:t>/api/rm/risks/{risk_id}</w:t>
            </w:r>
            <w:r/>
          </w:p>
        </w:tc>
        <w:tc>
          <w:tcPr>
            <w:tcW w:type="dxa" w:w="2880"/>
          </w:tcPr>
          <w:p>
            <w:r/>
            <w:r>
              <w:t>Update risk</w:t>
            </w:r>
          </w:p>
        </w:tc>
      </w:tr>
      <w:tr>
        <w:tc>
          <w:tcPr>
            <w:tcW w:type="dxa" w:w="2880"/>
          </w:tcPr>
          <w:p>
            <w:r/>
            <w:r>
              <w:t>DELETE</w:t>
            </w:r>
          </w:p>
        </w:tc>
        <w:tc>
          <w:tcPr>
            <w:tcW w:type="dxa" w:w="2880"/>
          </w:tcPr>
          <w:p>
            <w:r/>
            <w:r/>
            <w:r>
              <w:rPr>
                <w:rFonts w:ascii="Consolas" w:hAnsi="Consolas"/>
                <w:color w:val="1A1A2E"/>
                <w:sz w:val="18"/>
              </w:rPr>
              <w:t>/api/rm/risks/{risk_id}</w:t>
            </w:r>
            <w:r/>
          </w:p>
        </w:tc>
        <w:tc>
          <w:tcPr>
            <w:tcW w:type="dxa" w:w="2880"/>
          </w:tcPr>
          <w:p>
            <w:r/>
            <w:r>
              <w:t>Soft-delete risk</w:t>
            </w:r>
          </w:p>
        </w:tc>
      </w:tr>
      <w:tr>
        <w:tc>
          <w:tcPr>
            <w:tcW w:type="dxa" w:w="2880"/>
          </w:tcPr>
          <w:p>
            <w:r/>
            <w:r>
              <w:t>POST</w:t>
            </w:r>
          </w:p>
        </w:tc>
        <w:tc>
          <w:tcPr>
            <w:tcW w:type="dxa" w:w="2880"/>
          </w:tcPr>
          <w:p>
            <w:r/>
            <w:r/>
            <w:r>
              <w:rPr>
                <w:rFonts w:ascii="Consolas" w:hAnsi="Consolas"/>
                <w:color w:val="1A1A2E"/>
                <w:sz w:val="18"/>
              </w:rPr>
              <w:t>/api/rm/risks/{risk_id}/recompute-coverage</w:t>
            </w:r>
            <w:r/>
          </w:p>
        </w:tc>
        <w:tc>
          <w:tcPr>
            <w:tcW w:type="dxa" w:w="2880"/>
          </w:tcPr>
          <w:p>
            <w:r/>
            <w:r>
              <w:t>XL-A coverage recompute</w:t>
            </w:r>
          </w:p>
        </w:tc>
      </w:tr>
      <w:tr>
        <w:tc>
          <w:tcPr>
            <w:tcW w:type="dxa" w:w="2880"/>
          </w:tcPr>
          <w:p>
            <w:r/>
            <w:r>
              <w:t>POST</w:t>
            </w:r>
          </w:p>
        </w:tc>
        <w:tc>
          <w:tcPr>
            <w:tcW w:type="dxa" w:w="2880"/>
          </w:tcPr>
          <w:p>
            <w:r/>
            <w:r/>
            <w:r>
              <w:rPr>
                <w:rFonts w:ascii="Consolas" w:hAnsi="Consolas"/>
                <w:color w:val="1A1A2E"/>
                <w:sz w:val="18"/>
              </w:rPr>
              <w:t>/api/rm/risks/{risk_id}/assessments</w:t>
            </w:r>
            <w:r/>
          </w:p>
        </w:tc>
        <w:tc>
          <w:tcPr>
            <w:tcW w:type="dxa" w:w="2880"/>
          </w:tcPr>
          <w:p>
            <w:r/>
            <w:r>
              <w:t>Create assessment</w:t>
            </w:r>
          </w:p>
        </w:tc>
      </w:tr>
      <w:tr>
        <w:tc>
          <w:tcPr>
            <w:tcW w:type="dxa" w:w="2880"/>
          </w:tcPr>
          <w:p>
            <w:r/>
            <w:r>
              <w:t>GET</w:t>
            </w:r>
          </w:p>
        </w:tc>
        <w:tc>
          <w:tcPr>
            <w:tcW w:type="dxa" w:w="2880"/>
          </w:tcPr>
          <w:p>
            <w:r/>
            <w:r/>
            <w:r>
              <w:rPr>
                <w:rFonts w:ascii="Consolas" w:hAnsi="Consolas"/>
                <w:color w:val="1A1A2E"/>
                <w:sz w:val="18"/>
              </w:rPr>
              <w:t>/api/rm/risks/{risk_id}/assessments</w:t>
            </w:r>
            <w:r/>
          </w:p>
        </w:tc>
        <w:tc>
          <w:tcPr>
            <w:tcW w:type="dxa" w:w="2880"/>
          </w:tcPr>
          <w:p>
            <w:r/>
            <w:r>
              <w:t>List assessments</w:t>
            </w:r>
          </w:p>
        </w:tc>
      </w:tr>
      <w:tr>
        <w:tc>
          <w:tcPr>
            <w:tcW w:type="dxa" w:w="2880"/>
          </w:tcPr>
          <w:p>
            <w:r/>
            <w:r>
              <w:t>PUT</w:t>
            </w:r>
          </w:p>
        </w:tc>
        <w:tc>
          <w:tcPr>
            <w:tcW w:type="dxa" w:w="2880"/>
          </w:tcPr>
          <w:p>
            <w:r/>
            <w:r/>
            <w:r>
              <w:rPr>
                <w:rFonts w:ascii="Consolas" w:hAnsi="Consolas"/>
                <w:color w:val="1A1A2E"/>
                <w:sz w:val="18"/>
              </w:rPr>
              <w:t>/api/rm/assessments/{assessment_id}/submit</w:t>
            </w:r>
            <w:r/>
          </w:p>
        </w:tc>
        <w:tc>
          <w:tcPr>
            <w:tcW w:type="dxa" w:w="2880"/>
          </w:tcPr>
          <w:p>
            <w:r/>
            <w:r>
              <w:t>Submit assessment</w:t>
            </w:r>
          </w:p>
        </w:tc>
      </w:tr>
      <w:tr>
        <w:tc>
          <w:tcPr>
            <w:tcW w:type="dxa" w:w="2880"/>
          </w:tcPr>
          <w:p>
            <w:r/>
            <w:r>
              <w:t>PUT</w:t>
            </w:r>
          </w:p>
        </w:tc>
        <w:tc>
          <w:tcPr>
            <w:tcW w:type="dxa" w:w="2880"/>
          </w:tcPr>
          <w:p>
            <w:r/>
            <w:r/>
            <w:r>
              <w:rPr>
                <w:rFonts w:ascii="Consolas" w:hAnsi="Consolas"/>
                <w:color w:val="1A1A2E"/>
                <w:sz w:val="18"/>
              </w:rPr>
              <w:t>/api/rm/assessments/{assessment_id}/review</w:t>
            </w:r>
            <w:r/>
          </w:p>
        </w:tc>
        <w:tc>
          <w:tcPr>
            <w:tcW w:type="dxa" w:w="2880"/>
          </w:tcPr>
          <w:p>
            <w:r/>
            <w:r>
              <w:t>Review assessment</w:t>
            </w:r>
          </w:p>
        </w:tc>
      </w:tr>
      <w:tr>
        <w:tc>
          <w:tcPr>
            <w:tcW w:type="dxa" w:w="2880"/>
          </w:tcPr>
          <w:p>
            <w:r/>
            <w:r>
              <w:t>POST</w:t>
            </w:r>
          </w:p>
        </w:tc>
        <w:tc>
          <w:tcPr>
            <w:tcW w:type="dxa" w:w="2880"/>
          </w:tcPr>
          <w:p>
            <w:r/>
            <w:r/>
            <w:r>
              <w:rPr>
                <w:rFonts w:ascii="Consolas" w:hAnsi="Consolas"/>
                <w:color w:val="1A1A2E"/>
                <w:sz w:val="18"/>
              </w:rPr>
              <w:t>/api/rm/assessment-campaigns</w:t>
            </w:r>
            <w:r/>
          </w:p>
        </w:tc>
        <w:tc>
          <w:tcPr>
            <w:tcW w:type="dxa" w:w="2880"/>
          </w:tcPr>
          <w:p>
            <w:r/>
            <w:r>
              <w:t>Run campaign</w:t>
            </w:r>
          </w:p>
        </w:tc>
      </w:tr>
      <w:tr>
        <w:tc>
          <w:tcPr>
            <w:tcW w:type="dxa" w:w="2880"/>
          </w:tcPr>
          <w:p>
            <w:r/>
            <w:r>
              <w:t>POST</w:t>
            </w:r>
          </w:p>
        </w:tc>
        <w:tc>
          <w:tcPr>
            <w:tcW w:type="dxa" w:w="2880"/>
          </w:tcPr>
          <w:p>
            <w:r/>
            <w:r/>
            <w:r>
              <w:rPr>
                <w:rFonts w:ascii="Consolas" w:hAnsi="Consolas"/>
                <w:color w:val="1A1A2E"/>
                <w:sz w:val="18"/>
              </w:rPr>
              <w:t>/api/rm/appetites</w:t>
            </w:r>
            <w:r/>
          </w:p>
        </w:tc>
        <w:tc>
          <w:tcPr>
            <w:tcW w:type="dxa" w:w="2880"/>
          </w:tcPr>
          <w:p>
            <w:r/>
            <w:r>
              <w:t>Set appetite</w:t>
            </w:r>
          </w:p>
        </w:tc>
      </w:tr>
      <w:tr>
        <w:tc>
          <w:tcPr>
            <w:tcW w:type="dxa" w:w="2880"/>
          </w:tcPr>
          <w:p>
            <w:r/>
            <w:r>
              <w:t>GET</w:t>
            </w:r>
          </w:p>
        </w:tc>
        <w:tc>
          <w:tcPr>
            <w:tcW w:type="dxa" w:w="2880"/>
          </w:tcPr>
          <w:p>
            <w:r/>
            <w:r/>
            <w:r>
              <w:rPr>
                <w:rFonts w:ascii="Consolas" w:hAnsi="Consolas"/>
                <w:color w:val="1A1A2E"/>
                <w:sz w:val="18"/>
              </w:rPr>
              <w:t>/api/rm/appetites</w:t>
            </w:r>
            <w:r/>
          </w:p>
        </w:tc>
        <w:tc>
          <w:tcPr>
            <w:tcW w:type="dxa" w:w="2880"/>
          </w:tcPr>
          <w:p>
            <w:r/>
            <w:r>
              <w:t>List appetites</w:t>
            </w:r>
          </w:p>
        </w:tc>
      </w:tr>
      <w:tr>
        <w:tc>
          <w:tcPr>
            <w:tcW w:type="dxa" w:w="2880"/>
          </w:tcPr>
          <w:p>
            <w:r/>
            <w:r>
              <w:t>GET</w:t>
            </w:r>
          </w:p>
        </w:tc>
        <w:tc>
          <w:tcPr>
            <w:tcW w:type="dxa" w:w="2880"/>
          </w:tcPr>
          <w:p>
            <w:r/>
            <w:r/>
            <w:r>
              <w:rPr>
                <w:rFonts w:ascii="Consolas" w:hAnsi="Consolas"/>
                <w:color w:val="1A1A2E"/>
                <w:sz w:val="18"/>
              </w:rPr>
              <w:t>/api/rm/risks/{risk_id}/appetite-check</w:t>
            </w:r>
            <w:r/>
          </w:p>
        </w:tc>
        <w:tc>
          <w:tcPr>
            <w:tcW w:type="dxa" w:w="2880"/>
          </w:tcPr>
          <w:p>
            <w:r/>
            <w:r>
              <w:t>Check appetite breach</w:t>
            </w:r>
          </w:p>
        </w:tc>
      </w:tr>
      <w:tr>
        <w:tc>
          <w:tcPr>
            <w:tcW w:type="dxa" w:w="2880"/>
          </w:tcPr>
          <w:p>
            <w:r/>
            <w:r>
              <w:t>POST</w:t>
            </w:r>
          </w:p>
        </w:tc>
        <w:tc>
          <w:tcPr>
            <w:tcW w:type="dxa" w:w="2880"/>
          </w:tcPr>
          <w:p>
            <w:r/>
            <w:r/>
            <w:r>
              <w:rPr>
                <w:rFonts w:ascii="Consolas" w:hAnsi="Consolas"/>
                <w:color w:val="1A1A2E"/>
                <w:sz w:val="18"/>
              </w:rPr>
              <w:t>/api/rm/kris</w:t>
            </w:r>
            <w:r/>
          </w:p>
        </w:tc>
        <w:tc>
          <w:tcPr>
            <w:tcW w:type="dxa" w:w="2880"/>
          </w:tcPr>
          <w:p>
            <w:r/>
            <w:r>
              <w:t>Create KRI</w:t>
            </w:r>
          </w:p>
        </w:tc>
      </w:tr>
      <w:tr>
        <w:tc>
          <w:tcPr>
            <w:tcW w:type="dxa" w:w="2880"/>
          </w:tcPr>
          <w:p>
            <w:r/>
            <w:r>
              <w:t>GET</w:t>
            </w:r>
          </w:p>
        </w:tc>
        <w:tc>
          <w:tcPr>
            <w:tcW w:type="dxa" w:w="2880"/>
          </w:tcPr>
          <w:p>
            <w:r/>
            <w:r/>
            <w:r>
              <w:rPr>
                <w:rFonts w:ascii="Consolas" w:hAnsi="Consolas"/>
                <w:color w:val="1A1A2E"/>
                <w:sz w:val="18"/>
              </w:rPr>
              <w:t>/api/rm/kris/dashboard</w:t>
            </w:r>
            <w:r/>
          </w:p>
        </w:tc>
        <w:tc>
          <w:tcPr>
            <w:tcW w:type="dxa" w:w="2880"/>
          </w:tcPr>
          <w:p>
            <w:r/>
            <w:r>
              <w:t>KRI dashboard</w:t>
            </w:r>
          </w:p>
        </w:tc>
      </w:tr>
      <w:tr>
        <w:tc>
          <w:tcPr>
            <w:tcW w:type="dxa" w:w="2880"/>
          </w:tcPr>
          <w:p>
            <w:r/>
            <w:r>
              <w:t>POST</w:t>
            </w:r>
          </w:p>
        </w:tc>
        <w:tc>
          <w:tcPr>
            <w:tcW w:type="dxa" w:w="2880"/>
          </w:tcPr>
          <w:p>
            <w:r/>
            <w:r/>
            <w:r>
              <w:rPr>
                <w:rFonts w:ascii="Consolas" w:hAnsi="Consolas"/>
                <w:color w:val="1A1A2E"/>
                <w:sz w:val="18"/>
              </w:rPr>
              <w:t>/api/rm/kris/{kri_id}/measurements</w:t>
            </w:r>
            <w:r/>
          </w:p>
        </w:tc>
        <w:tc>
          <w:tcPr>
            <w:tcW w:type="dxa" w:w="2880"/>
          </w:tcPr>
          <w:p>
            <w:r/>
            <w:r>
              <w:t>Record measurement</w:t>
            </w:r>
          </w:p>
        </w:tc>
      </w:tr>
      <w:tr>
        <w:tc>
          <w:tcPr>
            <w:tcW w:type="dxa" w:w="2880"/>
          </w:tcPr>
          <w:p>
            <w:r/>
            <w:r>
              <w:t>GET</w:t>
            </w:r>
          </w:p>
        </w:tc>
        <w:tc>
          <w:tcPr>
            <w:tcW w:type="dxa" w:w="2880"/>
          </w:tcPr>
          <w:p>
            <w:r/>
            <w:r/>
            <w:r>
              <w:rPr>
                <w:rFonts w:ascii="Consolas" w:hAnsi="Consolas"/>
                <w:color w:val="1A1A2E"/>
                <w:sz w:val="18"/>
              </w:rPr>
              <w:t>/api/rm/kris/{kri_id}/history</w:t>
            </w:r>
            <w:r/>
          </w:p>
        </w:tc>
        <w:tc>
          <w:tcPr>
            <w:tcW w:type="dxa" w:w="2880"/>
          </w:tcPr>
          <w:p>
            <w:r/>
            <w:r>
              <w:t>KRI history</w:t>
            </w:r>
          </w:p>
        </w:tc>
      </w:tr>
      <w:tr>
        <w:tc>
          <w:tcPr>
            <w:tcW w:type="dxa" w:w="2880"/>
          </w:tcPr>
          <w:p>
            <w:r/>
            <w:r>
              <w:t>POST</w:t>
            </w:r>
          </w:p>
        </w:tc>
        <w:tc>
          <w:tcPr>
            <w:tcW w:type="dxa" w:w="2880"/>
          </w:tcPr>
          <w:p>
            <w:r/>
            <w:r/>
            <w:r>
              <w:rPr>
                <w:rFonts w:ascii="Consolas" w:hAnsi="Consolas"/>
                <w:color w:val="1A1A2E"/>
                <w:sz w:val="18"/>
              </w:rPr>
              <w:t>/api/rm/risks/{risk_id}/responses</w:t>
            </w:r>
            <w:r/>
          </w:p>
        </w:tc>
        <w:tc>
          <w:tcPr>
            <w:tcW w:type="dxa" w:w="2880"/>
          </w:tcPr>
          <w:p>
            <w:r/>
            <w:r>
              <w:t>Create response plan</w:t>
            </w:r>
          </w:p>
        </w:tc>
      </w:tr>
      <w:tr>
        <w:tc>
          <w:tcPr>
            <w:tcW w:type="dxa" w:w="2880"/>
          </w:tcPr>
          <w:p>
            <w:r/>
            <w:r>
              <w:t>GET</w:t>
            </w:r>
          </w:p>
        </w:tc>
        <w:tc>
          <w:tcPr>
            <w:tcW w:type="dxa" w:w="2880"/>
          </w:tcPr>
          <w:p>
            <w:r/>
            <w:r/>
            <w:r>
              <w:rPr>
                <w:rFonts w:ascii="Consolas" w:hAnsi="Consolas"/>
                <w:color w:val="1A1A2E"/>
                <w:sz w:val="18"/>
              </w:rPr>
              <w:t>/api/rm/risks/{risk_id}/responses</w:t>
            </w:r>
            <w:r/>
          </w:p>
        </w:tc>
        <w:tc>
          <w:tcPr>
            <w:tcW w:type="dxa" w:w="2880"/>
          </w:tcPr>
          <w:p>
            <w:r/>
            <w:r>
              <w:t>List responses</w:t>
            </w:r>
          </w:p>
        </w:tc>
      </w:tr>
      <w:tr>
        <w:tc>
          <w:tcPr>
            <w:tcW w:type="dxa" w:w="2880"/>
          </w:tcPr>
          <w:p>
            <w:r/>
            <w:r>
              <w:t>PUT</w:t>
            </w:r>
          </w:p>
        </w:tc>
        <w:tc>
          <w:tcPr>
            <w:tcW w:type="dxa" w:w="2880"/>
          </w:tcPr>
          <w:p>
            <w:r/>
            <w:r/>
            <w:r>
              <w:rPr>
                <w:rFonts w:ascii="Consolas" w:hAnsi="Consolas"/>
                <w:color w:val="1A1A2E"/>
                <w:sz w:val="18"/>
              </w:rPr>
              <w:t>/api/rm/responses/{response_id}/status</w:t>
            </w:r>
            <w:r/>
          </w:p>
        </w:tc>
        <w:tc>
          <w:tcPr>
            <w:tcW w:type="dxa" w:w="2880"/>
          </w:tcPr>
          <w:p>
            <w:r/>
            <w:r>
              <w:t>Update response status</w:t>
            </w:r>
          </w:p>
        </w:tc>
      </w:tr>
      <w:tr>
        <w:tc>
          <w:tcPr>
            <w:tcW w:type="dxa" w:w="2880"/>
          </w:tcPr>
          <w:p>
            <w:r/>
            <w:r>
              <w:t>POST</w:t>
            </w:r>
          </w:p>
        </w:tc>
        <w:tc>
          <w:tcPr>
            <w:tcW w:type="dxa" w:w="2880"/>
          </w:tcPr>
          <w:p>
            <w:r/>
            <w:r/>
            <w:r>
              <w:rPr>
                <w:rFonts w:ascii="Consolas" w:hAnsi="Consolas"/>
                <w:color w:val="1A1A2E"/>
                <w:sz w:val="18"/>
              </w:rPr>
              <w:t>/api/rm/incidents</w:t>
            </w:r>
            <w:r/>
          </w:p>
        </w:tc>
        <w:tc>
          <w:tcPr>
            <w:tcW w:type="dxa" w:w="2880"/>
          </w:tcPr>
          <w:p>
            <w:r/>
            <w:r>
              <w:t>Report incident</w:t>
            </w:r>
          </w:p>
        </w:tc>
      </w:tr>
      <w:tr>
        <w:tc>
          <w:tcPr>
            <w:tcW w:type="dxa" w:w="2880"/>
          </w:tcPr>
          <w:p>
            <w:r/>
            <w:r>
              <w:t>GET</w:t>
            </w:r>
          </w:p>
        </w:tc>
        <w:tc>
          <w:tcPr>
            <w:tcW w:type="dxa" w:w="2880"/>
          </w:tcPr>
          <w:p>
            <w:r/>
            <w:r/>
            <w:r>
              <w:rPr>
                <w:rFonts w:ascii="Consolas" w:hAnsi="Consolas"/>
                <w:color w:val="1A1A2E"/>
                <w:sz w:val="18"/>
              </w:rPr>
              <w:t>/api/rm/incidents</w:t>
            </w:r>
            <w:r/>
          </w:p>
        </w:tc>
        <w:tc>
          <w:tcPr>
            <w:tcW w:type="dxa" w:w="2880"/>
          </w:tcPr>
          <w:p>
            <w:r/>
            <w:r>
              <w:t>List incidents</w:t>
            </w:r>
          </w:p>
        </w:tc>
      </w:tr>
      <w:tr>
        <w:tc>
          <w:tcPr>
            <w:tcW w:type="dxa" w:w="2880"/>
          </w:tcPr>
          <w:p>
            <w:r/>
            <w:r>
              <w:t>PUT</w:t>
            </w:r>
          </w:p>
        </w:tc>
        <w:tc>
          <w:tcPr>
            <w:tcW w:type="dxa" w:w="2880"/>
          </w:tcPr>
          <w:p>
            <w:r/>
            <w:r/>
            <w:r>
              <w:rPr>
                <w:rFonts w:ascii="Consolas" w:hAnsi="Consolas"/>
                <w:color w:val="1A1A2E"/>
                <w:sz w:val="18"/>
              </w:rPr>
              <w:t>/api/rm/incidents/{incident_id}</w:t>
            </w:r>
            <w:r/>
          </w:p>
        </w:tc>
        <w:tc>
          <w:tcPr>
            <w:tcW w:type="dxa" w:w="2880"/>
          </w:tcPr>
          <w:p>
            <w:r/>
            <w:r>
              <w:t>Update incident</w:t>
            </w:r>
          </w:p>
        </w:tc>
      </w:tr>
      <w:tr>
        <w:tc>
          <w:tcPr>
            <w:tcW w:type="dxa" w:w="2880"/>
          </w:tcPr>
          <w:p>
            <w:r/>
            <w:r>
              <w:t>POST</w:t>
            </w:r>
          </w:p>
        </w:tc>
        <w:tc>
          <w:tcPr>
            <w:tcW w:type="dxa" w:w="2880"/>
          </w:tcPr>
          <w:p>
            <w:r/>
            <w:r/>
            <w:r>
              <w:rPr>
                <w:rFonts w:ascii="Consolas" w:hAnsi="Consolas"/>
                <w:color w:val="1A1A2E"/>
                <w:sz w:val="18"/>
              </w:rPr>
              <w:t>/api/rm/incidents/{incident_id}/link-risk</w:t>
            </w:r>
            <w:r/>
          </w:p>
        </w:tc>
        <w:tc>
          <w:tcPr>
            <w:tcW w:type="dxa" w:w="2880"/>
          </w:tcPr>
          <w:p>
            <w:r/>
            <w:r>
              <w:t>Link incident to risk</w:t>
            </w:r>
          </w:p>
        </w:tc>
      </w:tr>
      <w:tr>
        <w:tc>
          <w:tcPr>
            <w:tcW w:type="dxa" w:w="2880"/>
          </w:tcPr>
          <w:p>
            <w:r/>
            <w:r>
              <w:t>GET</w:t>
            </w:r>
          </w:p>
        </w:tc>
        <w:tc>
          <w:tcPr>
            <w:tcW w:type="dxa" w:w="2880"/>
          </w:tcPr>
          <w:p>
            <w:r/>
            <w:r/>
            <w:r>
              <w:rPr>
                <w:rFonts w:ascii="Consolas" w:hAnsi="Consolas"/>
                <w:color w:val="1A1A2E"/>
                <w:sz w:val="18"/>
              </w:rPr>
              <w:t>/api/rm/overdue-reviews</w:t>
            </w:r>
            <w:r/>
          </w:p>
        </w:tc>
        <w:tc>
          <w:tcPr>
            <w:tcW w:type="dxa" w:w="2880"/>
          </w:tcPr>
          <w:p>
            <w:r/>
            <w:r>
              <w:t>Overdue review report</w:t>
            </w:r>
          </w:p>
        </w:tc>
      </w:tr>
      <w:tr>
        <w:tc>
          <w:tcPr>
            <w:tcW w:type="dxa" w:w="2880"/>
          </w:tcPr>
          <w:p>
            <w:r/>
            <w:r>
              <w:t>POST</w:t>
            </w:r>
          </w:p>
        </w:tc>
        <w:tc>
          <w:tcPr>
            <w:tcW w:type="dxa" w:w="2880"/>
          </w:tcPr>
          <w:p>
            <w:r/>
            <w:r/>
            <w:r>
              <w:rPr>
                <w:rFonts w:ascii="Consolas" w:hAnsi="Consolas"/>
                <w:color w:val="1A1A2E"/>
                <w:sz w:val="18"/>
              </w:rPr>
              <w:t>/api/rm/risks/{risk_id}/review-attestation</w:t>
            </w:r>
            <w:r/>
          </w:p>
        </w:tc>
        <w:tc>
          <w:tcPr>
            <w:tcW w:type="dxa" w:w="2880"/>
          </w:tcPr>
          <w:p>
            <w:r/>
            <w:r>
              <w:t>Record attestation</w:t>
            </w:r>
          </w:p>
        </w:tc>
      </w:tr>
      <w:tr>
        <w:tc>
          <w:tcPr>
            <w:tcW w:type="dxa" w:w="2880"/>
          </w:tcPr>
          <w:p>
            <w:r/>
            <w:r>
              <w:t>GET</w:t>
            </w:r>
          </w:p>
        </w:tc>
        <w:tc>
          <w:tcPr>
            <w:tcW w:type="dxa" w:w="2880"/>
          </w:tcPr>
          <w:p>
            <w:r/>
            <w:r/>
            <w:r>
              <w:rPr>
                <w:rFonts w:ascii="Consolas" w:hAnsi="Consolas"/>
                <w:color w:val="1A1A2E"/>
                <w:sz w:val="18"/>
              </w:rPr>
              <w:t>/api/rm/heatmap</w:t>
            </w:r>
            <w:r/>
          </w:p>
        </w:tc>
        <w:tc>
          <w:tcPr>
            <w:tcW w:type="dxa" w:w="2880"/>
          </w:tcPr>
          <w:p>
            <w:r/>
            <w:r>
              <w:t>Risk heatmap</w:t>
            </w:r>
          </w:p>
        </w:tc>
      </w:tr>
      <w:tr>
        <w:tc>
          <w:tcPr>
            <w:tcW w:type="dxa" w:w="2880"/>
          </w:tcPr>
          <w:p>
            <w:r/>
            <w:r>
              <w:t>GET</w:t>
            </w:r>
          </w:p>
        </w:tc>
        <w:tc>
          <w:tcPr>
            <w:tcW w:type="dxa" w:w="2880"/>
          </w:tcPr>
          <w:p>
            <w:r/>
            <w:r/>
            <w:r>
              <w:rPr>
                <w:rFonts w:ascii="Consolas" w:hAnsi="Consolas"/>
                <w:color w:val="1A1A2E"/>
                <w:sz w:val="18"/>
              </w:rPr>
              <w:t>/api/rm/trends</w:t>
            </w:r>
            <w:r/>
          </w:p>
        </w:tc>
        <w:tc>
          <w:tcPr>
            <w:tcW w:type="dxa" w:w="2880"/>
          </w:tcPr>
          <w:p>
            <w:r/>
            <w:r>
              <w:t>Risk score trends</w:t>
            </w:r>
          </w:p>
        </w:tc>
      </w:tr>
      <w:tr>
        <w:tc>
          <w:tcPr>
            <w:tcW w:type="dxa" w:w="2880"/>
          </w:tcPr>
          <w:p>
            <w:r/>
            <w:r>
              <w:t>GET</w:t>
            </w:r>
          </w:p>
        </w:tc>
        <w:tc>
          <w:tcPr>
            <w:tcW w:type="dxa" w:w="2880"/>
          </w:tcPr>
          <w:p>
            <w:r/>
            <w:r/>
            <w:r>
              <w:rPr>
                <w:rFonts w:ascii="Consolas" w:hAnsi="Consolas"/>
                <w:color w:val="1A1A2E"/>
                <w:sz w:val="18"/>
              </w:rPr>
              <w:t>/api/rm/top-risks</w:t>
            </w:r>
            <w:r/>
          </w:p>
        </w:tc>
        <w:tc>
          <w:tcPr>
            <w:tcW w:type="dxa" w:w="2880"/>
          </w:tcPr>
          <w:p>
            <w:r/>
            <w:r>
              <w:t>Top risks by score</w:t>
            </w:r>
          </w:p>
        </w:tc>
      </w:tr>
      <w:tr>
        <w:tc>
          <w:tcPr>
            <w:tcW w:type="dxa" w:w="2880"/>
          </w:tcPr>
          <w:p>
            <w:r/>
            <w:r>
              <w:t>GET</w:t>
            </w:r>
          </w:p>
        </w:tc>
        <w:tc>
          <w:tcPr>
            <w:tcW w:type="dxa" w:w="2880"/>
          </w:tcPr>
          <w:p>
            <w:r/>
            <w:r/>
            <w:r>
              <w:rPr>
                <w:rFonts w:ascii="Consolas" w:hAnsi="Consolas"/>
                <w:color w:val="1A1A2E"/>
                <w:sz w:val="18"/>
              </w:rPr>
              <w:t>/api/rm/risk-control-coverage</w:t>
            </w:r>
            <w:r/>
          </w:p>
        </w:tc>
        <w:tc>
          <w:tcPr>
            <w:tcW w:type="dxa" w:w="2880"/>
          </w:tcPr>
          <w:p>
            <w:r/>
            <w:r>
              <w:t>Control coverage report</w:t>
            </w:r>
          </w:p>
        </w:tc>
      </w:tr>
    </w:tbl>
    <w:p/>
    <w:p>
      <w:pPr>
        <w:pStyle w:val="Heading3"/>
      </w:pPr>
      <w:r>
        <w:t>Risk Scoring Configuration</w:t>
      </w:r>
    </w:p>
    <w:p>
      <w:r>
        <w:t xml:space="preserve">The 5×5 scoring matrix is fixed: </w:t>
      </w:r>
      <w:r>
        <w:rPr>
          <w:rFonts w:ascii="Consolas" w:hAnsi="Consolas"/>
          <w:color w:val="1A1A2E"/>
          <w:sz w:val="18"/>
        </w:rPr>
        <w:t>score = likelihood × impact</w:t>
      </w:r>
      <w:r>
        <w:t>. Zone thresholds are configurable via environment variables. Category values are fixed at the database level as an enum and cannot be changed without a schema migration:</w:t>
      </w:r>
    </w:p>
    <w:p>
      <w:pPr>
        <w:ind w:left="432"/>
      </w:pPr>
      <w:r>
        <w:rPr>
          <w:rFonts w:ascii="Consolas" w:hAnsi="Consolas"/>
          <w:color w:val="333333"/>
          <w:sz w:val="18"/>
        </w:rPr>
        <w:t>strategic | operational | financial | compliance | it_cyber | reputational</w:t>
        <w:br/>
      </w:r>
    </w:p>
    <w:p>
      <w:pPr>
        <w:pStyle w:val="Heading3"/>
      </w:pPr>
      <w:r>
        <w:t>KRI Threshold Configuration</w:t>
      </w:r>
    </w:p>
    <w:p>
      <w:r>
        <w:t xml:space="preserve">KRI thresholds are set per-KRI record and are not global. There is no system-wide KRI threshold configuration. Each KRI's </w:t>
      </w:r>
      <w:r>
        <w:rPr>
          <w:rFonts w:ascii="Consolas" w:hAnsi="Consolas"/>
          <w:color w:val="1A1A2E"/>
          <w:sz w:val="18"/>
        </w:rPr>
        <w:t>threshold_green</w:t>
      </w:r>
      <w:r>
        <w:t xml:space="preserve">, </w:t>
      </w:r>
      <w:r>
        <w:rPr>
          <w:rFonts w:ascii="Consolas" w:hAnsi="Consolas"/>
          <w:color w:val="1A1A2E"/>
          <w:sz w:val="18"/>
        </w:rPr>
        <w:t>threshold_amber</w:t>
      </w:r>
      <w:r>
        <w:t xml:space="preserve">, and </w:t>
      </w:r>
      <w:r>
        <w:rPr>
          <w:rFonts w:ascii="Consolas" w:hAnsi="Consolas"/>
          <w:color w:val="1A1A2E"/>
          <w:sz w:val="18"/>
        </w:rPr>
        <w:t>threshold_red</w:t>
      </w:r>
      <w:r>
        <w:t xml:space="preserve"> must be set individually based on the unit of measure and the specific metric being tracked.</w:t>
      </w:r>
    </w:p>
    <w:p>
      <w:r>
        <w:t>Recommended practice: set thresholds during KRI creation based on:</w:t>
      </w:r>
    </w:p>
    <w:p>
      <w:pPr>
        <w:pStyle w:val="ListNumber"/>
      </w:pPr>
      <w:r>
        <w:t>Historical baseline data (what is "normal" for this metric)</w:t>
      </w:r>
    </w:p>
    <w:p>
      <w:pPr>
        <w:pStyle w:val="ListNumber"/>
      </w:pPr>
      <w:r>
        <w:t>The point at which action is required (amber threshold)</w:t>
      </w:r>
    </w:p>
    <w:p>
      <w:pPr>
        <w:pStyle w:val="ListNumber"/>
      </w:pPr>
      <w:r>
        <w:t>The point at which the risk owner must immediately escalate (red threshold)</w:t>
      </w:r>
    </w:p>
    <w:p>
      <w:r>
        <w:rPr>
          <w:color w:val="CCCCCC"/>
        </w:rPr>
        <w:t>____________________________________________________________</w:t>
      </w:r>
    </w:p>
    <w:p>
      <w:r/>
      <w:r>
        <w:rPr>
          <w:i/>
        </w:rPr>
        <w:t>Last updated: 2026-09-06 | GovernexPlus RM Module | Requirements RM-01 through RM-31, XL-A</w:t>
      </w: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