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GovernexPlus — Configuration &amp; Setup Reference</w:t>
      </w:r>
    </w:p>
    <w:p>
      <w:r/>
      <w:r>
        <w:rPr>
          <w:b/>
        </w:rPr>
        <w:t>Version:</w:t>
      </w:r>
      <w:r>
        <w:t xml:space="preserve"> 2.0</w:t>
      </w:r>
    </w:p>
    <w:p>
      <w:r/>
      <w:r>
        <w:rPr>
          <w:b/>
        </w:rPr>
        <w:t>Applies to:</w:t>
      </w:r>
      <w:r>
        <w:t xml:space="preserve"> GovernexPlus 2.x</w:t>
      </w:r>
    </w:p>
    <w:p>
      <w:r/>
      <w:r>
        <w:rPr>
          <w:b/>
        </w:rPr>
        <w:t>Last updated:</w:t>
      </w:r>
      <w:r>
        <w:t xml:space="preserve"> 2026-09-06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Environment Variables</w:t>
      </w:r>
    </w:p>
    <w:p>
      <w:pPr>
        <w:pStyle w:val="ListNumber"/>
      </w:pPr>
      <w:r>
        <w:t>SoD Rule Configuration</w:t>
      </w:r>
    </w:p>
    <w:p>
      <w:pPr>
        <w:pStyle w:val="ListNumber"/>
      </w:pPr>
      <w:r>
        <w:t>Workflow Configuration</w:t>
      </w:r>
    </w:p>
    <w:p>
      <w:pPr>
        <w:pStyle w:val="ListNumber"/>
      </w:pPr>
      <w:r>
        <w:t>Notification Configuration</w:t>
      </w:r>
    </w:p>
    <w:p>
      <w:pPr>
        <w:pStyle w:val="ListNumber"/>
      </w:pPr>
      <w:r>
        <w:t>Firefighter Configuration</w:t>
      </w:r>
    </w:p>
    <w:p>
      <w:pPr>
        <w:pStyle w:val="ListNumber"/>
      </w:pPr>
      <w:r>
        <w:t>Risk Scoring Configuration</w:t>
      </w:r>
    </w:p>
    <w:p>
      <w:pPr>
        <w:pStyle w:val="ListNumber"/>
      </w:pPr>
      <w:r>
        <w:t>CCM Rule Configuration</w:t>
      </w:r>
    </w:p>
    <w:p>
      <w:pPr>
        <w:pStyle w:val="ListNumber"/>
      </w:pPr>
      <w:r>
        <w:t>Report Configuration</w:t>
      </w:r>
    </w:p>
    <w:p>
      <w:pPr>
        <w:pStyle w:val="ListNumber"/>
      </w:pPr>
      <w:r>
        <w:t>i18n Configuration</w:t>
      </w:r>
    </w:p>
    <w:p>
      <w:pPr>
        <w:pStyle w:val="ListNumber"/>
      </w:pPr>
      <w:r>
        <w:t>RBAC Role Definitions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1. Environment Variables</w:t>
      </w:r>
    </w:p>
    <w:p>
      <w:r>
        <w:t xml:space="preserve">All environment variables are read at startup via </w:t>
      </w:r>
      <w:r>
        <w:rPr>
          <w:rFonts w:ascii="Consolas" w:hAnsi="Consolas"/>
          <w:color w:val="1A1A2E"/>
          <w:sz w:val="18"/>
        </w:rPr>
        <w:t>python-dotenv</w:t>
      </w:r>
      <w:r>
        <w:t xml:space="preserve"> from a </w:t>
      </w:r>
      <w:r>
        <w:rPr>
          <w:rFonts w:ascii="Consolas" w:hAnsi="Consolas"/>
          <w:color w:val="1A1A2E"/>
          <w:sz w:val="18"/>
        </w:rPr>
        <w:t>.env</w:t>
      </w:r>
      <w:r>
        <w:t xml:space="preserve"> file in the project root, or from the host environment. Production deployments should inject these via Docker secrets, Kubernetes ConfigMaps/Secrets, or a secrets manager such as HashiCorp Vault or AWS Secrets Manager. Never commit </w:t>
      </w:r>
      <w:r>
        <w:rPr>
          <w:rFonts w:ascii="Consolas" w:hAnsi="Consolas"/>
          <w:color w:val="1A1A2E"/>
          <w:sz w:val="18"/>
        </w:rPr>
        <w:t>.env</w:t>
      </w:r>
      <w:r>
        <w:t xml:space="preserve"> files containing secrets to source control.</w:t>
      </w:r>
    </w:p>
    <w:p>
      <w:pPr>
        <w:pStyle w:val="Heading3"/>
      </w:pPr>
      <w:r>
        <w:t>1.1 Authentication &amp; Security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JWT_SECRET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Auto-generated (dev warning)</w:t>
            </w:r>
          </w:p>
        </w:tc>
        <w:tc>
          <w:tcPr>
            <w:tcW w:type="dxa" w:w="1728"/>
          </w:tcPr>
          <w:p>
            <w:r/>
            <w:r>
              <w:t xml:space="preserve">HMAC secret used to sign and verify JWT tokens. </w:t>
            </w:r>
            <w:r>
              <w:rPr>
                <w:b/>
              </w:rPr>
              <w:t>Required in production.</w:t>
            </w:r>
            <w:r>
              <w:t xml:space="preserve"> Minimum 32 characters recommended; use 64+ hex characters for production.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a3f8c2...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JWT_ALGORITHM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HS256</w:t>
            </w:r>
            <w:r/>
          </w:p>
        </w:tc>
        <w:tc>
          <w:tcPr>
            <w:tcW w:type="dxa" w:w="1728"/>
          </w:tcPr>
          <w:p>
            <w:r/>
            <w:r>
              <w:t xml:space="preserve">JWT signing algorithm. Supported values: </w:t>
            </w:r>
            <w:r>
              <w:rPr>
                <w:rFonts w:ascii="Consolas" w:hAnsi="Consolas"/>
                <w:color w:val="1A1A2E"/>
                <w:sz w:val="18"/>
              </w:rPr>
              <w:t>HS256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HS384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HS512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RS256</w:t>
            </w:r>
            <w:r>
              <w:t xml:space="preserve"> (RS256 requires RSA key pair).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HS256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JWT_EXPIRY_HOURS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integer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8</w:t>
            </w:r>
            <w:r/>
          </w:p>
        </w:tc>
        <w:tc>
          <w:tcPr>
            <w:tcW w:type="dxa" w:w="1728"/>
          </w:tcPr>
          <w:p>
            <w:r/>
            <w:r>
              <w:t>Number of hours before a JWT access token expires. After expiry the user must re-authenticate.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8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JWT_REFRESH_EXPIRY_DAYS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integer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7</w:t>
            </w:r>
            <w:r/>
          </w:p>
        </w:tc>
        <w:tc>
          <w:tcPr>
            <w:tcW w:type="dxa" w:w="1728"/>
          </w:tcPr>
          <w:p>
            <w:r/>
            <w:r>
              <w:t>Lifetime in days for refresh tokens when refresh-token flow is enabled.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7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HTTPS_ENABLED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boolean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false</w:t>
            </w:r>
            <w:r/>
          </w:p>
        </w:tc>
        <w:tc>
          <w:tcPr>
            <w:tcW w:type="dxa" w:w="1728"/>
          </w:tcPr>
          <w:p>
            <w:r/>
            <w:r>
              <w:t xml:space="preserve">When </w:t>
            </w:r>
            <w:r>
              <w:rPr>
                <w:rFonts w:ascii="Consolas" w:hAnsi="Consolas"/>
                <w:color w:val="1A1A2E"/>
                <w:sz w:val="18"/>
              </w:rPr>
              <w:t>true</w:t>
            </w:r>
            <w:r>
              <w:t xml:space="preserve">, the application sets </w:t>
            </w:r>
            <w:r>
              <w:rPr>
                <w:rFonts w:ascii="Consolas" w:hAnsi="Consolas"/>
                <w:color w:val="1A1A2E"/>
                <w:sz w:val="18"/>
              </w:rPr>
              <w:t>Strict-Transport-Security</w:t>
            </w:r>
            <w:r>
              <w:t xml:space="preserve"> headers and rejects non-HTTPS origins in CORS validation. Set to </w:t>
            </w:r>
            <w:r>
              <w:rPr>
                <w:rFonts w:ascii="Consolas" w:hAnsi="Consolas"/>
                <w:color w:val="1A1A2E"/>
                <w:sz w:val="18"/>
              </w:rPr>
              <w:t>true</w:t>
            </w:r>
            <w:r>
              <w:t xml:space="preserve"> in all production environments.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true</w:t>
            </w:r>
            <w:r/>
          </w:p>
        </w:tc>
      </w:tr>
    </w:tbl>
    <w:p/>
    <w:p>
      <w:pPr>
        <w:pStyle w:val="Heading3"/>
      </w:pPr>
      <w:r>
        <w:t>1.2 Database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DATABASE_URL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sqlite:///./grc_platform.db</w:t>
            </w:r>
            <w:r/>
          </w:p>
        </w:tc>
        <w:tc>
          <w:tcPr>
            <w:tcW w:type="dxa" w:w="1728"/>
          </w:tcPr>
          <w:p>
            <w:r/>
            <w:r>
              <w:t>SQLAlchemy connection URL. Use PostgreSQL for all non-development environments. Supports PostgreSQL (</w:t>
            </w:r>
            <w:r>
              <w:rPr>
                <w:rFonts w:ascii="Consolas" w:hAnsi="Consolas"/>
                <w:color w:val="1A1A2E"/>
                <w:sz w:val="18"/>
              </w:rPr>
              <w:t>postgresql+asyncpg://</w:t>
            </w:r>
            <w:r>
              <w:t>) and SQLite.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postgresql+asyncpg://grc:secret@db:5432/governex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DB_ECHO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boolean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false</w:t>
            </w:r>
            <w:r/>
          </w:p>
        </w:tc>
        <w:tc>
          <w:tcPr>
            <w:tcW w:type="dxa" w:w="1728"/>
          </w:tcPr>
          <w:p>
            <w:r/>
            <w:r>
              <w:t xml:space="preserve">When </w:t>
            </w:r>
            <w:r>
              <w:rPr>
                <w:rFonts w:ascii="Consolas" w:hAnsi="Consolas"/>
                <w:color w:val="1A1A2E"/>
                <w:sz w:val="18"/>
              </w:rPr>
              <w:t>true</w:t>
            </w:r>
            <w:r>
              <w:t>, SQLAlchemy logs every SQL statement to stdout. Useful for query debugging. Never enable in production.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false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AUTO_MIGRATE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boolean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false</w:t>
            </w:r>
            <w:r/>
          </w:p>
        </w:tc>
        <w:tc>
          <w:tcPr>
            <w:tcW w:type="dxa" w:w="1728"/>
          </w:tcPr>
          <w:p>
            <w:r/>
            <w:r>
              <w:t xml:space="preserve">When </w:t>
            </w:r>
            <w:r>
              <w:rPr>
                <w:rFonts w:ascii="Consolas" w:hAnsi="Consolas"/>
                <w:color w:val="1A1A2E"/>
                <w:sz w:val="18"/>
              </w:rPr>
              <w:t>true</w:t>
            </w:r>
            <w:r>
              <w:t xml:space="preserve">, the application runs </w:t>
            </w:r>
            <w:r>
              <w:rPr>
                <w:rFonts w:ascii="Consolas" w:hAnsi="Consolas"/>
                <w:color w:val="1A1A2E"/>
                <w:sz w:val="18"/>
              </w:rPr>
              <w:t>alembic upgrade head</w:t>
            </w:r>
            <w:r>
              <w:t xml:space="preserve"> automatically on startup. Recommended for development; use explicit migration commands in production.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false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DB_POOL_SIZE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integer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10</w:t>
            </w:r>
            <w:r/>
          </w:p>
        </w:tc>
        <w:tc>
          <w:tcPr>
            <w:tcW w:type="dxa" w:w="1728"/>
          </w:tcPr>
          <w:p>
            <w:r/>
            <w:r>
              <w:t>Number of persistent connections maintained in the SQLAlchemy connection pool.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20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DB_MAX_OVERFLOW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integer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20</w:t>
            </w:r>
            <w:r/>
          </w:p>
        </w:tc>
        <w:tc>
          <w:tcPr>
            <w:tcW w:type="dxa" w:w="1728"/>
          </w:tcPr>
          <w:p>
            <w:r/>
            <w:r>
              <w:t xml:space="preserve">Maximum connections allowed above </w:t>
            </w:r>
            <w:r>
              <w:rPr>
                <w:rFonts w:ascii="Consolas" w:hAnsi="Consolas"/>
                <w:color w:val="1A1A2E"/>
                <w:sz w:val="18"/>
              </w:rPr>
              <w:t>DB_POOL_SIZE</w:t>
            </w:r>
            <w:r>
              <w:t xml:space="preserve"> during traffic spikes.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40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DB_POOL_TIMEOUT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integer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30</w:t>
            </w:r>
            <w:r/>
          </w:p>
        </w:tc>
        <w:tc>
          <w:tcPr>
            <w:tcW w:type="dxa" w:w="1728"/>
          </w:tcPr>
          <w:p>
            <w:r/>
            <w:r>
              <w:t>Seconds to wait for a connection from the pool before raising an error.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30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DB_POOL_RECYCLE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integer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3600</w:t>
            </w:r>
            <w:r/>
          </w:p>
        </w:tc>
        <w:tc>
          <w:tcPr>
            <w:tcW w:type="dxa" w:w="1728"/>
          </w:tcPr>
          <w:p>
            <w:r/>
            <w:r>
              <w:t>Seconds after which a connection is recycled. Prevents stale connections on PostgreSQL.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3600</w:t>
            </w:r>
            <w:r/>
          </w:p>
        </w:tc>
      </w:tr>
    </w:tbl>
    <w:p/>
    <w:p>
      <w:pPr>
        <w:pStyle w:val="Heading3"/>
      </w:pPr>
      <w:r>
        <w:t>1.3 CORS &amp; Networking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CORS_ORIGINS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>
              <w:t xml:space="preserve"> (comma-separated)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http://localhost:5173</w:t>
            </w:r>
            <w:r/>
          </w:p>
        </w:tc>
        <w:tc>
          <w:tcPr>
            <w:tcW w:type="dxa" w:w="1728"/>
          </w:tcPr>
          <w:p>
            <w:r/>
            <w:r>
              <w:t>Allowed CORS origins. In production, list only your exact frontend origin(s). Wildcards are not permitted in production mode.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https://grc.acme.com,https://grc-staging.acme.com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API_PREFIX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/api/v1</w:t>
            </w:r>
            <w:r/>
          </w:p>
        </w:tc>
        <w:tc>
          <w:tcPr>
            <w:tcW w:type="dxa" w:w="1728"/>
          </w:tcPr>
          <w:p>
            <w:r/>
            <w:r>
              <w:t>URL prefix for all API routes.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/api/v1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HOST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0.0.0.0</w:t>
            </w:r>
            <w:r/>
          </w:p>
        </w:tc>
        <w:tc>
          <w:tcPr>
            <w:tcW w:type="dxa" w:w="1728"/>
          </w:tcPr>
          <w:p>
            <w:r/>
            <w:r>
              <w:t>Uvicorn bind host.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0.0.0.0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PORT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integer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8000</w:t>
            </w:r>
            <w:r/>
          </w:p>
        </w:tc>
        <w:tc>
          <w:tcPr>
            <w:tcW w:type="dxa" w:w="1728"/>
          </w:tcPr>
          <w:p>
            <w:r/>
            <w:r>
              <w:t>Uvicorn bind port.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8000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WORKERS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integer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4</w:t>
            </w:r>
            <w:r/>
          </w:p>
        </w:tc>
        <w:tc>
          <w:tcPr>
            <w:tcW w:type="dxa" w:w="1728"/>
          </w:tcPr>
          <w:p>
            <w:r/>
            <w:r>
              <w:t xml:space="preserve">Number of Uvicorn/Gunicorn worker processes. Rule of thumb: </w:t>
            </w:r>
            <w:r>
              <w:rPr>
                <w:rFonts w:ascii="Consolas" w:hAnsi="Consolas"/>
                <w:color w:val="1A1A2E"/>
                <w:sz w:val="18"/>
              </w:rPr>
              <w:t>2 × CPU_count + 1</w:t>
            </w:r>
            <w:r>
              <w:t>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9</w:t>
            </w:r>
            <w:r/>
          </w:p>
        </w:tc>
      </w:tr>
    </w:tbl>
    <w:p/>
    <w:p>
      <w:pPr>
        <w:pStyle w:val="Heading3"/>
      </w:pPr>
      <w:r>
        <w:t>1.4 Rate Limiting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RATE_LIMIT_DEFAULT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60/minute</w:t>
            </w:r>
            <w:r/>
          </w:p>
        </w:tc>
        <w:tc>
          <w:tcPr>
            <w:tcW w:type="dxa" w:w="1728"/>
          </w:tcPr>
          <w:p>
            <w:r/>
            <w:r>
              <w:t xml:space="preserve">Default rate limit applied to all API endpoints. Format: </w:t>
            </w:r>
            <w:r>
              <w:rPr>
                <w:rFonts w:ascii="Consolas" w:hAnsi="Consolas"/>
                <w:color w:val="1A1A2E"/>
                <w:sz w:val="18"/>
              </w:rPr>
              <w:t>{count}/{period}</w:t>
            </w:r>
            <w:r>
              <w:t xml:space="preserve"> where period is </w:t>
            </w:r>
            <w:r>
              <w:rPr>
                <w:rFonts w:ascii="Consolas" w:hAnsi="Consolas"/>
                <w:color w:val="1A1A2E"/>
                <w:sz w:val="18"/>
              </w:rPr>
              <w:t>second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minute</w:t>
            </w:r>
            <w:r>
              <w:t xml:space="preserve">, or </w:t>
            </w:r>
            <w:r>
              <w:rPr>
                <w:rFonts w:ascii="Consolas" w:hAnsi="Consolas"/>
                <w:color w:val="1A1A2E"/>
                <w:sz w:val="18"/>
              </w:rPr>
              <w:t>hour</w:t>
            </w:r>
            <w:r>
              <w:t>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60/minute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RATE_LIMIT_AUTH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10/minute</w:t>
            </w:r>
            <w:r/>
          </w:p>
        </w:tc>
        <w:tc>
          <w:tcPr>
            <w:tcW w:type="dxa" w:w="1728"/>
          </w:tcPr>
          <w:p>
            <w:r/>
            <w:r>
              <w:t xml:space="preserve">Rate limit applied specifically to </w:t>
            </w:r>
            <w:r>
              <w:rPr>
                <w:rFonts w:ascii="Consolas" w:hAnsi="Consolas"/>
                <w:color w:val="1A1A2E"/>
                <w:sz w:val="18"/>
              </w:rPr>
              <w:t>/api/v1/auth/*</w:t>
            </w:r>
            <w:r>
              <w:t xml:space="preserve"> endpoints. Prevents brute-force attacks.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10/minute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RATE_LIMIT_STORAGE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memory://</w:t>
            </w:r>
            <w:r/>
          </w:p>
        </w:tc>
        <w:tc>
          <w:tcPr>
            <w:tcW w:type="dxa" w:w="1728"/>
          </w:tcPr>
          <w:p>
            <w:r/>
            <w:r>
              <w:t xml:space="preserve">Storage backend for rate limit counters. Use </w:t>
            </w:r>
            <w:r>
              <w:rPr>
                <w:rFonts w:ascii="Consolas" w:hAnsi="Consolas"/>
                <w:color w:val="1A1A2E"/>
                <w:sz w:val="18"/>
              </w:rPr>
              <w:t>redis://host:6379</w:t>
            </w:r>
            <w:r>
              <w:t xml:space="preserve"> in multi-worker deployments to share state across workers.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redis://redis:6379</w:t>
            </w:r>
            <w:r/>
          </w:p>
        </w:tc>
      </w:tr>
    </w:tbl>
    <w:p/>
    <w:p>
      <w:pPr>
        <w:pStyle w:val="Heading3"/>
      </w:pPr>
      <w:r>
        <w:t>1.5 Multi-Tenancy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DEFAULT_TENANT_ID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default</w:t>
            </w:r>
            <w:r/>
          </w:p>
        </w:tc>
        <w:tc>
          <w:tcPr>
            <w:tcW w:type="dxa" w:w="1728"/>
          </w:tcPr>
          <w:p>
            <w:r/>
            <w:r>
              <w:t>Tenant identifier used when no tenant context is resolved from the JWT claim. Primarily for single-tenant deployments.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acme-corp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TENANT_ISOLATION_MODE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strict</w:t>
            </w:r>
            <w:r/>
          </w:p>
        </w:tc>
        <w:tc>
          <w:tcPr>
            <w:tcW w:type="dxa" w:w="1728"/>
          </w:tcPr>
          <w:p>
            <w:r/>
            <w:r>
              <w:t xml:space="preserve">Controls tenant isolation enforcement. </w:t>
            </w:r>
            <w:r>
              <w:rPr>
                <w:rFonts w:ascii="Consolas" w:hAnsi="Consolas"/>
                <w:color w:val="1A1A2E"/>
                <w:sz w:val="18"/>
              </w:rPr>
              <w:t>strict</w:t>
            </w:r>
            <w:r>
              <w:t xml:space="preserve"> = hard-fail on cross-tenant access; </w:t>
            </w:r>
            <w:r>
              <w:rPr>
                <w:rFonts w:ascii="Consolas" w:hAnsi="Consolas"/>
                <w:color w:val="1A1A2E"/>
                <w:sz w:val="18"/>
              </w:rPr>
              <w:t>audit</w:t>
            </w:r>
            <w:r>
              <w:t xml:space="preserve"> = log but allow (for migration only).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strict</w:t>
            </w:r>
            <w:r/>
          </w:p>
        </w:tc>
      </w:tr>
    </w:tbl>
    <w:p/>
    <w:p>
      <w:pPr>
        <w:pStyle w:val="Heading3"/>
      </w:pPr>
      <w:r>
        <w:t>1.6 AI / LLM Integration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OPENAI_API_KEY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OpenAI API key for GPT-4 / GPT-4o models. Used for AI narrative generation, risk explanations, and GRC Copilot features.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sk-...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OPENAI_MODEL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gpt-4o</w:t>
            </w:r>
            <w:r/>
          </w:p>
        </w:tc>
        <w:tc>
          <w:tcPr>
            <w:tcW w:type="dxa" w:w="1728"/>
          </w:tcPr>
          <w:p>
            <w:r/>
            <w:r>
              <w:t>OpenAI model identifier.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gpt-4o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AZURE_OPENAI_KEY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 xml:space="preserve">Azure OpenAI Service API key. Used when </w:t>
            </w:r>
            <w:r>
              <w:rPr>
                <w:rFonts w:ascii="Consolas" w:hAnsi="Consolas"/>
                <w:color w:val="1A1A2E"/>
                <w:sz w:val="18"/>
              </w:rPr>
              <w:t>LLM_PROVIDER=azure</w:t>
            </w:r>
            <w:r>
              <w:t>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abc123...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AZURE_OPENAI_ENDPOINT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Azure OpenAI endpoint URL including deployment name.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https://myresource.openai.azure.com/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AZURE_OPENAI_DEPLOYMENT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Azure OpenAI deployment name.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gpt-4o-prod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ANTHROPIC_API_KEY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 xml:space="preserve">Anthropic API key for Claude models. Used when </w:t>
            </w:r>
            <w:r>
              <w:rPr>
                <w:rFonts w:ascii="Consolas" w:hAnsi="Consolas"/>
                <w:color w:val="1A1A2E"/>
                <w:sz w:val="18"/>
              </w:rPr>
              <w:t>LLM_PROVIDER=anthropic</w:t>
            </w:r>
            <w:r>
              <w:t>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sk-ant-...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ANTHROPIC_MODEL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claude-sonnet-4-5</w:t>
            </w:r>
            <w:r/>
          </w:p>
        </w:tc>
        <w:tc>
          <w:tcPr>
            <w:tcW w:type="dxa" w:w="1728"/>
          </w:tcPr>
          <w:p>
            <w:r/>
            <w:r>
              <w:t>Anthropic model identifier.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claude-opus-4-5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LLM_PROVIDER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openai</w:t>
            </w:r>
            <w:r/>
          </w:p>
        </w:tc>
        <w:tc>
          <w:tcPr>
            <w:tcW w:type="dxa" w:w="1728"/>
          </w:tcPr>
          <w:p>
            <w:r/>
            <w:r>
              <w:t xml:space="preserve">Active LLM provider. Values: </w:t>
            </w:r>
            <w:r>
              <w:rPr>
                <w:rFonts w:ascii="Consolas" w:hAnsi="Consolas"/>
                <w:color w:val="1A1A2E"/>
                <w:sz w:val="18"/>
              </w:rPr>
              <w:t>openai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azure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anthropic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ollama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none</w:t>
            </w:r>
            <w:r>
              <w:t xml:space="preserve">. When </w:t>
            </w:r>
            <w:r>
              <w:rPr>
                <w:rFonts w:ascii="Consolas" w:hAnsi="Consolas"/>
                <w:color w:val="1A1A2E"/>
                <w:sz w:val="18"/>
              </w:rPr>
              <w:t>none</w:t>
            </w:r>
            <w:r>
              <w:t>, AI features return structured fallback responses.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azure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OLLAMA_BASE_URL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http://localhost:11434</w:t>
            </w:r>
            <w:r/>
          </w:p>
        </w:tc>
        <w:tc>
          <w:tcPr>
            <w:tcW w:type="dxa" w:w="1728"/>
          </w:tcPr>
          <w:p>
            <w:r/>
            <w:r>
              <w:t xml:space="preserve">Ollama API base URL for local LLM inference. Used when </w:t>
            </w:r>
            <w:r>
              <w:rPr>
                <w:rFonts w:ascii="Consolas" w:hAnsi="Consolas"/>
                <w:color w:val="1A1A2E"/>
                <w:sz w:val="18"/>
              </w:rPr>
              <w:t>LLM_PROVIDER=ollama</w:t>
            </w:r>
            <w:r>
              <w:t>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http://ollama:11434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OLLAMA_MODEL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llama3.1</w:t>
            </w:r>
            <w:r/>
          </w:p>
        </w:tc>
        <w:tc>
          <w:tcPr>
            <w:tcW w:type="dxa" w:w="1728"/>
          </w:tcPr>
          <w:p>
            <w:r/>
            <w:r>
              <w:t>Ollama model to use for inference.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mistral</w:t>
            </w:r>
            <w:r/>
          </w:p>
        </w:tc>
      </w:tr>
    </w:tbl>
    <w:p/>
    <w:p>
      <w:pPr>
        <w:pStyle w:val="Heading3"/>
      </w:pPr>
      <w:r>
        <w:t>1.7 SAP Connectivity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SAP_HOST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SAP application server hostname or IP address.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sap-ecc.acme.com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SAP_SYSNR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00</w:t>
            </w:r>
            <w:r/>
          </w:p>
        </w:tc>
        <w:tc>
          <w:tcPr>
            <w:tcW w:type="dxa" w:w="1728"/>
          </w:tcPr>
          <w:p>
            <w:r/>
            <w:r>
              <w:t>SAP system number (two digits).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00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SAP_CLIENT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100</w:t>
            </w:r>
            <w:r/>
          </w:p>
        </w:tc>
        <w:tc>
          <w:tcPr>
            <w:tcW w:type="dxa" w:w="1728"/>
          </w:tcPr>
          <w:p>
            <w:r/>
            <w:r>
              <w:t>SAP logon client number.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100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SAP_USER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SAP RFC service user name. This user must have RFC authorization objects assigned.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GNX_RFC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SAP_PASSWORD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Password for the SAP RFC service user.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secret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SAP_LANGUAGE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EN</w:t>
            </w:r>
            <w:r/>
          </w:p>
        </w:tc>
        <w:tc>
          <w:tcPr>
            <w:tcW w:type="dxa" w:w="1728"/>
          </w:tcPr>
          <w:p>
            <w:r/>
            <w:r>
              <w:t>SAP logon language.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EN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SAP_USE_MOCK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boolean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true</w:t>
            </w:r>
            <w:r/>
          </w:p>
        </w:tc>
        <w:tc>
          <w:tcPr>
            <w:tcW w:type="dxa" w:w="1728"/>
          </w:tcPr>
          <w:p>
            <w:r/>
            <w:r>
              <w:t xml:space="preserve">When </w:t>
            </w:r>
            <w:r>
              <w:rPr>
                <w:rFonts w:ascii="Consolas" w:hAnsi="Consolas"/>
                <w:color w:val="1A1A2E"/>
                <w:sz w:val="18"/>
              </w:rPr>
              <w:t>true</w:t>
            </w:r>
            <w:r>
              <w:t xml:space="preserve">, the mock SAP connector is used instead of live RFC calls. Set to </w:t>
            </w:r>
            <w:r>
              <w:rPr>
                <w:rFonts w:ascii="Consolas" w:hAnsi="Consolas"/>
                <w:color w:val="1A1A2E"/>
                <w:sz w:val="18"/>
              </w:rPr>
              <w:t>false</w:t>
            </w:r>
            <w:r>
              <w:t xml:space="preserve"> in production environments with live SAP.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false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SAP_MSG_HOST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Message server host for load-balanced SAP connections.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sap-msg.acme.com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SAP_MSG_SERVICE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Message server service name or port.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sapmsP01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SAP_LOGON_GROUP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SAP logon group for load balancing.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PUBLIC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SAP_SNC_LIB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Path to the SAP SNC library (SAPCRYPTOLIB) for encrypted RFC connections.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/usr/lib/libsapcrypto.so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SAP_SNC_MY_NAME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SNC identity of the GovernexPlus RFC client.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p:CN=GNX,O=ACME,C=US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SAP_SNC_PARTNER_NAME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SNC identity of the SAP application server.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p:CN=SAP,O=ACME,C=US</w:t>
            </w:r>
            <w:r/>
          </w:p>
        </w:tc>
      </w:tr>
    </w:tbl>
    <w:p/>
    <w:p>
      <w:pPr>
        <w:pStyle w:val="Heading3"/>
      </w:pPr>
      <w:r>
        <w:t>1.8 Azure AD Integration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AZURE_CLIENT_ID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Azure AD application (client) ID for the GovernexPlus app registration.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11111111-...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AZURE_CLIENT_SECRET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Client secret for the Azure AD app registration.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secret~value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AZURE_TENANT_ID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Azure AD directory (tenant) ID.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22222222-...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AZURE_GRAPH_SCOPES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https://graph.microsoft.com/.default</w:t>
            </w:r>
            <w:r/>
          </w:p>
        </w:tc>
        <w:tc>
          <w:tcPr>
            <w:tcW w:type="dxa" w:w="1728"/>
          </w:tcPr>
          <w:p>
            <w:r/>
            <w:r>
              <w:t>Microsoft Graph API scopes requested during token acquisition.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https://graph.microsoft.com/.default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AZURE_SYNC_INTERVAL_HOURS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integer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6</w:t>
            </w:r>
            <w:r/>
          </w:p>
        </w:tc>
        <w:tc>
          <w:tcPr>
            <w:tcW w:type="dxa" w:w="1728"/>
          </w:tcPr>
          <w:p>
            <w:r/>
            <w:r>
              <w:t>How frequently the Azure AD user/group sync job runs.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6</w:t>
            </w:r>
            <w:r/>
          </w:p>
        </w:tc>
      </w:tr>
    </w:tbl>
    <w:p/>
    <w:p>
      <w:pPr>
        <w:pStyle w:val="Heading3"/>
      </w:pPr>
      <w:r>
        <w:t>1.9 Workday Integration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WORKDAY_API_URL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Workday RaaS or REST API base URL.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https://wd2-impl-services1.workday.com/ccx/service/acme/Human_Resources/v42.0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WORKDAY_USERNAME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Workday integration system user (ISU) username.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ISU_GNX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WORKDAY_PASSWORD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Password for the Workday ISU.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secret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WORKDAY_TENANT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Workday tenant name.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acme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WORKDAY_SYNC_INTERVAL_HOURS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integer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12</w:t>
            </w:r>
            <w:r/>
          </w:p>
        </w:tc>
        <w:tc>
          <w:tcPr>
            <w:tcW w:type="dxa" w:w="1728"/>
          </w:tcPr>
          <w:p>
            <w:r/>
            <w:r>
              <w:t>How frequently the Workday JML sync job runs.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12</w:t>
            </w:r>
            <w:r/>
          </w:p>
        </w:tc>
      </w:tr>
    </w:tbl>
    <w:p/>
    <w:p>
      <w:pPr>
        <w:pStyle w:val="Heading3"/>
      </w:pPr>
      <w:r>
        <w:t>1.10 SuccessFactors Integration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SF_API_URL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SAP SuccessFactors OData API base URL.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https://api4.successfactors.com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SF_COMPANY_ID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SuccessFactors company ID.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ACME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SF_USERNAME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 xml:space="preserve">SuccessFactors API username (format: </w:t>
            </w:r>
            <w:r>
              <w:rPr>
                <w:rFonts w:ascii="Consolas" w:hAnsi="Consolas"/>
                <w:color w:val="1A1A2E"/>
                <w:sz w:val="18"/>
              </w:rPr>
              <w:t>user@companyId</w:t>
            </w:r>
            <w:r>
              <w:t>).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sfadmin@ACME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SF_API_KEY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SuccessFactors API key or password for basic auth.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secret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SF_SYNC_INTERVAL_HOURS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integer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12</w:t>
            </w:r>
            <w:r/>
          </w:p>
        </w:tc>
        <w:tc>
          <w:tcPr>
            <w:tcW w:type="dxa" w:w="1728"/>
          </w:tcPr>
          <w:p>
            <w:r/>
            <w:r>
              <w:t>How frequently the SuccessFactors JML sync job runs.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12</w:t>
            </w:r>
            <w:r/>
          </w:p>
        </w:tc>
      </w:tr>
    </w:tbl>
    <w:p/>
    <w:p>
      <w:pPr>
        <w:pStyle w:val="Heading3"/>
      </w:pPr>
      <w:r>
        <w:t>1.11 Logging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LOG_LEVEL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INFO</w:t>
            </w:r>
            <w:r/>
          </w:p>
        </w:tc>
        <w:tc>
          <w:tcPr>
            <w:tcW w:type="dxa" w:w="1728"/>
          </w:tcPr>
          <w:p>
            <w:r/>
            <w:r>
              <w:t xml:space="preserve">Minimum log level. Values: </w:t>
            </w:r>
            <w:r>
              <w:rPr>
                <w:rFonts w:ascii="Consolas" w:hAnsi="Consolas"/>
                <w:color w:val="1A1A2E"/>
                <w:sz w:val="18"/>
              </w:rPr>
              <w:t>DEBUG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INFO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WARNING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ERROR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CRITICAL</w:t>
            </w:r>
            <w:r>
              <w:t>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WARNING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LOG_FORMAT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json</w:t>
            </w:r>
            <w:r/>
          </w:p>
        </w:tc>
        <w:tc>
          <w:tcPr>
            <w:tcW w:type="dxa" w:w="1728"/>
          </w:tcPr>
          <w:p>
            <w:r/>
            <w:r>
              <w:t xml:space="preserve">Log output format. </w:t>
            </w:r>
            <w:r>
              <w:rPr>
                <w:rFonts w:ascii="Consolas" w:hAnsi="Consolas"/>
                <w:color w:val="1A1A2E"/>
                <w:sz w:val="18"/>
              </w:rPr>
              <w:t>json</w:t>
            </w:r>
            <w:r>
              <w:t xml:space="preserve"> produces structured JSON logs suitable for ELK/Loki ingestion. </w:t>
            </w:r>
            <w:r>
              <w:rPr>
                <w:rFonts w:ascii="Consolas" w:hAnsi="Consolas"/>
                <w:color w:val="1A1A2E"/>
                <w:sz w:val="18"/>
              </w:rPr>
              <w:t>text</w:t>
            </w:r>
            <w:r>
              <w:t xml:space="preserve"> produces human-readable output for development.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json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LOG_FILE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Optional file path for log output in addition to stdout.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/var/log/governex/app.log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SENTRY_DSN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Sentry Data Source Name for error tracking and performance monitoring.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https://key@sentry.io/12345</w:t>
            </w:r>
            <w:r/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SENTRY_ENVIRONMENT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production</w:t>
            </w:r>
            <w:r/>
          </w:p>
        </w:tc>
        <w:tc>
          <w:tcPr>
            <w:tcW w:type="dxa" w:w="1728"/>
          </w:tcPr>
          <w:p>
            <w:r/>
            <w:r>
              <w:t>Sentry environment tag.</w:t>
            </w:r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production</w:t>
            </w:r>
            <w:r/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2. SoD Rule Configuration</w:t>
      </w:r>
    </w:p>
    <w:p>
      <w:pPr>
        <w:pStyle w:val="Heading3"/>
      </w:pPr>
      <w:r>
        <w:t>2.1 Built-in Rule Categories</w:t>
      </w:r>
    </w:p>
    <w:p>
      <w:r>
        <w:t xml:space="preserve">GovernexPlus ships with </w:t>
      </w:r>
      <w:r>
        <w:rPr>
          <w:b/>
        </w:rPr>
        <w:t>121 pre-built SoD rules</w:t>
      </w:r>
      <w:r>
        <w:t xml:space="preserve"> in </w:t>
      </w:r>
      <w:r>
        <w:rPr>
          <w:rFonts w:ascii="Consolas" w:hAnsi="Consolas"/>
          <w:color w:val="1A1A2E"/>
          <w:sz w:val="18"/>
        </w:rPr>
        <w:t>core/rules/sod_ruleset.py</w:t>
      </w:r>
      <w:r>
        <w:t>, covering all major SAP functional areas: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Rule Count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Examples</w:t>
            </w:r>
          </w:p>
        </w:tc>
      </w:tr>
      <w:tr>
        <w:tc>
          <w:tcPr>
            <w:tcW w:type="dxa" w:w="2160"/>
          </w:tcPr>
          <w:p>
            <w:r/>
            <w:r>
              <w:t>Financial Accounting</w:t>
            </w:r>
          </w:p>
        </w:tc>
        <w:tc>
          <w:tcPr>
            <w:tcW w:type="dxa" w:w="2160"/>
          </w:tcPr>
          <w:p>
            <w:r/>
            <w:r>
              <w:t>FI</w:t>
            </w:r>
          </w:p>
        </w:tc>
        <w:tc>
          <w:tcPr>
            <w:tcW w:type="dxa" w:w="2160"/>
          </w:tcPr>
          <w:p>
            <w:r/>
            <w:r>
              <w:t>24</w:t>
            </w:r>
          </w:p>
        </w:tc>
        <w:tc>
          <w:tcPr>
            <w:tcW w:type="dxa" w:w="2160"/>
          </w:tcPr>
          <w:p>
            <w:r/>
            <w:r>
              <w:t>Vendor create + AP payment; Journal entry + approval</w:t>
            </w:r>
          </w:p>
        </w:tc>
      </w:tr>
      <w:tr>
        <w:tc>
          <w:tcPr>
            <w:tcW w:type="dxa" w:w="2160"/>
          </w:tcPr>
          <w:p>
            <w:r/>
            <w:r>
              <w:t>Materials Management</w:t>
            </w:r>
          </w:p>
        </w:tc>
        <w:tc>
          <w:tcPr>
            <w:tcW w:type="dxa" w:w="2160"/>
          </w:tcPr>
          <w:p>
            <w:r/>
            <w:r>
              <w:t>MM</w:t>
            </w:r>
          </w:p>
        </w:tc>
        <w:tc>
          <w:tcPr>
            <w:tcW w:type="dxa" w:w="2160"/>
          </w:tcPr>
          <w:p>
            <w:r/>
            <w:r>
              <w:t>18</w:t>
            </w:r>
          </w:p>
        </w:tc>
        <w:tc>
          <w:tcPr>
            <w:tcW w:type="dxa" w:w="2160"/>
          </w:tcPr>
          <w:p>
            <w:r/>
            <w:r>
              <w:t>Purchase order create + goods receipt + invoice verify</w:t>
            </w:r>
          </w:p>
        </w:tc>
      </w:tr>
      <w:tr>
        <w:tc>
          <w:tcPr>
            <w:tcW w:type="dxa" w:w="2160"/>
          </w:tcPr>
          <w:p>
            <w:r/>
            <w:r>
              <w:t>Sales &amp; Distribution</w:t>
            </w:r>
          </w:p>
        </w:tc>
        <w:tc>
          <w:tcPr>
            <w:tcW w:type="dxa" w:w="2160"/>
          </w:tcPr>
          <w:p>
            <w:r/>
            <w:r>
              <w:t>SD</w:t>
            </w:r>
          </w:p>
        </w:tc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Customer create + credit limit + billing</w:t>
            </w:r>
          </w:p>
        </w:tc>
      </w:tr>
      <w:tr>
        <w:tc>
          <w:tcPr>
            <w:tcW w:type="dxa" w:w="2160"/>
          </w:tcPr>
          <w:p>
            <w:r/>
            <w:r>
              <w:t>Human Resources</w:t>
            </w:r>
          </w:p>
        </w:tc>
        <w:tc>
          <w:tcPr>
            <w:tcW w:type="dxa" w:w="2160"/>
          </w:tcPr>
          <w:p>
            <w:r/>
            <w:r>
              <w:t>HR</w:t>
            </w:r>
          </w:p>
        </w:tc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Employee hire + payroll posting + salary change</w:t>
            </w:r>
          </w:p>
        </w:tc>
      </w:tr>
      <w:tr>
        <w:tc>
          <w:tcPr>
            <w:tcW w:type="dxa" w:w="2160"/>
          </w:tcPr>
          <w:p>
            <w:r/>
            <w:r>
              <w:t>Basis Administration</w:t>
            </w:r>
          </w:p>
        </w:tc>
        <w:tc>
          <w:tcPr>
            <w:tcW w:type="dxa" w:w="2160"/>
          </w:tcPr>
          <w:p>
            <w:r/>
            <w:r>
              <w:t>BA</w:t>
            </w:r>
          </w:p>
        </w:tc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User admin + role admin + audit log deletion</w:t>
            </w:r>
          </w:p>
        </w:tc>
      </w:tr>
      <w:tr>
        <w:tc>
          <w:tcPr>
            <w:tcW w:type="dxa" w:w="2160"/>
          </w:tcPr>
          <w:p>
            <w:r/>
            <w:r>
              <w:t>Treasury</w:t>
            </w:r>
          </w:p>
        </w:tc>
        <w:tc>
          <w:tcPr>
            <w:tcW w:type="dxa" w:w="2160"/>
          </w:tcPr>
          <w:p>
            <w:r/>
            <w:r>
              <w:t>TR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Bank account create + payment release</w:t>
            </w:r>
          </w:p>
        </w:tc>
      </w:tr>
      <w:tr>
        <w:tc>
          <w:tcPr>
            <w:tcW w:type="dxa" w:w="2160"/>
          </w:tcPr>
          <w:p>
            <w:r/>
            <w:r>
              <w:t>Asset Accounting</w:t>
            </w:r>
          </w:p>
        </w:tc>
        <w:tc>
          <w:tcPr>
            <w:tcW w:type="dxa" w:w="2160"/>
          </w:tcPr>
          <w:p>
            <w:r/>
            <w:r>
              <w:t>AA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Asset create + retirement + depreciation</w:t>
            </w:r>
          </w:p>
        </w:tc>
      </w:tr>
      <w:tr>
        <w:tc>
          <w:tcPr>
            <w:tcW w:type="dxa" w:w="2160"/>
          </w:tcPr>
          <w:p>
            <w:r/>
            <w:r>
              <w:t>Warehouse Management</w:t>
            </w:r>
          </w:p>
        </w:tc>
        <w:tc>
          <w:tcPr>
            <w:tcW w:type="dxa" w:w="2160"/>
          </w:tcPr>
          <w:p>
            <w:r/>
            <w:r>
              <w:t>WM</w:t>
            </w:r>
          </w:p>
        </w:tc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Goods movement + inventory adjustment</w:t>
            </w:r>
          </w:p>
        </w:tc>
      </w:tr>
      <w:tr>
        <w:tc>
          <w:tcPr>
            <w:tcW w:type="dxa" w:w="2160"/>
          </w:tcPr>
          <w:p>
            <w:r/>
            <w:r>
              <w:t>Quality Management</w:t>
            </w:r>
          </w:p>
        </w:tc>
        <w:tc>
          <w:tcPr>
            <w:tcW w:type="dxa" w:w="2160"/>
          </w:tcPr>
          <w:p>
            <w:r/>
            <w:r>
              <w:t>QM</w:t>
            </w:r>
          </w:p>
        </w:tc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Inspection lot create + usage decision</w:t>
            </w:r>
          </w:p>
        </w:tc>
      </w:tr>
      <w:tr>
        <w:tc>
          <w:tcPr>
            <w:tcW w:type="dxa" w:w="2160"/>
          </w:tcPr>
          <w:p>
            <w:r/>
            <w:r>
              <w:t>Plant Maintenance</w:t>
            </w:r>
          </w:p>
        </w:tc>
        <w:tc>
          <w:tcPr>
            <w:tcW w:type="dxa" w:w="2160"/>
          </w:tcPr>
          <w:p>
            <w:r/>
            <w:r>
              <w:t>PM</w:t>
            </w:r>
          </w:p>
        </w:tc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Work order create + technical completion + settlement</w:t>
            </w:r>
          </w:p>
        </w:tc>
      </w:tr>
      <w:tr>
        <w:tc>
          <w:tcPr>
            <w:tcW w:type="dxa" w:w="2160"/>
          </w:tcPr>
          <w:p>
            <w:r/>
            <w:r>
              <w:t>Project Systems</w:t>
            </w:r>
          </w:p>
        </w:tc>
        <w:tc>
          <w:tcPr>
            <w:tcW w:type="dxa" w:w="2160"/>
          </w:tcPr>
          <w:p>
            <w:r/>
            <w:r>
              <w:t>PS</w:t>
            </w:r>
          </w:p>
        </w:tc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Project create + settlement + cost planning</w:t>
            </w:r>
          </w:p>
        </w:tc>
      </w:tr>
      <w:tr>
        <w:tc>
          <w:tcPr>
            <w:tcW w:type="dxa" w:w="2160"/>
          </w:tcPr>
          <w:p>
            <w:r/>
            <w:r>
              <w:t>Cross-Application</w:t>
            </w:r>
          </w:p>
        </w:tc>
        <w:tc>
          <w:tcPr>
            <w:tcW w:type="dxa" w:w="2160"/>
          </w:tcPr>
          <w:p>
            <w:r/>
            <w:r>
              <w:t>XP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Debug with replace + system administration</w:t>
            </w:r>
          </w:p>
        </w:tc>
      </w:tr>
    </w:tbl>
    <w:p/>
    <w:p>
      <w:r>
        <w:t>Rules are loaded into both the standalone rule engine (</w:t>
      </w:r>
      <w:r>
        <w:rPr>
          <w:rFonts w:ascii="Consolas" w:hAnsi="Consolas"/>
          <w:color w:val="1A1A2E"/>
          <w:sz w:val="18"/>
        </w:rPr>
        <w:t>core/rules/engine.py</w:t>
      </w:r>
      <w:r>
        <w:t>) and the Access Risk Analysis engine (</w:t>
      </w:r>
      <w:r>
        <w:rPr>
          <w:rFonts w:ascii="Consolas" w:hAnsi="Consolas"/>
          <w:color w:val="1A1A2E"/>
          <w:sz w:val="18"/>
        </w:rPr>
        <w:t>core/ara/rules.py</w:t>
      </w:r>
      <w:r>
        <w:t>) via bridge modules at startup.</w:t>
      </w:r>
    </w:p>
    <w:p>
      <w:pPr>
        <w:pStyle w:val="Heading3"/>
      </w:pPr>
      <w:r>
        <w:t>2.2 Custom Rule Schema</w:t>
      </w:r>
    </w:p>
    <w:p>
      <w:r>
        <w:t>Custom SoD rules can be created via the API (</w:t>
      </w:r>
      <w:r>
        <w:rPr>
          <w:rFonts w:ascii="Consolas" w:hAnsi="Consolas"/>
          <w:color w:val="1A1A2E"/>
          <w:sz w:val="18"/>
        </w:rPr>
        <w:t>POST /api/v1/sod-rules/</w:t>
      </w:r>
      <w:r>
        <w:t>) or imported via CSV. A rule defines two conflicting permission sets (functions A and B) and declares the conflict severity.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"rule_id": "CUSTOM-001",</w:t>
        <w:br/>
      </w:r>
      <w:r>
        <w:rPr>
          <w:rFonts w:ascii="Consolas" w:hAnsi="Consolas"/>
          <w:color w:val="333333"/>
          <w:sz w:val="18"/>
        </w:rPr>
        <w:t xml:space="preserve">  "rule_name": "Custom AP Vendor + Payment",</w:t>
        <w:br/>
      </w:r>
      <w:r>
        <w:rPr>
          <w:rFonts w:ascii="Consolas" w:hAnsi="Consolas"/>
          <w:color w:val="333333"/>
          <w:sz w:val="18"/>
        </w:rPr>
        <w:t xml:space="preserve">  "description": "Segregation between vendor master maintenance and payment processing",</w:t>
        <w:br/>
      </w:r>
      <w:r>
        <w:rPr>
          <w:rFonts w:ascii="Consolas" w:hAnsi="Consolas"/>
          <w:color w:val="333333"/>
          <w:sz w:val="18"/>
        </w:rPr>
        <w:t xml:space="preserve">  "category": "FI",</w:t>
        <w:br/>
      </w:r>
      <w:r>
        <w:rPr>
          <w:rFonts w:ascii="Consolas" w:hAnsi="Consolas"/>
          <w:color w:val="333333"/>
          <w:sz w:val="18"/>
        </w:rPr>
        <w:t xml:space="preserve">  "risk_level": "critical",</w:t>
        <w:br/>
      </w:r>
      <w:r>
        <w:rPr>
          <w:rFonts w:ascii="Consolas" w:hAnsi="Consolas"/>
          <w:color w:val="333333"/>
          <w:sz w:val="18"/>
        </w:rPr>
        <w:t xml:space="preserve">  "function_a": {</w:t>
        <w:br/>
      </w:r>
      <w:r>
        <w:rPr>
          <w:rFonts w:ascii="Consolas" w:hAnsi="Consolas"/>
          <w:color w:val="333333"/>
          <w:sz w:val="18"/>
        </w:rPr>
        <w:t xml:space="preserve">    "label": "Vendor Master Maintenance",</w:t>
        <w:br/>
      </w:r>
      <w:r>
        <w:rPr>
          <w:rFonts w:ascii="Consolas" w:hAnsi="Consolas"/>
          <w:color w:val="333333"/>
          <w:sz w:val="18"/>
        </w:rPr>
        <w:t xml:space="preserve">    "tcodes": ["FK01", "FK02", "XK01", "XK02"],</w:t>
        <w:br/>
      </w:r>
      <w:r>
        <w:rPr>
          <w:rFonts w:ascii="Consolas" w:hAnsi="Consolas"/>
          <w:color w:val="333333"/>
          <w:sz w:val="18"/>
        </w:rPr>
        <w:t xml:space="preserve">    "auth_objects": [</w:t>
        <w:br/>
      </w:r>
      <w:r>
        <w:rPr>
          <w:rFonts w:ascii="Consolas" w:hAnsi="Consolas"/>
          <w:color w:val="333333"/>
          <w:sz w:val="18"/>
        </w:rPr>
        <w:t xml:space="preserve">      { "object": "F_LFA1_BUK", "field": "ACTVT", "values": ["01", "02"] }</w:t>
        <w:br/>
      </w:r>
      <w:r>
        <w:rPr>
          <w:rFonts w:ascii="Consolas" w:hAnsi="Consolas"/>
          <w:color w:val="333333"/>
          <w:sz w:val="18"/>
        </w:rPr>
        <w:t xml:space="preserve">    ]</w:t>
        <w:br/>
      </w:r>
      <w:r>
        <w:rPr>
          <w:rFonts w:ascii="Consolas" w:hAnsi="Consolas"/>
          <w:color w:val="333333"/>
          <w:sz w:val="18"/>
        </w:rPr>
        <w:t xml:space="preserve">  },</w:t>
        <w:br/>
      </w:r>
      <w:r>
        <w:rPr>
          <w:rFonts w:ascii="Consolas" w:hAnsi="Consolas"/>
          <w:color w:val="333333"/>
          <w:sz w:val="18"/>
        </w:rPr>
        <w:t xml:space="preserve">  "function_b": {</w:t>
        <w:br/>
      </w:r>
      <w:r>
        <w:rPr>
          <w:rFonts w:ascii="Consolas" w:hAnsi="Consolas"/>
          <w:color w:val="333333"/>
          <w:sz w:val="18"/>
        </w:rPr>
        <w:t xml:space="preserve">    "label": "Outgoing Payment Processing",</w:t>
        <w:br/>
      </w:r>
      <w:r>
        <w:rPr>
          <w:rFonts w:ascii="Consolas" w:hAnsi="Consolas"/>
          <w:color w:val="333333"/>
          <w:sz w:val="18"/>
        </w:rPr>
        <w:t xml:space="preserve">    "tcodes": ["F110", "F-53", "F-58"],</w:t>
        <w:br/>
      </w:r>
      <w:r>
        <w:rPr>
          <w:rFonts w:ascii="Consolas" w:hAnsi="Consolas"/>
          <w:color w:val="333333"/>
          <w:sz w:val="18"/>
        </w:rPr>
        <w:t xml:space="preserve">    "auth_objects": [</w:t>
        <w:br/>
      </w:r>
      <w:r>
        <w:rPr>
          <w:rFonts w:ascii="Consolas" w:hAnsi="Consolas"/>
          <w:color w:val="333333"/>
          <w:sz w:val="18"/>
        </w:rPr>
        <w:t xml:space="preserve">      { "object": "F_BKPF_BUK", "field": "ACTVT", "values": ["01", "02"] }</w:t>
        <w:br/>
      </w:r>
      <w:r>
        <w:rPr>
          <w:rFonts w:ascii="Consolas" w:hAnsi="Consolas"/>
          <w:color w:val="333333"/>
          <w:sz w:val="18"/>
        </w:rPr>
        <w:t xml:space="preserve">    ]</w:t>
        <w:br/>
      </w:r>
      <w:r>
        <w:rPr>
          <w:rFonts w:ascii="Consolas" w:hAnsi="Consolas"/>
          <w:color w:val="333333"/>
          <w:sz w:val="18"/>
        </w:rPr>
        <w:t xml:space="preserve">  },</w:t>
        <w:br/>
      </w:r>
      <w:r>
        <w:rPr>
          <w:rFonts w:ascii="Consolas" w:hAnsi="Consolas"/>
          <w:color w:val="333333"/>
          <w:sz w:val="18"/>
        </w:rPr>
        <w:t xml:space="preserve">  "mitigation_hint": "Require dual-control approval for payments to recently created vendors",</w:t>
        <w:br/>
      </w:r>
      <w:r>
        <w:rPr>
          <w:rFonts w:ascii="Consolas" w:hAnsi="Consolas"/>
          <w:color w:val="333333"/>
          <w:sz w:val="18"/>
        </w:rPr>
        <w:t xml:space="preserve">  "regulatory_references": ["SOX Section 302", "ITGC-AP-01"],</w:t>
        <w:br/>
      </w:r>
      <w:r>
        <w:rPr>
          <w:rFonts w:ascii="Consolas" w:hAnsi="Consolas"/>
          <w:color w:val="333333"/>
          <w:sz w:val="18"/>
        </w:rPr>
        <w:t xml:space="preserve">  "active": true,</w:t>
        <w:br/>
      </w:r>
      <w:r>
        <w:rPr>
          <w:rFonts w:ascii="Consolas" w:hAnsi="Consolas"/>
          <w:color w:val="333333"/>
          <w:sz w:val="18"/>
        </w:rPr>
        <w:t xml:space="preserve">  "tenant_id": "acme-corp"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3"/>
      </w:pPr>
      <w:r>
        <w:t>2.3 Rule Import CSV Format</w:t>
      </w:r>
    </w:p>
    <w:p>
      <w:r>
        <w:t xml:space="preserve">Bulk rule imports are accepted via </w:t>
      </w:r>
      <w:r>
        <w:rPr>
          <w:rFonts w:ascii="Consolas" w:hAnsi="Consolas"/>
          <w:color w:val="1A1A2E"/>
          <w:sz w:val="18"/>
        </w:rPr>
        <w:t>POST /api/v1/sod-rules/import</w:t>
      </w:r>
      <w:r>
        <w:t xml:space="preserve"> with a CSV file attachment. The required columns are: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rule_id,rule_name,category,risk_level,function_a_label,function_a_tcodes,function_b_label,function_b_tcodes,description,active</w:t>
        <w:br/>
      </w:r>
      <w:r>
        <w:rPr>
          <w:rFonts w:ascii="Consolas" w:hAnsi="Consolas"/>
          <w:color w:val="333333"/>
          <w:sz w:val="18"/>
        </w:rPr>
        <w:t>CUSTOM-001,Vendor Create + Payment,FI,critical,Vendor Master,FK01|XK01,Outgoing Payment,F110|F-53,Creates vendors then pays them,true</w:t>
        <w:br/>
      </w:r>
      <w:r>
        <w:rPr>
          <w:rFonts w:ascii="Consolas" w:hAnsi="Consolas"/>
          <w:color w:val="333333"/>
          <w:sz w:val="18"/>
        </w:rPr>
        <w:t>CUSTOM-002,PO Create + Invoice Verify,MM,high,Purchase Order Create,ME21N|ME21,Invoice Verify,MIRO|MIR7,Full P2P cycle in one user,true</w:t>
        <w:br/>
      </w:r>
    </w:p>
    <w:p>
      <w:r>
        <w:t>Field notes:</w:t>
      </w:r>
    </w:p>
    <w:p>
      <w:pPr>
        <w:pStyle w:val="ListBullet"/>
      </w:pPr>
      <w:r/>
      <w:r>
        <w:rPr>
          <w:rFonts w:ascii="Consolas" w:hAnsi="Consolas"/>
          <w:color w:val="1A1A2E"/>
          <w:sz w:val="18"/>
        </w:rPr>
        <w:t>rule_id</w:t>
      </w:r>
      <w:r>
        <w:t>: Must be unique per tenant. Existing rule IDs are never overwritten (idempotent import).</w:t>
      </w:r>
    </w:p>
    <w:p>
      <w:pPr>
        <w:pStyle w:val="ListBullet"/>
      </w:pPr>
      <w:r/>
      <w:r>
        <w:rPr>
          <w:rFonts w:ascii="Consolas" w:hAnsi="Consolas"/>
          <w:color w:val="1A1A2E"/>
          <w:sz w:val="18"/>
        </w:rPr>
        <w:t>risk_level</w:t>
      </w:r>
      <w:r>
        <w:t xml:space="preserve">: One of </w:t>
      </w:r>
      <w:r>
        <w:rPr>
          <w:rFonts w:ascii="Consolas" w:hAnsi="Consolas"/>
          <w:color w:val="1A1A2E"/>
          <w:sz w:val="18"/>
        </w:rPr>
        <w:t>low</w:t>
      </w:r>
      <w:r>
        <w:t xml:space="preserve">, </w:t>
      </w:r>
      <w:r>
        <w:rPr>
          <w:rFonts w:ascii="Consolas" w:hAnsi="Consolas"/>
          <w:color w:val="1A1A2E"/>
          <w:sz w:val="18"/>
        </w:rPr>
        <w:t>medium</w:t>
      </w:r>
      <w:r>
        <w:t xml:space="preserve">, </w:t>
      </w:r>
      <w:r>
        <w:rPr>
          <w:rFonts w:ascii="Consolas" w:hAnsi="Consolas"/>
          <w:color w:val="1A1A2E"/>
          <w:sz w:val="18"/>
        </w:rPr>
        <w:t>high</w:t>
      </w:r>
      <w:r>
        <w:t xml:space="preserve">, </w:t>
      </w:r>
      <w:r>
        <w:rPr>
          <w:rFonts w:ascii="Consolas" w:hAnsi="Consolas"/>
          <w:color w:val="1A1A2E"/>
          <w:sz w:val="18"/>
        </w:rPr>
        <w:t>critical</w:t>
      </w:r>
      <w:r>
        <w:t>.</w:t>
      </w:r>
    </w:p>
    <w:p>
      <w:pPr>
        <w:pStyle w:val="ListBullet"/>
      </w:pPr>
      <w:r/>
      <w:r>
        <w:rPr>
          <w:rFonts w:ascii="Consolas" w:hAnsi="Consolas"/>
          <w:color w:val="1A1A2E"/>
          <w:sz w:val="18"/>
        </w:rPr>
        <w:t>function_a_tcodes</w:t>
      </w:r>
      <w:r>
        <w:t xml:space="preserve"> / </w:t>
      </w:r>
      <w:r>
        <w:rPr>
          <w:rFonts w:ascii="Consolas" w:hAnsi="Consolas"/>
          <w:color w:val="1A1A2E"/>
          <w:sz w:val="18"/>
        </w:rPr>
        <w:t>function_b_tcodes</w:t>
      </w:r>
      <w:r>
        <w:t>: Pipe-delimited list of SAP transaction codes.</w:t>
      </w:r>
    </w:p>
    <w:p>
      <w:pPr>
        <w:pStyle w:val="ListBullet"/>
      </w:pPr>
      <w:r/>
      <w:r>
        <w:rPr>
          <w:rFonts w:ascii="Consolas" w:hAnsi="Consolas"/>
          <w:color w:val="1A1A2E"/>
          <w:sz w:val="18"/>
        </w:rPr>
        <w:t>active</w:t>
      </w:r>
      <w:r>
        <w:t xml:space="preserve">: </w:t>
      </w:r>
      <w:r>
        <w:rPr>
          <w:rFonts w:ascii="Consolas" w:hAnsi="Consolas"/>
          <w:color w:val="1A1A2E"/>
          <w:sz w:val="18"/>
        </w:rPr>
        <w:t>true</w:t>
      </w:r>
      <w:r>
        <w:t xml:space="preserve"> or </w:t>
      </w:r>
      <w:r>
        <w:rPr>
          <w:rFonts w:ascii="Consolas" w:hAnsi="Consolas"/>
          <w:color w:val="1A1A2E"/>
          <w:sz w:val="18"/>
        </w:rPr>
        <w:t>false</w:t>
      </w:r>
      <w:r>
        <w:t>. Inactive rules are stored but not evaluated.</w:t>
      </w:r>
    </w:p>
    <w:p>
      <w:pPr>
        <w:pStyle w:val="Heading3"/>
      </w:pPr>
      <w:r>
        <w:t>2.4 Tenant Rule Preferences</w:t>
      </w:r>
    </w:p>
    <w:p>
      <w:r>
        <w:t xml:space="preserve">Each tenant can configure rule evaluation behavior independently. These settings are stored in the </w:t>
      </w:r>
      <w:r>
        <w:rPr>
          <w:rFonts w:ascii="Consolas" w:hAnsi="Consolas"/>
          <w:color w:val="1A1A2E"/>
          <w:sz w:val="18"/>
        </w:rPr>
        <w:t>tenant_configurations</w:t>
      </w:r>
      <w:r>
        <w:t xml:space="preserve"> table and managed via </w:t>
      </w:r>
      <w:r>
        <w:rPr>
          <w:rFonts w:ascii="Consolas" w:hAnsi="Consolas"/>
          <w:color w:val="1A1A2E"/>
          <w:sz w:val="18"/>
        </w:rPr>
        <w:t>PUT /api/v1/admin/tenants/{tenant_id}/rule-config</w:t>
      </w:r>
      <w:r>
        <w:t>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"tenant_id": "acme-corp",</w:t>
        <w:br/>
      </w:r>
      <w:r>
        <w:rPr>
          <w:rFonts w:ascii="Consolas" w:hAnsi="Consolas"/>
          <w:color w:val="333333"/>
          <w:sz w:val="18"/>
        </w:rPr>
        <w:t xml:space="preserve">  "rule_evaluation": {</w:t>
        <w:br/>
      </w:r>
      <w:r>
        <w:rPr>
          <w:rFonts w:ascii="Consolas" w:hAnsi="Consolas"/>
          <w:color w:val="333333"/>
          <w:sz w:val="18"/>
        </w:rPr>
        <w:t xml:space="preserve">    "include_inactive_users": false,</w:t>
        <w:br/>
      </w:r>
      <w:r>
        <w:rPr>
          <w:rFonts w:ascii="Consolas" w:hAnsi="Consolas"/>
          <w:color w:val="333333"/>
          <w:sz w:val="18"/>
        </w:rPr>
        <w:t xml:space="preserve">    "include_firefighter_sessions": true,</w:t>
        <w:br/>
      </w:r>
      <w:r>
        <w:rPr>
          <w:rFonts w:ascii="Consolas" w:hAnsi="Consolas"/>
          <w:color w:val="333333"/>
          <w:sz w:val="18"/>
        </w:rPr>
        <w:t xml:space="preserve">    "org_level_sensitivity": "full",</w:t>
        <w:br/>
      </w:r>
      <w:r>
        <w:rPr>
          <w:rFonts w:ascii="Consolas" w:hAnsi="Consolas"/>
          <w:color w:val="333333"/>
          <w:sz w:val="18"/>
        </w:rPr>
        <w:t xml:space="preserve">    "apply_mitigated_rule_suppression": true,</w:t>
        <w:br/>
      </w:r>
      <w:r>
        <w:rPr>
          <w:rFonts w:ascii="Consolas" w:hAnsi="Consolas"/>
          <w:color w:val="333333"/>
          <w:sz w:val="18"/>
        </w:rPr>
        <w:t xml:space="preserve">    "risk_appetite_override": {</w:t>
        <w:br/>
      </w:r>
      <w:r>
        <w:rPr>
          <w:rFonts w:ascii="Consolas" w:hAnsi="Consolas"/>
          <w:color w:val="333333"/>
          <w:sz w:val="18"/>
        </w:rPr>
        <w:t xml:space="preserve">      "FI": "zero_tolerance",</w:t>
        <w:br/>
      </w:r>
      <w:r>
        <w:rPr>
          <w:rFonts w:ascii="Consolas" w:hAnsi="Consolas"/>
          <w:color w:val="333333"/>
          <w:sz w:val="18"/>
        </w:rPr>
        <w:t xml:space="preserve">      "HR": "low",</w:t>
        <w:br/>
      </w:r>
      <w:r>
        <w:rPr>
          <w:rFonts w:ascii="Consolas" w:hAnsi="Consolas"/>
          <w:color w:val="333333"/>
          <w:sz w:val="18"/>
        </w:rPr>
        <w:t xml:space="preserve">      "MM": "medium"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 xml:space="preserve">  },</w:t>
        <w:br/>
      </w:r>
      <w:r>
        <w:rPr>
          <w:rFonts w:ascii="Consolas" w:hAnsi="Consolas"/>
          <w:color w:val="333333"/>
          <w:sz w:val="18"/>
        </w:rPr>
        <w:t xml:space="preserve">  "rule_exclusions": ["CUSTOM-005", "XP-003"],</w:t>
        <w:br/>
      </w:r>
      <w:r>
        <w:rPr>
          <w:rFonts w:ascii="Consolas" w:hAnsi="Consolas"/>
          <w:color w:val="333333"/>
          <w:sz w:val="18"/>
        </w:rPr>
        <w:t xml:space="preserve">  "default_simulation_scope": "all_active_users"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3. Workflow Configuration</w:t>
      </w:r>
    </w:p>
    <w:p>
      <w:pPr>
        <w:pStyle w:val="Heading3"/>
      </w:pPr>
      <w:r>
        <w:t>3.1 Approval Stage Types</w:t>
      </w:r>
    </w:p>
    <w:p>
      <w:r>
        <w:t>GovernexPlus workflows support the following stage types, which can be combined in any sequence: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Stage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Manager Approval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manager</w:t>
            </w:r>
            <w:r/>
          </w:p>
        </w:tc>
        <w:tc>
          <w:tcPr>
            <w:tcW w:type="dxa" w:w="2880"/>
          </w:tcPr>
          <w:p>
            <w:r/>
            <w:r>
              <w:t xml:space="preserve">Routes to the requester's direct manager (resolved via </w:t>
            </w:r>
            <w:r>
              <w:rPr>
                <w:rFonts w:ascii="Consolas" w:hAnsi="Consolas"/>
                <w:color w:val="1A1A2E"/>
                <w:sz w:val="18"/>
              </w:rPr>
              <w:t>manager_user_id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/>
            <w:r>
              <w:t>Role Owner Approval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role_owner</w:t>
            </w:r>
            <w:r/>
          </w:p>
        </w:tc>
        <w:tc>
          <w:tcPr>
            <w:tcW w:type="dxa" w:w="2880"/>
          </w:tcPr>
          <w:p>
            <w:r/>
            <w:r>
              <w:t>Routes to the designated owner of each requested role.</w:t>
            </w:r>
          </w:p>
        </w:tc>
      </w:tr>
      <w:tr>
        <w:tc>
          <w:tcPr>
            <w:tcW w:type="dxa" w:w="2880"/>
          </w:tcPr>
          <w:p>
            <w:r/>
            <w:r>
              <w:t>Security Admin Approval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security_admin</w:t>
            </w:r>
            <w:r/>
          </w:p>
        </w:tc>
        <w:tc>
          <w:tcPr>
            <w:tcW w:type="dxa" w:w="2880"/>
          </w:tcPr>
          <w:p>
            <w:r/>
            <w:r>
              <w:t xml:space="preserve">Routes to any user with the </w:t>
            </w:r>
            <w:r>
              <w:rPr>
                <w:rFonts w:ascii="Consolas" w:hAnsi="Consolas"/>
                <w:color w:val="1A1A2E"/>
                <w:sz w:val="18"/>
              </w:rPr>
              <w:t>security_admin</w:t>
            </w:r>
            <w:r>
              <w:t xml:space="preserve"> role in the tenant.</w:t>
            </w:r>
          </w:p>
        </w:tc>
      </w:tr>
      <w:tr>
        <w:tc>
          <w:tcPr>
            <w:tcW w:type="dxa" w:w="2880"/>
          </w:tcPr>
          <w:p>
            <w:r/>
            <w:r>
              <w:t>Risk Manager Approval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risk_manager</w:t>
            </w:r>
            <w:r/>
          </w:p>
        </w:tc>
        <w:tc>
          <w:tcPr>
            <w:tcW w:type="dxa" w:w="2880"/>
          </w:tcPr>
          <w:p>
            <w:r/>
            <w:r>
              <w:t>Routes to the risk manager when the request involves high/critical SoD violations.</w:t>
            </w:r>
          </w:p>
        </w:tc>
      </w:tr>
      <w:tr>
        <w:tc>
          <w:tcPr>
            <w:tcW w:type="dxa" w:w="2880"/>
          </w:tcPr>
          <w:p>
            <w:r/>
            <w:r>
              <w:t>Compliance Officer Approval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compliance_officer</w:t>
            </w:r>
            <w:r/>
          </w:p>
        </w:tc>
        <w:tc>
          <w:tcPr>
            <w:tcW w:type="dxa" w:w="2880"/>
          </w:tcPr>
          <w:p>
            <w:r/>
            <w:r>
              <w:t>Routes to the compliance officer for regulatory-sensitive roles.</w:t>
            </w:r>
          </w:p>
        </w:tc>
      </w:tr>
      <w:tr>
        <w:tc>
          <w:tcPr>
            <w:tcW w:type="dxa" w:w="2880"/>
          </w:tcPr>
          <w:p>
            <w:r/>
            <w:r>
              <w:t>IT Helpdesk Approval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it_helpdesk</w:t>
            </w:r>
            <w:r/>
          </w:p>
        </w:tc>
        <w:tc>
          <w:tcPr>
            <w:tcW w:type="dxa" w:w="2880"/>
          </w:tcPr>
          <w:p>
            <w:r/>
            <w:r>
              <w:t>Routes to IT helpdesk queue (for provisioning confirmation).</w:t>
            </w:r>
          </w:p>
        </w:tc>
      </w:tr>
      <w:tr>
        <w:tc>
          <w:tcPr>
            <w:tcW w:type="dxa" w:w="2880"/>
          </w:tcPr>
          <w:p>
            <w:r/>
            <w:r>
              <w:t>Custom Approver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custom</w:t>
            </w:r>
            <w:r/>
          </w:p>
        </w:tc>
        <w:tc>
          <w:tcPr>
            <w:tcW w:type="dxa" w:w="2880"/>
          </w:tcPr>
          <w:p>
            <w:r/>
            <w:r>
              <w:t>Routes to a specific named user or group defined in the workflow definition.</w:t>
            </w:r>
          </w:p>
        </w:tc>
      </w:tr>
      <w:tr>
        <w:tc>
          <w:tcPr>
            <w:tcW w:type="dxa" w:w="2880"/>
          </w:tcPr>
          <w:p>
            <w:r/>
            <w:r>
              <w:t>Auto-Approve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auto</w:t>
            </w:r>
            <w:r/>
          </w:p>
        </w:tc>
        <w:tc>
          <w:tcPr>
            <w:tcW w:type="dxa" w:w="2880"/>
          </w:tcPr>
          <w:p>
            <w:r/>
            <w:r>
              <w:t>Automatically approves the stage if configured conditions are met (e.g., no SoD violations, low risk score).</w:t>
            </w:r>
          </w:p>
        </w:tc>
      </w:tr>
    </w:tbl>
    <w:p/>
    <w:p>
      <w:pPr>
        <w:pStyle w:val="Heading3"/>
      </w:pPr>
      <w:r>
        <w:t>3.2 Workflow Definition Schema</w:t>
      </w:r>
    </w:p>
    <w:p>
      <w:r>
        <w:t xml:space="preserve">Workflows are defined in </w:t>
      </w:r>
      <w:r>
        <w:rPr>
          <w:rFonts w:ascii="Consolas" w:hAnsi="Consolas"/>
          <w:color w:val="1A1A2E"/>
          <w:sz w:val="18"/>
        </w:rPr>
        <w:t>core/workflow/orchestrator.py</w:t>
      </w:r>
      <w:r>
        <w:t xml:space="preserve"> and stored in the </w:t>
      </w:r>
      <w:r>
        <w:rPr>
          <w:rFonts w:ascii="Consolas" w:hAnsi="Consolas"/>
          <w:color w:val="1A1A2E"/>
          <w:sz w:val="18"/>
        </w:rPr>
        <w:t>workflow_definitions</w:t>
      </w:r>
      <w:r>
        <w:t xml:space="preserve"> table. Example multi-stage workflow: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"workflow_id": "std-access-request-v2",</w:t>
        <w:br/>
      </w:r>
      <w:r>
        <w:rPr>
          <w:rFonts w:ascii="Consolas" w:hAnsi="Consolas"/>
          <w:color w:val="333333"/>
          <w:sz w:val="18"/>
        </w:rPr>
        <w:t xml:space="preserve">  "name": "Standard Access Request — Dual Approval",</w:t>
        <w:br/>
      </w:r>
      <w:r>
        <w:rPr>
          <w:rFonts w:ascii="Consolas" w:hAnsi="Consolas"/>
          <w:color w:val="333333"/>
          <w:sz w:val="18"/>
        </w:rPr>
        <w:t xml:space="preserve">  "trigger": "access_request_submitted",</w:t>
        <w:br/>
      </w:r>
      <w:r>
        <w:rPr>
          <w:rFonts w:ascii="Consolas" w:hAnsi="Consolas"/>
          <w:color w:val="333333"/>
          <w:sz w:val="18"/>
        </w:rPr>
        <w:t xml:space="preserve">  "applies_to": {</w:t>
        <w:br/>
      </w:r>
      <w:r>
        <w:rPr>
          <w:rFonts w:ascii="Consolas" w:hAnsi="Consolas"/>
          <w:color w:val="333333"/>
          <w:sz w:val="18"/>
        </w:rPr>
        <w:t xml:space="preserve">    "request_type": ["role_assignment", "bulk_access"],</w:t>
        <w:br/>
      </w:r>
      <w:r>
        <w:rPr>
          <w:rFonts w:ascii="Consolas" w:hAnsi="Consolas"/>
          <w:color w:val="333333"/>
          <w:sz w:val="18"/>
        </w:rPr>
        <w:t xml:space="preserve">    "risk_level": ["low", "medium", "high", "critical"]</w:t>
        <w:br/>
      </w:r>
      <w:r>
        <w:rPr>
          <w:rFonts w:ascii="Consolas" w:hAnsi="Consolas"/>
          <w:color w:val="333333"/>
          <w:sz w:val="18"/>
        </w:rPr>
        <w:t xml:space="preserve">  },</w:t>
        <w:br/>
      </w:r>
      <w:r>
        <w:rPr>
          <w:rFonts w:ascii="Consolas" w:hAnsi="Consolas"/>
          <w:color w:val="333333"/>
          <w:sz w:val="18"/>
        </w:rPr>
        <w:t xml:space="preserve">  "stages": [</w:t>
        <w:br/>
      </w:r>
      <w:r>
        <w:rPr>
          <w:rFonts w:ascii="Consolas" w:hAnsi="Consolas"/>
          <w:color w:val="333333"/>
          <w:sz w:val="18"/>
        </w:rPr>
        <w:t xml:space="preserve">    {</w:t>
        <w:br/>
      </w:r>
      <w:r>
        <w:rPr>
          <w:rFonts w:ascii="Consolas" w:hAnsi="Consolas"/>
          <w:color w:val="333333"/>
          <w:sz w:val="18"/>
        </w:rPr>
        <w:t xml:space="preserve">      "stage_id": 1,</w:t>
        <w:br/>
      </w:r>
      <w:r>
        <w:rPr>
          <w:rFonts w:ascii="Consolas" w:hAnsi="Consolas"/>
          <w:color w:val="333333"/>
          <w:sz w:val="18"/>
        </w:rPr>
        <w:t xml:space="preserve">      "stage_type": "manager",</w:t>
        <w:br/>
      </w:r>
      <w:r>
        <w:rPr>
          <w:rFonts w:ascii="Consolas" w:hAnsi="Consolas"/>
          <w:color w:val="333333"/>
          <w:sz w:val="18"/>
        </w:rPr>
        <w:t xml:space="preserve">      "label": "Line Manager Approval",</w:t>
        <w:br/>
      </w:r>
      <w:r>
        <w:rPr>
          <w:rFonts w:ascii="Consolas" w:hAnsi="Consolas"/>
          <w:color w:val="333333"/>
          <w:sz w:val="18"/>
        </w:rPr>
        <w:t xml:space="preserve">      "sla_hours": 48,</w:t>
        <w:br/>
      </w:r>
      <w:r>
        <w:rPr>
          <w:rFonts w:ascii="Consolas" w:hAnsi="Consolas"/>
          <w:color w:val="333333"/>
          <w:sz w:val="18"/>
        </w:rPr>
        <w:t xml:space="preserve">      "escalation_after_hours": 24,</w:t>
        <w:br/>
      </w:r>
      <w:r>
        <w:rPr>
          <w:rFonts w:ascii="Consolas" w:hAnsi="Consolas"/>
          <w:color w:val="333333"/>
          <w:sz w:val="18"/>
        </w:rPr>
        <w:t xml:space="preserve">      "escalate_to": "security_admin"</w:t>
        <w:br/>
      </w:r>
      <w:r>
        <w:rPr>
          <w:rFonts w:ascii="Consolas" w:hAnsi="Consolas"/>
          <w:color w:val="333333"/>
          <w:sz w:val="18"/>
        </w:rPr>
        <w:t xml:space="preserve">    },</w:t>
        <w:br/>
      </w:r>
      <w:r>
        <w:rPr>
          <w:rFonts w:ascii="Consolas" w:hAnsi="Consolas"/>
          <w:color w:val="333333"/>
          <w:sz w:val="18"/>
        </w:rPr>
        <w:t xml:space="preserve">    {</w:t>
        <w:br/>
      </w:r>
      <w:r>
        <w:rPr>
          <w:rFonts w:ascii="Consolas" w:hAnsi="Consolas"/>
          <w:color w:val="333333"/>
          <w:sz w:val="18"/>
        </w:rPr>
        <w:t xml:space="preserve">      "stage_id": 2,</w:t>
        <w:br/>
      </w:r>
      <w:r>
        <w:rPr>
          <w:rFonts w:ascii="Consolas" w:hAnsi="Consolas"/>
          <w:color w:val="333333"/>
          <w:sz w:val="18"/>
        </w:rPr>
        <w:t xml:space="preserve">      "stage_type": "risk_manager",</w:t>
        <w:br/>
      </w:r>
      <w:r>
        <w:rPr>
          <w:rFonts w:ascii="Consolas" w:hAnsi="Consolas"/>
          <w:color w:val="333333"/>
          <w:sz w:val="18"/>
        </w:rPr>
        <w:t xml:space="preserve">      "label": "Risk Review",</w:t>
        <w:br/>
      </w:r>
      <w:r>
        <w:rPr>
          <w:rFonts w:ascii="Consolas" w:hAnsi="Consolas"/>
          <w:color w:val="333333"/>
          <w:sz w:val="18"/>
        </w:rPr>
        <w:t xml:space="preserve">      "condition": "risk_score &gt;= 70 OR sod_violations &gt; 0",</w:t>
        <w:br/>
      </w:r>
      <w:r>
        <w:rPr>
          <w:rFonts w:ascii="Consolas" w:hAnsi="Consolas"/>
          <w:color w:val="333333"/>
          <w:sz w:val="18"/>
        </w:rPr>
        <w:t xml:space="preserve">      "sla_hours": 24,</w:t>
        <w:br/>
      </w:r>
      <w:r>
        <w:rPr>
          <w:rFonts w:ascii="Consolas" w:hAnsi="Consolas"/>
          <w:color w:val="333333"/>
          <w:sz w:val="18"/>
        </w:rPr>
        <w:t xml:space="preserve">      "escalation_after_hours": 12,</w:t>
        <w:br/>
      </w:r>
      <w:r>
        <w:rPr>
          <w:rFonts w:ascii="Consolas" w:hAnsi="Consolas"/>
          <w:color w:val="333333"/>
          <w:sz w:val="18"/>
        </w:rPr>
        <w:t xml:space="preserve">      "escalate_to": "compliance_officer"</w:t>
        <w:br/>
      </w:r>
      <w:r>
        <w:rPr>
          <w:rFonts w:ascii="Consolas" w:hAnsi="Consolas"/>
          <w:color w:val="333333"/>
          <w:sz w:val="18"/>
        </w:rPr>
        <w:t xml:space="preserve">    },</w:t>
        <w:br/>
      </w:r>
      <w:r>
        <w:rPr>
          <w:rFonts w:ascii="Consolas" w:hAnsi="Consolas"/>
          <w:color w:val="333333"/>
          <w:sz w:val="18"/>
        </w:rPr>
        <w:t xml:space="preserve">    {</w:t>
        <w:br/>
      </w:r>
      <w:r>
        <w:rPr>
          <w:rFonts w:ascii="Consolas" w:hAnsi="Consolas"/>
          <w:color w:val="333333"/>
          <w:sz w:val="18"/>
        </w:rPr>
        <w:t xml:space="preserve">      "stage_id": 3,</w:t>
        <w:br/>
      </w:r>
      <w:r>
        <w:rPr>
          <w:rFonts w:ascii="Consolas" w:hAnsi="Consolas"/>
          <w:color w:val="333333"/>
          <w:sz w:val="18"/>
        </w:rPr>
        <w:t xml:space="preserve">      "stage_type": "security_admin",</w:t>
        <w:br/>
      </w:r>
      <w:r>
        <w:rPr>
          <w:rFonts w:ascii="Consolas" w:hAnsi="Consolas"/>
          <w:color w:val="333333"/>
          <w:sz w:val="18"/>
        </w:rPr>
        <w:t xml:space="preserve">      "label": "Security Sign-off",</w:t>
        <w:br/>
      </w:r>
      <w:r>
        <w:rPr>
          <w:rFonts w:ascii="Consolas" w:hAnsi="Consolas"/>
          <w:color w:val="333333"/>
          <w:sz w:val="18"/>
        </w:rPr>
        <w:t xml:space="preserve">      "sla_hours": 24,</w:t>
        <w:br/>
      </w:r>
      <w:r>
        <w:rPr>
          <w:rFonts w:ascii="Consolas" w:hAnsi="Consolas"/>
          <w:color w:val="333333"/>
          <w:sz w:val="18"/>
        </w:rPr>
        <w:t xml:space="preserve">      "escalation_after_hours": 8,</w:t>
        <w:br/>
      </w:r>
      <w:r>
        <w:rPr>
          <w:rFonts w:ascii="Consolas" w:hAnsi="Consolas"/>
          <w:color w:val="333333"/>
          <w:sz w:val="18"/>
        </w:rPr>
        <w:t xml:space="preserve">      "escalate_to": "tenant_admin"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 xml:space="preserve">  ],</w:t>
        <w:br/>
      </w:r>
      <w:r>
        <w:rPr>
          <w:rFonts w:ascii="Consolas" w:hAnsi="Consolas"/>
          <w:color w:val="333333"/>
          <w:sz w:val="18"/>
        </w:rPr>
        <w:t xml:space="preserve">  "on_approve": "provision_access",</w:t>
        <w:br/>
      </w:r>
      <w:r>
        <w:rPr>
          <w:rFonts w:ascii="Consolas" w:hAnsi="Consolas"/>
          <w:color w:val="333333"/>
          <w:sz w:val="18"/>
        </w:rPr>
        <w:t xml:space="preserve">  "on_reject": "notify_requester_rejection",</w:t>
        <w:br/>
      </w:r>
      <w:r>
        <w:rPr>
          <w:rFonts w:ascii="Consolas" w:hAnsi="Consolas"/>
          <w:color w:val="333333"/>
          <w:sz w:val="18"/>
        </w:rPr>
        <w:t xml:space="preserve">  "parallel_stages": false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3"/>
      </w:pPr>
      <w:r>
        <w:t>3.3 Escalation Timeouts</w:t>
      </w:r>
    </w:p>
    <w:p>
      <w:r>
        <w:t>Escalation is triggered automatically by the scheduler (</w:t>
      </w:r>
      <w:r>
        <w:rPr>
          <w:rFonts w:ascii="Consolas" w:hAnsi="Consolas"/>
          <w:color w:val="1A1A2E"/>
          <w:sz w:val="18"/>
        </w:rPr>
        <w:t>core/scheduler/automation_jobs.py</w:t>
      </w:r>
      <w:r>
        <w:t>) running every 15 minutes.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Configuration Key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escalation_check_interval_minutes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15</w:t>
            </w:r>
            <w:r/>
          </w:p>
        </w:tc>
        <w:tc>
          <w:tcPr>
            <w:tcW w:type="dxa" w:w="2880"/>
          </w:tcPr>
          <w:p>
            <w:r/>
            <w:r>
              <w:t>How often the scheduler checks for overdue approvals.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manager_sla_hours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48</w:t>
            </w:r>
            <w:r/>
          </w:p>
        </w:tc>
        <w:tc>
          <w:tcPr>
            <w:tcW w:type="dxa" w:w="2880"/>
          </w:tcPr>
          <w:p>
            <w:r/>
            <w:r>
              <w:t>Default SLA for manager approval stages.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security_admin_sla_hours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24</w:t>
            </w:r>
            <w:r/>
          </w:p>
        </w:tc>
        <w:tc>
          <w:tcPr>
            <w:tcW w:type="dxa" w:w="2880"/>
          </w:tcPr>
          <w:p>
            <w:r/>
            <w:r>
              <w:t>Default SLA for security admin stages.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max_escalation_depth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3</w:t>
            </w:r>
            <w:r/>
          </w:p>
        </w:tc>
        <w:tc>
          <w:tcPr>
            <w:tcW w:type="dxa" w:w="2880"/>
          </w:tcPr>
          <w:p>
            <w:r/>
            <w:r>
              <w:t>Maximum number of escalation hops before auto-rejection.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auto_reject_on_max_escalation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false</w:t>
            </w:r>
            <w:r/>
          </w:p>
        </w:tc>
        <w:tc>
          <w:tcPr>
            <w:tcW w:type="dxa" w:w="2880"/>
          </w:tcPr>
          <w:p>
            <w:r/>
            <w:r>
              <w:t xml:space="preserve">When </w:t>
            </w:r>
            <w:r>
              <w:rPr>
                <w:rFonts w:ascii="Consolas" w:hAnsi="Consolas"/>
                <w:color w:val="1A1A2E"/>
                <w:sz w:val="18"/>
              </w:rPr>
              <w:t>true</w:t>
            </w:r>
            <w:r>
              <w:t>, requests auto-reject after max escalation depth is reached.</w:t>
            </w:r>
          </w:p>
        </w:tc>
      </w:tr>
    </w:tbl>
    <w:p/>
    <w:p>
      <w:pPr>
        <w:pStyle w:val="Heading3"/>
      </w:pPr>
      <w:r>
        <w:t>3.4 Delegation Rules</w:t>
      </w:r>
    </w:p>
    <w:p>
      <w:r>
        <w:t xml:space="preserve">Approvers may delegate their approval authority via </w:t>
      </w:r>
      <w:r>
        <w:rPr>
          <w:rFonts w:ascii="Consolas" w:hAnsi="Consolas"/>
          <w:color w:val="1A1A2E"/>
          <w:sz w:val="18"/>
        </w:rPr>
        <w:t>POST /api/v1/approvals/delegations</w:t>
      </w:r>
      <w:r>
        <w:t>. Delegation configuration: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"delegator_user_id": "user-uuid",</w:t>
        <w:br/>
      </w:r>
      <w:r>
        <w:rPr>
          <w:rFonts w:ascii="Consolas" w:hAnsi="Consolas"/>
          <w:color w:val="333333"/>
          <w:sz w:val="18"/>
        </w:rPr>
        <w:t xml:space="preserve">  "delegate_user_id": "user-uuid-2",</w:t>
        <w:br/>
      </w:r>
      <w:r>
        <w:rPr>
          <w:rFonts w:ascii="Consolas" w:hAnsi="Consolas"/>
          <w:color w:val="333333"/>
          <w:sz w:val="18"/>
        </w:rPr>
        <w:t xml:space="preserve">  "start_date": "2026-09-10",</w:t>
        <w:br/>
      </w:r>
      <w:r>
        <w:rPr>
          <w:rFonts w:ascii="Consolas" w:hAnsi="Consolas"/>
          <w:color w:val="333333"/>
          <w:sz w:val="18"/>
        </w:rPr>
        <w:t xml:space="preserve">  "end_date": "2026-09-20",</w:t>
        <w:br/>
      </w:r>
      <w:r>
        <w:rPr>
          <w:rFonts w:ascii="Consolas" w:hAnsi="Consolas"/>
          <w:color w:val="333333"/>
          <w:sz w:val="18"/>
        </w:rPr>
        <w:t xml:space="preserve">  "scope": "all",</w:t>
        <w:br/>
      </w:r>
      <w:r>
        <w:rPr>
          <w:rFonts w:ascii="Consolas" w:hAnsi="Consolas"/>
          <w:color w:val="333333"/>
          <w:sz w:val="18"/>
        </w:rPr>
        <w:t xml:space="preserve">  "reason": "Annual leave",</w:t>
        <w:br/>
      </w:r>
      <w:r>
        <w:rPr>
          <w:rFonts w:ascii="Consolas" w:hAnsi="Consolas"/>
          <w:color w:val="333333"/>
          <w:sz w:val="18"/>
        </w:rPr>
        <w:t xml:space="preserve">  "notify_delegator_on_action": true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/>
      <w:r>
        <w:rPr>
          <w:rFonts w:ascii="Consolas" w:hAnsi="Consolas"/>
          <w:color w:val="1A1A2E"/>
          <w:sz w:val="18"/>
        </w:rPr>
        <w:t>scope</w:t>
      </w:r>
      <w:r>
        <w:t xml:space="preserve"> values: </w:t>
      </w:r>
      <w:r>
        <w:rPr>
          <w:rFonts w:ascii="Consolas" w:hAnsi="Consolas"/>
          <w:color w:val="1A1A2E"/>
          <w:sz w:val="18"/>
        </w:rPr>
        <w:t>all</w:t>
      </w:r>
      <w:r>
        <w:t xml:space="preserve"> (full delegation), </w:t>
      </w:r>
      <w:r>
        <w:rPr>
          <w:rFonts w:ascii="Consolas" w:hAnsi="Consolas"/>
          <w:color w:val="1A1A2E"/>
          <w:sz w:val="18"/>
        </w:rPr>
        <w:t>low_risk_only</w:t>
      </w:r>
      <w:r>
        <w:t xml:space="preserve">, </w:t>
      </w:r>
      <w:r>
        <w:rPr>
          <w:rFonts w:ascii="Consolas" w:hAnsi="Consolas"/>
          <w:color w:val="1A1A2E"/>
          <w:sz w:val="18"/>
        </w:rPr>
        <w:t>specific_workflows</w:t>
      </w:r>
      <w:r>
        <w:t xml:space="preserve"> (with </w:t>
      </w:r>
      <w:r>
        <w:rPr>
          <w:rFonts w:ascii="Consolas" w:hAnsi="Consolas"/>
          <w:color w:val="1A1A2E"/>
          <w:sz w:val="18"/>
        </w:rPr>
        <w:t>workflow_ids</w:t>
      </w:r>
      <w:r>
        <w:t xml:space="preserve"> array).</w:t>
      </w:r>
    </w:p>
    <w:p>
      <w:pPr>
        <w:pStyle w:val="Heading3"/>
      </w:pPr>
      <w:r>
        <w:t>3.5 SLA Configuration</w:t>
      </w:r>
    </w:p>
    <w:p>
      <w:r>
        <w:t xml:space="preserve">SLA breach tracking is recorded in the </w:t>
      </w:r>
      <w:r>
        <w:rPr>
          <w:rFonts w:ascii="Consolas" w:hAnsi="Consolas"/>
          <w:color w:val="1A1A2E"/>
          <w:sz w:val="18"/>
        </w:rPr>
        <w:t>workflow_sla_events</w:t>
      </w:r>
      <w:r>
        <w:t xml:space="preserve"> table. Per-tenant SLA overrides: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"tenant_id": "acme-corp",</w:t>
        <w:br/>
      </w:r>
      <w:r>
        <w:rPr>
          <w:rFonts w:ascii="Consolas" w:hAnsi="Consolas"/>
          <w:color w:val="333333"/>
          <w:sz w:val="18"/>
        </w:rPr>
        <w:t xml:space="preserve">  "sla_config": {</w:t>
        <w:br/>
      </w:r>
      <w:r>
        <w:rPr>
          <w:rFonts w:ascii="Consolas" w:hAnsi="Consolas"/>
          <w:color w:val="333333"/>
          <w:sz w:val="18"/>
        </w:rPr>
        <w:t xml:space="preserve">    "critical_request_sla_hours": 4,</w:t>
        <w:br/>
      </w:r>
      <w:r>
        <w:rPr>
          <w:rFonts w:ascii="Consolas" w:hAnsi="Consolas"/>
          <w:color w:val="333333"/>
          <w:sz w:val="18"/>
        </w:rPr>
        <w:t xml:space="preserve">    "high_request_sla_hours": 24,</w:t>
        <w:br/>
      </w:r>
      <w:r>
        <w:rPr>
          <w:rFonts w:ascii="Consolas" w:hAnsi="Consolas"/>
          <w:color w:val="333333"/>
          <w:sz w:val="18"/>
        </w:rPr>
        <w:t xml:space="preserve">    "medium_request_sla_hours": 48,</w:t>
        <w:br/>
      </w:r>
      <w:r>
        <w:rPr>
          <w:rFonts w:ascii="Consolas" w:hAnsi="Consolas"/>
          <w:color w:val="333333"/>
          <w:sz w:val="18"/>
        </w:rPr>
        <w:t xml:space="preserve">    "low_request_sla_hours": 72,</w:t>
        <w:br/>
      </w:r>
      <w:r>
        <w:rPr>
          <w:rFonts w:ascii="Consolas" w:hAnsi="Consolas"/>
          <w:color w:val="333333"/>
          <w:sz w:val="18"/>
        </w:rPr>
        <w:t xml:space="preserve">    "firefighter_approval_sla_minutes": 30,</w:t>
        <w:br/>
      </w:r>
      <w:r>
        <w:rPr>
          <w:rFonts w:ascii="Consolas" w:hAnsi="Consolas"/>
          <w:color w:val="333333"/>
          <w:sz w:val="18"/>
        </w:rPr>
        <w:t xml:space="preserve">    "notify_approver_at_percent": 75,</w:t>
        <w:br/>
      </w:r>
      <w:r>
        <w:rPr>
          <w:rFonts w:ascii="Consolas" w:hAnsi="Consolas"/>
          <w:color w:val="333333"/>
          <w:sz w:val="18"/>
        </w:rPr>
        <w:t xml:space="preserve">    "breach_notification_channels": ["email", "in_app"]</w:t>
        <w:br/>
      </w:r>
      <w:r>
        <w:rPr>
          <w:rFonts w:ascii="Consolas" w:hAnsi="Consolas"/>
          <w:color w:val="333333"/>
          <w:sz w:val="18"/>
        </w:rPr>
        <w:t xml:space="preserve">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4. Notification Configuration</w:t>
      </w:r>
    </w:p>
    <w:p>
      <w:pPr>
        <w:pStyle w:val="Heading3"/>
      </w:pPr>
      <w:r>
        <w:t>4.1 Email Templates</w:t>
      </w:r>
    </w:p>
    <w:p>
      <w:r>
        <w:t xml:space="preserve">Email notifications are rendered from Jinja2 templates stored in </w:t>
      </w:r>
      <w:r>
        <w:rPr>
          <w:rFonts w:ascii="Consolas" w:hAnsi="Consolas"/>
          <w:color w:val="1A1A2E"/>
          <w:sz w:val="18"/>
        </w:rPr>
        <w:t>core/notifications/templates/</w:t>
      </w:r>
      <w:r>
        <w:t>. Each event type maps to a template file: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Template File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Variables Available</w:t>
            </w:r>
          </w:p>
        </w:tc>
      </w:tr>
      <w:tr>
        <w:tc>
          <w:tcPr>
            <w:tcW w:type="dxa" w:w="2880"/>
          </w:tcPr>
          <w:p>
            <w:r/>
            <w:r>
              <w:t>Access request submitted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access_request_submitted.html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requester_name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request_id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roles_requested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approval_link</w:t>
            </w:r>
            <w:r/>
          </w:p>
        </w:tc>
      </w:tr>
      <w:tr>
        <w:tc>
          <w:tcPr>
            <w:tcW w:type="dxa" w:w="2880"/>
          </w:tcPr>
          <w:p>
            <w:r/>
            <w:r>
              <w:t>Approval required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approval_required.html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approver_name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requester_name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request_id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risk_summary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approve_link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reject_link</w:t>
            </w:r>
            <w:r/>
          </w:p>
        </w:tc>
      </w:tr>
      <w:tr>
        <w:tc>
          <w:tcPr>
            <w:tcW w:type="dxa" w:w="2880"/>
          </w:tcPr>
          <w:p>
            <w:r/>
            <w:r>
              <w:t>Request approved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request_approved.html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requester_name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request_id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provisioned_roles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effective_date</w:t>
            </w:r>
            <w:r/>
          </w:p>
        </w:tc>
      </w:tr>
      <w:tr>
        <w:tc>
          <w:tcPr>
            <w:tcW w:type="dxa" w:w="2880"/>
          </w:tcPr>
          <w:p>
            <w:r/>
            <w:r>
              <w:t>Request rejected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request_rejected.html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requester_name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request_id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rejection_reason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approver_name</w:t>
            </w:r>
            <w:r/>
          </w:p>
        </w:tc>
      </w:tr>
      <w:tr>
        <w:tc>
          <w:tcPr>
            <w:tcW w:type="dxa" w:w="2880"/>
          </w:tcPr>
          <w:p>
            <w:r/>
            <w:r>
              <w:t>Escalation triggered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escalation_triggered.html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new_approver_name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original_approver_name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request_id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hours_overdue</w:t>
            </w:r>
            <w:r/>
          </w:p>
        </w:tc>
      </w:tr>
      <w:tr>
        <w:tc>
          <w:tcPr>
            <w:tcW w:type="dxa" w:w="2880"/>
          </w:tcPr>
          <w:p>
            <w:r/>
            <w:r>
              <w:t>Firefighter session started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firefighter_session_started.html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user_name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session_id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reason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system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start_time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monitor_link</w:t>
            </w:r>
            <w:r/>
          </w:p>
        </w:tc>
      </w:tr>
      <w:tr>
        <w:tc>
          <w:tcPr>
            <w:tcW w:type="dxa" w:w="2880"/>
          </w:tcPr>
          <w:p>
            <w:r/>
            <w:r>
              <w:t>Certification task assigned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certification_task_assigned.html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certifier_name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campaign_name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due_date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item_count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review_link</w:t>
            </w:r>
            <w:r/>
          </w:p>
        </w:tc>
      </w:tr>
      <w:tr>
        <w:tc>
          <w:tcPr>
            <w:tcW w:type="dxa" w:w="2880"/>
          </w:tcPr>
          <w:p>
            <w:r/>
            <w:r>
              <w:t>SoD violation detected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sod_violation_detected.html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user_name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rule_name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risk_level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violation_id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details_link</w:t>
            </w:r>
            <w:r/>
          </w:p>
        </w:tc>
      </w:tr>
      <w:tr>
        <w:tc>
          <w:tcPr>
            <w:tcW w:type="dxa" w:w="2880"/>
          </w:tcPr>
          <w:p>
            <w:r/>
            <w:r>
              <w:t>Password reset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password_reset.html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user_name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reset_link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expiry_hours</w:t>
            </w:r>
            <w:r/>
          </w:p>
        </w:tc>
      </w:tr>
    </w:tbl>
    <w:p/>
    <w:p>
      <w:pPr>
        <w:pStyle w:val="Heading3"/>
      </w:pPr>
      <w:r>
        <w:t>4.2 Email SMTP Configuration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SMTP_HOST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localhost</w:t>
            </w:r>
            <w:r/>
          </w:p>
        </w:tc>
        <w:tc>
          <w:tcPr>
            <w:tcW w:type="dxa" w:w="2160"/>
          </w:tcPr>
          <w:p>
            <w:r/>
            <w:r>
              <w:t>SMTP server hostname.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SMTP_PORT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integer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587</w:t>
            </w:r>
            <w:r/>
          </w:p>
        </w:tc>
        <w:tc>
          <w:tcPr>
            <w:tcW w:type="dxa" w:w="2160"/>
          </w:tcPr>
          <w:p>
            <w:r/>
            <w:r>
              <w:t>SMTP server port.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SMTP_USER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SMTP authentication username.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SMTP_PASSWORD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SMTP authentication password.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SMTP_USE_TLS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boolean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true</w:t>
            </w:r>
            <w:r/>
          </w:p>
        </w:tc>
        <w:tc>
          <w:tcPr>
            <w:tcW w:type="dxa" w:w="2160"/>
          </w:tcPr>
          <w:p>
            <w:r/>
            <w:r>
              <w:t>Enable STARTTLS.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SMTP_FROM_ADDRESS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noreply@governex.app</w:t>
            </w:r>
            <w:r/>
          </w:p>
        </w:tc>
        <w:tc>
          <w:tcPr>
            <w:tcW w:type="dxa" w:w="2160"/>
          </w:tcPr>
          <w:p>
            <w:r/>
            <w:r>
              <w:t>Sender address for all notification emails.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SMTP_FROM_NAME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string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GovernexPlus</w:t>
            </w:r>
            <w:r/>
          </w:p>
        </w:tc>
        <w:tc>
          <w:tcPr>
            <w:tcW w:type="dxa" w:w="2160"/>
          </w:tcPr>
          <w:p>
            <w:r/>
            <w:r>
              <w:t>Display name for the sender.</w:t>
            </w:r>
          </w:p>
        </w:tc>
      </w:tr>
    </w:tbl>
    <w:p/>
    <w:p>
      <w:pPr>
        <w:pStyle w:val="Heading3"/>
      </w:pPr>
      <w:r>
        <w:t>4.3 Notification Channels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Configuration Key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Email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email</w:t>
            </w:r>
            <w:r/>
          </w:p>
        </w:tc>
        <w:tc>
          <w:tcPr>
            <w:tcW w:type="dxa" w:w="2880"/>
          </w:tcPr>
          <w:p>
            <w:r/>
            <w:r>
              <w:t>SMTP-based HTML email (default enabled).</w:t>
            </w:r>
          </w:p>
        </w:tc>
      </w:tr>
      <w:tr>
        <w:tc>
          <w:tcPr>
            <w:tcW w:type="dxa" w:w="2880"/>
          </w:tcPr>
          <w:p>
            <w:r/>
            <w:r>
              <w:t>In-App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in_app</w:t>
            </w:r>
            <w:r/>
          </w:p>
        </w:tc>
        <w:tc>
          <w:tcPr>
            <w:tcW w:type="dxa" w:w="2880"/>
          </w:tcPr>
          <w:p>
            <w:r/>
            <w:r>
              <w:t>Bell-icon notifications in the GovernexPlus UI (always enabled).</w:t>
            </w:r>
          </w:p>
        </w:tc>
      </w:tr>
      <w:tr>
        <w:tc>
          <w:tcPr>
            <w:tcW w:type="dxa" w:w="2880"/>
          </w:tcPr>
          <w:p>
            <w:r/>
            <w:r>
              <w:t>Microsoft Teams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teams_webhook_url</w:t>
            </w:r>
            <w:r/>
          </w:p>
        </w:tc>
        <w:tc>
          <w:tcPr>
            <w:tcW w:type="dxa" w:w="2880"/>
          </w:tcPr>
          <w:p>
            <w:r/>
            <w:r>
              <w:t>Incoming webhook URL for Teams channel messages.</w:t>
            </w:r>
          </w:p>
        </w:tc>
      </w:tr>
      <w:tr>
        <w:tc>
          <w:tcPr>
            <w:tcW w:type="dxa" w:w="2880"/>
          </w:tcPr>
          <w:p>
            <w:r/>
            <w:r>
              <w:t>Slack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slack_webhook_url</w:t>
            </w:r>
            <w:r/>
          </w:p>
        </w:tc>
        <w:tc>
          <w:tcPr>
            <w:tcW w:type="dxa" w:w="2880"/>
          </w:tcPr>
          <w:p>
            <w:r/>
            <w:r>
              <w:t>Incoming webhook URL for Slack channel messages.</w:t>
            </w:r>
          </w:p>
        </w:tc>
      </w:tr>
      <w:tr>
        <w:tc>
          <w:tcPr>
            <w:tcW w:type="dxa" w:w="2880"/>
          </w:tcPr>
          <w:p>
            <w:r/>
            <w:r>
              <w:t>ServiceNow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snow_instance_url</w:t>
            </w:r>
            <w:r/>
          </w:p>
        </w:tc>
        <w:tc>
          <w:tcPr>
            <w:tcW w:type="dxa" w:w="2880"/>
          </w:tcPr>
          <w:p>
            <w:r/>
            <w:r>
              <w:t>Creates ServiceNow incidents for critical violations.</w:t>
            </w:r>
          </w:p>
        </w:tc>
      </w:tr>
      <w:tr>
        <w:tc>
          <w:tcPr>
            <w:tcW w:type="dxa" w:w="2880"/>
          </w:tcPr>
          <w:p>
            <w:r/>
            <w:r>
              <w:t>PagerDuty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pagerduty_routing_key</w:t>
            </w:r>
            <w:r/>
          </w:p>
        </w:tc>
        <w:tc>
          <w:tcPr>
            <w:tcW w:type="dxa" w:w="2880"/>
          </w:tcPr>
          <w:p>
            <w:r/>
            <w:r>
              <w:t>Triggers PagerDuty alerts for P0-severity events.</w:t>
            </w:r>
          </w:p>
        </w:tc>
      </w:tr>
    </w:tbl>
    <w:p/>
    <w:p>
      <w:pPr>
        <w:pStyle w:val="Heading3"/>
      </w:pPr>
      <w:r>
        <w:t>4.4 Per-User Delivery Preferences</w:t>
      </w:r>
    </w:p>
    <w:p>
      <w:r>
        <w:t xml:space="preserve">Users can configure their notification preferences via </w:t>
      </w:r>
      <w:r>
        <w:rPr>
          <w:rFonts w:ascii="Consolas" w:hAnsi="Consolas"/>
          <w:color w:val="1A1A2E"/>
          <w:sz w:val="18"/>
        </w:rPr>
        <w:t>PUT /api/v1/users/me/notification-preferences</w:t>
      </w:r>
      <w:r>
        <w:t>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"channels": {</w:t>
        <w:br/>
      </w:r>
      <w:r>
        <w:rPr>
          <w:rFonts w:ascii="Consolas" w:hAnsi="Consolas"/>
          <w:color w:val="333333"/>
          <w:sz w:val="18"/>
        </w:rPr>
        <w:t xml:space="preserve">    "email": true,</w:t>
        <w:br/>
      </w:r>
      <w:r>
        <w:rPr>
          <w:rFonts w:ascii="Consolas" w:hAnsi="Consolas"/>
          <w:color w:val="333333"/>
          <w:sz w:val="18"/>
        </w:rPr>
        <w:t xml:space="preserve">    "in_app": true,</w:t>
        <w:br/>
      </w:r>
      <w:r>
        <w:rPr>
          <w:rFonts w:ascii="Consolas" w:hAnsi="Consolas"/>
          <w:color w:val="333333"/>
          <w:sz w:val="18"/>
        </w:rPr>
        <w:t xml:space="preserve">    "teams": false,</w:t>
        <w:br/>
      </w:r>
      <w:r>
        <w:rPr>
          <w:rFonts w:ascii="Consolas" w:hAnsi="Consolas"/>
          <w:color w:val="333333"/>
          <w:sz w:val="18"/>
        </w:rPr>
        <w:t xml:space="preserve">    "slack": true</w:t>
        <w:br/>
      </w:r>
      <w:r>
        <w:rPr>
          <w:rFonts w:ascii="Consolas" w:hAnsi="Consolas"/>
          <w:color w:val="333333"/>
          <w:sz w:val="18"/>
        </w:rPr>
        <w:t xml:space="preserve">  },</w:t>
        <w:br/>
      </w:r>
      <w:r>
        <w:rPr>
          <w:rFonts w:ascii="Consolas" w:hAnsi="Consolas"/>
          <w:color w:val="333333"/>
          <w:sz w:val="18"/>
        </w:rPr>
        <w:t xml:space="preserve">  "digest_mode": "immediate",</w:t>
        <w:br/>
      </w:r>
      <w:r>
        <w:rPr>
          <w:rFonts w:ascii="Consolas" w:hAnsi="Consolas"/>
          <w:color w:val="333333"/>
          <w:sz w:val="18"/>
        </w:rPr>
        <w:t xml:space="preserve">  "digest_schedule": null,</w:t>
        <w:br/>
      </w:r>
      <w:r>
        <w:rPr>
          <w:rFonts w:ascii="Consolas" w:hAnsi="Consolas"/>
          <w:color w:val="333333"/>
          <w:sz w:val="18"/>
        </w:rPr>
        <w:t xml:space="preserve">  "quiet_hours": {</w:t>
        <w:br/>
      </w:r>
      <w:r>
        <w:rPr>
          <w:rFonts w:ascii="Consolas" w:hAnsi="Consolas"/>
          <w:color w:val="333333"/>
          <w:sz w:val="18"/>
        </w:rPr>
        <w:t xml:space="preserve">    "enabled": true,</w:t>
        <w:br/>
      </w:r>
      <w:r>
        <w:rPr>
          <w:rFonts w:ascii="Consolas" w:hAnsi="Consolas"/>
          <w:color w:val="333333"/>
          <w:sz w:val="18"/>
        </w:rPr>
        <w:t xml:space="preserve">    "start": "22:00",</w:t>
        <w:br/>
      </w:r>
      <w:r>
        <w:rPr>
          <w:rFonts w:ascii="Consolas" w:hAnsi="Consolas"/>
          <w:color w:val="333333"/>
          <w:sz w:val="18"/>
        </w:rPr>
        <w:t xml:space="preserve">    "end": "07:00",</w:t>
        <w:br/>
      </w:r>
      <w:r>
        <w:rPr>
          <w:rFonts w:ascii="Consolas" w:hAnsi="Consolas"/>
          <w:color w:val="333333"/>
          <w:sz w:val="18"/>
        </w:rPr>
        <w:t xml:space="preserve">    "timezone": "America/New_York"</w:t>
        <w:br/>
      </w:r>
      <w:r>
        <w:rPr>
          <w:rFonts w:ascii="Consolas" w:hAnsi="Consolas"/>
          <w:color w:val="333333"/>
          <w:sz w:val="18"/>
        </w:rPr>
        <w:t xml:space="preserve">  },</w:t>
        <w:br/>
      </w:r>
      <w:r>
        <w:rPr>
          <w:rFonts w:ascii="Consolas" w:hAnsi="Consolas"/>
          <w:color w:val="333333"/>
          <w:sz w:val="18"/>
        </w:rPr>
        <w:t xml:space="preserve">  "event_subscriptions": {</w:t>
        <w:br/>
      </w:r>
      <w:r>
        <w:rPr>
          <w:rFonts w:ascii="Consolas" w:hAnsi="Consolas"/>
          <w:color w:val="333333"/>
          <w:sz w:val="18"/>
        </w:rPr>
        <w:t xml:space="preserve">    "approval_required": true,</w:t>
        <w:br/>
      </w:r>
      <w:r>
        <w:rPr>
          <w:rFonts w:ascii="Consolas" w:hAnsi="Consolas"/>
          <w:color w:val="333333"/>
          <w:sz w:val="18"/>
        </w:rPr>
        <w:t xml:space="preserve">    "escalation": true,</w:t>
        <w:br/>
      </w:r>
      <w:r>
        <w:rPr>
          <w:rFonts w:ascii="Consolas" w:hAnsi="Consolas"/>
          <w:color w:val="333333"/>
          <w:sz w:val="18"/>
        </w:rPr>
        <w:t xml:space="preserve">    "sod_violation": true,</w:t>
        <w:br/>
      </w:r>
      <w:r>
        <w:rPr>
          <w:rFonts w:ascii="Consolas" w:hAnsi="Consolas"/>
          <w:color w:val="333333"/>
          <w:sz w:val="18"/>
        </w:rPr>
        <w:t xml:space="preserve">    "certification_due": true,</w:t>
        <w:br/>
      </w:r>
      <w:r>
        <w:rPr>
          <w:rFonts w:ascii="Consolas" w:hAnsi="Consolas"/>
          <w:color w:val="333333"/>
          <w:sz w:val="18"/>
        </w:rPr>
        <w:t xml:space="preserve">    "system_alerts": false</w:t>
        <w:br/>
      </w:r>
      <w:r>
        <w:rPr>
          <w:rFonts w:ascii="Consolas" w:hAnsi="Consolas"/>
          <w:color w:val="333333"/>
          <w:sz w:val="18"/>
        </w:rPr>
        <w:t xml:space="preserve">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/>
      <w:r>
        <w:rPr>
          <w:rFonts w:ascii="Consolas" w:hAnsi="Consolas"/>
          <w:color w:val="1A1A2E"/>
          <w:sz w:val="18"/>
        </w:rPr>
        <w:t>digest_mode</w:t>
      </w:r>
      <w:r>
        <w:t xml:space="preserve"> options: </w:t>
      </w:r>
      <w:r>
        <w:rPr>
          <w:rFonts w:ascii="Consolas" w:hAnsi="Consolas"/>
          <w:color w:val="1A1A2E"/>
          <w:sz w:val="18"/>
        </w:rPr>
        <w:t>immediate</w:t>
      </w:r>
      <w:r>
        <w:t xml:space="preserve">, </w:t>
      </w:r>
      <w:r>
        <w:rPr>
          <w:rFonts w:ascii="Consolas" w:hAnsi="Consolas"/>
          <w:color w:val="1A1A2E"/>
          <w:sz w:val="18"/>
        </w:rPr>
        <w:t>hourly_digest</w:t>
      </w:r>
      <w:r>
        <w:t xml:space="preserve">, </w:t>
      </w:r>
      <w:r>
        <w:rPr>
          <w:rFonts w:ascii="Consolas" w:hAnsi="Consolas"/>
          <w:color w:val="1A1A2E"/>
          <w:sz w:val="18"/>
        </w:rPr>
        <w:t>daily_digest</w:t>
      </w:r>
      <w:r>
        <w:t>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5. Firefighter Configuration</w:t>
      </w:r>
    </w:p>
    <w:p>
      <w:pPr>
        <w:pStyle w:val="Heading3"/>
      </w:pPr>
      <w:r>
        <w:t>5.1 Reason Code Catalog</w:t>
      </w:r>
    </w:p>
    <w:p>
      <w:r>
        <w:t>Firefighter access requests require a reason code drawn from a configurable catalog. Default reason codes: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Requires Ticket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Requires Manager Pre-Approval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PROD_INCIDENT</w:t>
            </w:r>
            <w:r/>
          </w:p>
        </w:tc>
        <w:tc>
          <w:tcPr>
            <w:tcW w:type="dxa" w:w="2160"/>
          </w:tcPr>
          <w:p>
            <w:r/>
            <w:r>
              <w:t>Production Incident Response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 (post-approval within 2h)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MONTH_END_CLOSE</w:t>
            </w:r>
            <w:r/>
          </w:p>
        </w:tc>
        <w:tc>
          <w:tcPr>
            <w:tcW w:type="dxa" w:w="2160"/>
          </w:tcPr>
          <w:p>
            <w:r/>
            <w:r>
              <w:t>Month-End / Year-End Close Support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BATCH_FAILURE</w:t>
            </w:r>
            <w:r/>
          </w:p>
        </w:tc>
        <w:tc>
          <w:tcPr>
            <w:tcW w:type="dxa" w:w="2160"/>
          </w:tcPr>
          <w:p>
            <w:r/>
            <w:r>
              <w:t>Batch Job Failure Recovery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DATA_CORRECTION</w:t>
            </w:r>
            <w:r/>
          </w:p>
        </w:tc>
        <w:tc>
          <w:tcPr>
            <w:tcW w:type="dxa" w:w="2160"/>
          </w:tcPr>
          <w:p>
            <w:r/>
            <w:r>
              <w:t>Data Correction / Hotfix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AUDIT_SUPPORT</w:t>
            </w:r>
            <w:r/>
          </w:p>
        </w:tc>
        <w:tc>
          <w:tcPr>
            <w:tcW w:type="dxa" w:w="2160"/>
          </w:tcPr>
          <w:p>
            <w:r/>
            <w:r>
              <w:t>Auditor Support Access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SYSTEM_UPGRADE</w:t>
            </w:r>
            <w:r/>
          </w:p>
        </w:tc>
        <w:tc>
          <w:tcPr>
            <w:tcW w:type="dxa" w:w="2160"/>
          </w:tcPr>
          <w:p>
            <w:r/>
            <w:r>
              <w:t>System Upgrade / Patching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DR_TEST</w:t>
            </w:r>
            <w:r/>
          </w:p>
        </w:tc>
        <w:tc>
          <w:tcPr>
            <w:tcW w:type="dxa" w:w="2160"/>
          </w:tcPr>
          <w:p>
            <w:r/>
            <w:r>
              <w:t>Disaster Recovery Test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VENDOR_SUPPORT</w:t>
            </w:r>
            <w:r/>
          </w:p>
        </w:tc>
        <w:tc>
          <w:tcPr>
            <w:tcW w:type="dxa" w:w="2160"/>
          </w:tcPr>
          <w:p>
            <w:r/>
            <w:r>
              <w:t>Vendor / Consultant Access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TRAINING</w:t>
            </w:r>
            <w:r/>
          </w:p>
        </w:tc>
        <w:tc>
          <w:tcPr>
            <w:tcW w:type="dxa" w:w="2160"/>
          </w:tcPr>
          <w:p>
            <w:r/>
            <w:r>
              <w:t>Training Environment Only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</w:tbl>
    <w:p/>
    <w:p>
      <w:r>
        <w:t xml:space="preserve">Reason codes are managed via </w:t>
      </w:r>
      <w:r>
        <w:rPr>
          <w:rFonts w:ascii="Consolas" w:hAnsi="Consolas"/>
          <w:color w:val="1A1A2E"/>
          <w:sz w:val="18"/>
        </w:rPr>
        <w:t>PUT /api/v1/admin/firefighter/reason-codes</w:t>
      </w:r>
      <w:r>
        <w:t>.</w:t>
      </w:r>
    </w:p>
    <w:p>
      <w:pPr>
        <w:pStyle w:val="Heading3"/>
      </w:pPr>
      <w:r>
        <w:t>5.2 Ticket Reference Policies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require_ticket_reference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true</w:t>
            </w:r>
            <w:r/>
          </w:p>
        </w:tc>
        <w:tc>
          <w:tcPr>
            <w:tcW w:type="dxa" w:w="1728"/>
          </w:tcPr>
          <w:p>
            <w:r/>
            <w:r>
              <w:t xml:space="preserve">When </w:t>
            </w:r>
            <w:r>
              <w:rPr>
                <w:rFonts w:ascii="Consolas" w:hAnsi="Consolas"/>
                <w:color w:val="1A1A2E"/>
                <w:sz w:val="18"/>
              </w:rPr>
              <w:t>true</w:t>
            </w:r>
            <w:r>
              <w:t xml:space="preserve">, a ServiceNow/Jira ticket number is mandatory for all firefighter requests except </w:t>
            </w:r>
            <w:r>
              <w:rPr>
                <w:rFonts w:ascii="Consolas" w:hAnsi="Consolas"/>
                <w:color w:val="1A1A2E"/>
                <w:sz w:val="18"/>
              </w:rPr>
              <w:t>TRAINING</w:t>
            </w:r>
            <w:r>
              <w:t>.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ticket_validation_enabled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false</w:t>
            </w:r>
            <w:r/>
          </w:p>
        </w:tc>
        <w:tc>
          <w:tcPr>
            <w:tcW w:type="dxa" w:w="1728"/>
          </w:tcPr>
          <w:p>
            <w:r/>
            <w:r>
              <w:t xml:space="preserve">When </w:t>
            </w:r>
            <w:r>
              <w:rPr>
                <w:rFonts w:ascii="Consolas" w:hAnsi="Consolas"/>
                <w:color w:val="1A1A2E"/>
                <w:sz w:val="18"/>
              </w:rPr>
              <w:t>true</w:t>
            </w:r>
            <w:r>
              <w:t>, GovernexPlus calls the ITSM API to validate that the referenced ticket exists and is open.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ticket_pattern</w:t>
            </w:r>
            <w:r/>
          </w:p>
        </w:tc>
        <w:tc>
          <w:tcPr>
            <w:tcW w:type="dxa" w:w="1728"/>
          </w:tcPr>
          <w:p>
            <w:r/>
            <w:r>
              <w:t>`^(INC</w:t>
            </w:r>
          </w:p>
        </w:tc>
        <w:tc>
          <w:tcPr>
            <w:tcW w:type="dxa" w:w="1728"/>
          </w:tcPr>
          <w:p>
            <w:r/>
            <w:r>
              <w:t>CHG</w:t>
            </w:r>
          </w:p>
        </w:tc>
        <w:tc>
          <w:tcPr>
            <w:tcW w:type="dxa" w:w="1728"/>
          </w:tcPr>
          <w:p>
            <w:r/>
            <w:r>
              <w:t>PRB)\d{7}$`</w:t>
            </w:r>
          </w:p>
        </w:tc>
        <w:tc>
          <w:tcPr>
            <w:tcW w:type="dxa" w:w="1728"/>
          </w:tcPr>
          <w:p>
            <w:r/>
            <w:r>
              <w:t>Regular expression for ticket number validation.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itsm_base_url</w:t>
            </w:r>
            <w:r/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Base URL of the ITSM system for ticket validation.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3"/>
      </w:pPr>
      <w:r>
        <w:t>5.3 Session Duration Limits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max_session_duration_hours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8</w:t>
            </w:r>
            <w:r/>
          </w:p>
        </w:tc>
        <w:tc>
          <w:tcPr>
            <w:tcW w:type="dxa" w:w="2880"/>
          </w:tcPr>
          <w:p>
            <w:r/>
            <w:r>
              <w:t>Maximum allowed firefighter session duration. Sessions are automatically terminated at expiry.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default_session_duration_hours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4</w:t>
            </w:r>
            <w:r/>
          </w:p>
        </w:tc>
        <w:tc>
          <w:tcPr>
            <w:tcW w:type="dxa" w:w="2880"/>
          </w:tcPr>
          <w:p>
            <w:r/>
            <w:r>
              <w:t>Default duration when the requester does not specify.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extension_allowed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true</w:t>
            </w:r>
            <w:r/>
          </w:p>
        </w:tc>
        <w:tc>
          <w:tcPr>
            <w:tcW w:type="dxa" w:w="2880"/>
          </w:tcPr>
          <w:p>
            <w:r/>
            <w:r>
              <w:t>Allow session duration extension requests.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max_extension_hours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4</w:t>
            </w:r>
            <w:r/>
          </w:p>
        </w:tc>
        <w:tc>
          <w:tcPr>
            <w:tcW w:type="dxa" w:w="2880"/>
          </w:tcPr>
          <w:p>
            <w:r/>
            <w:r>
              <w:t>Maximum hours by which a session can be extended.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extension_requires_approval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true</w:t>
            </w:r>
            <w:r/>
          </w:p>
        </w:tc>
        <w:tc>
          <w:tcPr>
            <w:tcW w:type="dxa" w:w="2880"/>
          </w:tcPr>
          <w:p>
            <w:r/>
            <w:r>
              <w:t>Whether session extensions require re-approval.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max_concurrent_sessions_per_user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1</w:t>
            </w:r>
            <w:r/>
          </w:p>
        </w:tc>
        <w:tc>
          <w:tcPr>
            <w:tcW w:type="dxa" w:w="2880"/>
          </w:tcPr>
          <w:p>
            <w:r/>
            <w:r>
              <w:t>Users may not hold multiple active firefighter sessions simultaneously.</w:t>
            </w:r>
          </w:p>
        </w:tc>
      </w:tr>
    </w:tbl>
    <w:p/>
    <w:p>
      <w:pPr>
        <w:pStyle w:val="Heading3"/>
      </w:pPr>
      <w:r>
        <w:t>5.4 Review Requirements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review_required_within_hours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24</w:t>
            </w:r>
            <w:r/>
          </w:p>
        </w:tc>
        <w:tc>
          <w:tcPr>
            <w:tcW w:type="dxa" w:w="2880"/>
          </w:tcPr>
          <w:p>
            <w:r/>
            <w:r>
              <w:t>Firefighter session activity logs must be reviewed within this window.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reviewer_role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security_admin</w:t>
            </w:r>
            <w:r/>
          </w:p>
        </w:tc>
        <w:tc>
          <w:tcPr>
            <w:tcW w:type="dxa" w:w="2880"/>
          </w:tcPr>
          <w:p>
            <w:r/>
            <w:r>
              <w:t>Role required to perform session reviews.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auto_flag_sensitive_tcodes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true</w:t>
            </w:r>
            <w:r/>
          </w:p>
        </w:tc>
        <w:tc>
          <w:tcPr>
            <w:tcW w:type="dxa" w:w="2880"/>
          </w:tcPr>
          <w:p>
            <w:r/>
            <w:r>
              <w:t xml:space="preserve">Sessions containing sensitive transaction codes (e.g., </w:t>
            </w:r>
            <w:r>
              <w:rPr>
                <w:rFonts w:ascii="Consolas" w:hAnsi="Consolas"/>
                <w:color w:val="1A1A2E"/>
                <w:sz w:val="18"/>
              </w:rPr>
              <w:t>SE16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SU01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SE38</w:t>
            </w:r>
            <w:r>
              <w:t>) are automatically flagged for mandatory review.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sensitive_tcode_list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SE16,SE16N,SU01,SU10,SE38,SA38,SM30,SM31</w:t>
            </w:r>
            <w:r/>
          </w:p>
        </w:tc>
        <w:tc>
          <w:tcPr>
            <w:tcW w:type="dxa" w:w="2880"/>
          </w:tcPr>
          <w:p>
            <w:r/>
            <w:r>
              <w:t>Comma-separated list of transaction codes that trigger mandatory review.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notify_manager_on_session_close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true</w:t>
            </w:r>
            <w:r/>
          </w:p>
        </w:tc>
        <w:tc>
          <w:tcPr>
            <w:tcW w:type="dxa" w:w="2880"/>
          </w:tcPr>
          <w:p>
            <w:r/>
            <w:r>
              <w:t>Sends the requester's manager a summary email when a session closes.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6. Risk Scoring Configuration</w:t>
      </w:r>
    </w:p>
    <w:p>
      <w:pPr>
        <w:pStyle w:val="Heading3"/>
      </w:pPr>
      <w:r>
        <w:t>6.1 Likelihood / Impact Scales</w:t>
      </w:r>
    </w:p>
    <w:p>
      <w:r>
        <w:t>GovernexPlus supports three risk matrix sizes configurable per tenant:</w:t>
      </w:r>
    </w:p>
    <w:p>
      <w:r/>
      <w:r>
        <w:rPr>
          <w:b/>
        </w:rPr>
        <w:t>3×3 Matrix (default)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Low Impact (1)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Medium Impact (2)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High Impact (3)</w:t>
            </w:r>
          </w:p>
        </w:tc>
      </w:tr>
      <w:tr>
        <w:tc>
          <w:tcPr>
            <w:tcW w:type="dxa" w:w="2160"/>
          </w:tcPr>
          <w:p>
            <w:r/>
            <w:r>
              <w:t>Low Likelihood (1)</w:t>
            </w:r>
          </w:p>
        </w:tc>
        <w:tc>
          <w:tcPr>
            <w:tcW w:type="dxa" w:w="2160"/>
          </w:tcPr>
          <w:p>
            <w:r/>
            <w:r>
              <w:t>1 — Low</w:t>
            </w:r>
          </w:p>
        </w:tc>
        <w:tc>
          <w:tcPr>
            <w:tcW w:type="dxa" w:w="2160"/>
          </w:tcPr>
          <w:p>
            <w:r/>
            <w:r>
              <w:t>2 — Low</w:t>
            </w:r>
          </w:p>
        </w:tc>
        <w:tc>
          <w:tcPr>
            <w:tcW w:type="dxa" w:w="2160"/>
          </w:tcPr>
          <w:p>
            <w:r/>
            <w:r>
              <w:t>3 — Medium</w:t>
            </w:r>
          </w:p>
        </w:tc>
      </w:tr>
      <w:tr>
        <w:tc>
          <w:tcPr>
            <w:tcW w:type="dxa" w:w="2160"/>
          </w:tcPr>
          <w:p>
            <w:r/>
            <w:r>
              <w:t>Medium Likelihood (2)</w:t>
            </w:r>
          </w:p>
        </w:tc>
        <w:tc>
          <w:tcPr>
            <w:tcW w:type="dxa" w:w="2160"/>
          </w:tcPr>
          <w:p>
            <w:r/>
            <w:r>
              <w:t>2 — Low</w:t>
            </w:r>
          </w:p>
        </w:tc>
        <w:tc>
          <w:tcPr>
            <w:tcW w:type="dxa" w:w="2160"/>
          </w:tcPr>
          <w:p>
            <w:r/>
            <w:r>
              <w:t>4 — Medium</w:t>
            </w:r>
          </w:p>
        </w:tc>
        <w:tc>
          <w:tcPr>
            <w:tcW w:type="dxa" w:w="2160"/>
          </w:tcPr>
          <w:p>
            <w:r/>
            <w:r>
              <w:t>6 — High</w:t>
            </w:r>
          </w:p>
        </w:tc>
      </w:tr>
      <w:tr>
        <w:tc>
          <w:tcPr>
            <w:tcW w:type="dxa" w:w="2160"/>
          </w:tcPr>
          <w:p>
            <w:r/>
            <w:r>
              <w:t>High Likelihood (3)</w:t>
            </w:r>
          </w:p>
        </w:tc>
        <w:tc>
          <w:tcPr>
            <w:tcW w:type="dxa" w:w="2160"/>
          </w:tcPr>
          <w:p>
            <w:r/>
            <w:r>
              <w:t>3 — Medium</w:t>
            </w:r>
          </w:p>
        </w:tc>
        <w:tc>
          <w:tcPr>
            <w:tcW w:type="dxa" w:w="2160"/>
          </w:tcPr>
          <w:p>
            <w:r/>
            <w:r>
              <w:t>6 — High</w:t>
            </w:r>
          </w:p>
        </w:tc>
        <w:tc>
          <w:tcPr>
            <w:tcW w:type="dxa" w:w="2160"/>
          </w:tcPr>
          <w:p>
            <w:r/>
            <w:r>
              <w:t>9 — Critical</w:t>
            </w:r>
          </w:p>
        </w:tc>
      </w:tr>
    </w:tbl>
    <w:p/>
    <w:p>
      <w:r/>
      <w:r>
        <w:rPr>
          <w:b/>
        </w:rPr>
        <w:t>5×5 Matrix (enterprise)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15</w:t>
            </w:r>
          </w:p>
        </w:tc>
        <w:tc>
          <w:tcPr>
            <w:tcW w:type="dxa" w:w="1440"/>
          </w:tcPr>
          <w:p>
            <w:r/>
            <w:r>
              <w:t>20</w:t>
            </w:r>
          </w:p>
        </w:tc>
        <w:tc>
          <w:tcPr>
            <w:tcW w:type="dxa" w:w="1440"/>
          </w:tcPr>
          <w:p>
            <w:r/>
            <w:r>
              <w:t>25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12</w:t>
            </w:r>
          </w:p>
        </w:tc>
        <w:tc>
          <w:tcPr>
            <w:tcW w:type="dxa" w:w="1440"/>
          </w:tcPr>
          <w:p>
            <w:r/>
            <w:r>
              <w:t>16</w:t>
            </w:r>
          </w:p>
        </w:tc>
        <w:tc>
          <w:tcPr>
            <w:tcW w:type="dxa" w:w="1440"/>
          </w:tcPr>
          <w:p>
            <w:r/>
            <w:r>
              <w:t>20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9</w:t>
            </w:r>
          </w:p>
        </w:tc>
        <w:tc>
          <w:tcPr>
            <w:tcW w:type="dxa" w:w="1440"/>
          </w:tcPr>
          <w:p>
            <w:r/>
            <w:r>
              <w:t>12</w:t>
            </w:r>
          </w:p>
        </w:tc>
        <w:tc>
          <w:tcPr>
            <w:tcW w:type="dxa" w:w="1440"/>
          </w:tcPr>
          <w:p>
            <w:r/>
            <w:r>
              <w:t>15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</w:tr>
    </w:tbl>
    <w:p/>
    <w:p>
      <w:r>
        <w:t xml:space="preserve">Score bands for 5×5: </w:t>
      </w:r>
      <w:r>
        <w:rPr>
          <w:rFonts w:ascii="Consolas" w:hAnsi="Consolas"/>
          <w:color w:val="1A1A2E"/>
          <w:sz w:val="18"/>
        </w:rPr>
        <w:t>1–5</w:t>
      </w:r>
      <w:r>
        <w:t xml:space="preserve"> Low, </w:t>
      </w:r>
      <w:r>
        <w:rPr>
          <w:rFonts w:ascii="Consolas" w:hAnsi="Consolas"/>
          <w:color w:val="1A1A2E"/>
          <w:sz w:val="18"/>
        </w:rPr>
        <w:t>6–11</w:t>
      </w:r>
      <w:r>
        <w:t xml:space="preserve"> Medium, </w:t>
      </w:r>
      <w:r>
        <w:rPr>
          <w:rFonts w:ascii="Consolas" w:hAnsi="Consolas"/>
          <w:color w:val="1A1A2E"/>
          <w:sz w:val="18"/>
        </w:rPr>
        <w:t>12–18</w:t>
      </w:r>
      <w:r>
        <w:t xml:space="preserve"> High, </w:t>
      </w:r>
      <w:r>
        <w:rPr>
          <w:rFonts w:ascii="Consolas" w:hAnsi="Consolas"/>
          <w:color w:val="1A1A2E"/>
          <w:sz w:val="18"/>
        </w:rPr>
        <w:t>19–25</w:t>
      </w:r>
      <w:r>
        <w:t xml:space="preserve"> Critical.</w:t>
      </w:r>
    </w:p>
    <w:p>
      <w:r>
        <w:t xml:space="preserve">Select matrix size per tenant via </w:t>
      </w:r>
      <w:r>
        <w:rPr>
          <w:rFonts w:ascii="Consolas" w:hAnsi="Consolas"/>
          <w:color w:val="1A1A2E"/>
          <w:sz w:val="18"/>
        </w:rPr>
        <w:t>PUT /api/v1/admin/tenants/{tenant_id}/risk-config</w:t>
      </w:r>
      <w:r>
        <w:t>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"risk_matrix": "5x5",</w:t>
        <w:br/>
      </w:r>
      <w:r>
        <w:rPr>
          <w:rFonts w:ascii="Consolas" w:hAnsi="Consolas"/>
          <w:color w:val="333333"/>
          <w:sz w:val="18"/>
        </w:rPr>
        <w:t xml:space="preserve">  "score_bands": {</w:t>
        <w:br/>
      </w:r>
      <w:r>
        <w:rPr>
          <w:rFonts w:ascii="Consolas" w:hAnsi="Consolas"/>
          <w:color w:val="333333"/>
          <w:sz w:val="18"/>
        </w:rPr>
        <w:t xml:space="preserve">    "low": [1, 5],</w:t>
        <w:br/>
      </w:r>
      <w:r>
        <w:rPr>
          <w:rFonts w:ascii="Consolas" w:hAnsi="Consolas"/>
          <w:color w:val="333333"/>
          <w:sz w:val="18"/>
        </w:rPr>
        <w:t xml:space="preserve">    "medium": [6, 11],</w:t>
        <w:br/>
      </w:r>
      <w:r>
        <w:rPr>
          <w:rFonts w:ascii="Consolas" w:hAnsi="Consolas"/>
          <w:color w:val="333333"/>
          <w:sz w:val="18"/>
        </w:rPr>
        <w:t xml:space="preserve">    "high": [12, 18],</w:t>
        <w:br/>
      </w:r>
      <w:r>
        <w:rPr>
          <w:rFonts w:ascii="Consolas" w:hAnsi="Consolas"/>
          <w:color w:val="333333"/>
          <w:sz w:val="18"/>
        </w:rPr>
        <w:t xml:space="preserve">    "critical": [19, 25]</w:t>
        <w:br/>
      </w:r>
      <w:r>
        <w:rPr>
          <w:rFonts w:ascii="Consolas" w:hAnsi="Consolas"/>
          <w:color w:val="333333"/>
          <w:sz w:val="18"/>
        </w:rPr>
        <w:t xml:space="preserve">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3"/>
      </w:pPr>
      <w:r>
        <w:t>6.2 Context Modifiers</w:t>
      </w:r>
    </w:p>
    <w:p>
      <w:r>
        <w:t>Context modifiers adjust raw SoD risk scores based on organizational context: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Modifier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Factor Range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Trigger</w:t>
            </w:r>
          </w:p>
        </w:tc>
      </w:tr>
      <w:tr>
        <w:tc>
          <w:tcPr>
            <w:tcW w:type="dxa" w:w="2880"/>
          </w:tcPr>
          <w:p>
            <w:r/>
            <w:r>
              <w:t>Executive user</w:t>
            </w:r>
          </w:p>
        </w:tc>
        <w:tc>
          <w:tcPr>
            <w:tcW w:type="dxa" w:w="2880"/>
          </w:tcPr>
          <w:p>
            <w:r/>
            <w:r>
              <w:t>+25%</w:t>
            </w:r>
          </w:p>
        </w:tc>
        <w:tc>
          <w:tcPr>
            <w:tcW w:type="dxa" w:w="2880"/>
          </w:tcPr>
          <w:p>
            <w:r/>
            <w:r>
              <w:t>User holds VP/Director/C-level job title</w:t>
            </w:r>
          </w:p>
        </w:tc>
      </w:tr>
      <w:tr>
        <w:tc>
          <w:tcPr>
            <w:tcW w:type="dxa" w:w="2880"/>
          </w:tcPr>
          <w:p>
            <w:r/>
            <w:r>
              <w:t>Segregated duties user</w:t>
            </w:r>
          </w:p>
        </w:tc>
        <w:tc>
          <w:tcPr>
            <w:tcW w:type="dxa" w:w="2880"/>
          </w:tcPr>
          <w:p>
            <w:r/>
            <w:r>
              <w:t>−15%</w:t>
            </w:r>
          </w:p>
        </w:tc>
        <w:tc>
          <w:tcPr>
            <w:tcW w:type="dxa" w:w="2880"/>
          </w:tcPr>
          <w:p>
            <w:r/>
            <w:r>
              <w:t>User is formally designated as a control owner for the conflicting function</w:t>
            </w:r>
          </w:p>
        </w:tc>
      </w:tr>
      <w:tr>
        <w:tc>
          <w:tcPr>
            <w:tcW w:type="dxa" w:w="2880"/>
          </w:tcPr>
          <w:p>
            <w:r/>
            <w:r>
              <w:t>Service account</w:t>
            </w:r>
          </w:p>
        </w:tc>
        <w:tc>
          <w:tcPr>
            <w:tcW w:type="dxa" w:w="2880"/>
          </w:tcPr>
          <w:p>
            <w:r/>
            <w:r>
              <w:t>−30%</w:t>
            </w:r>
          </w:p>
        </w:tc>
        <w:tc>
          <w:tcPr>
            <w:tcW w:type="dxa" w:w="2880"/>
          </w:tcPr>
          <w:p>
            <w:r/>
            <w:r>
              <w:t xml:space="preserve">User type = </w:t>
            </w:r>
            <w:r>
              <w:rPr>
                <w:rFonts w:ascii="Consolas" w:hAnsi="Consolas"/>
                <w:color w:val="1A1A2E"/>
                <w:sz w:val="18"/>
              </w:rPr>
              <w:t>service_account</w:t>
            </w:r>
            <w:r>
              <w:t xml:space="preserve"> with monitored usage policy</w:t>
            </w:r>
          </w:p>
        </w:tc>
      </w:tr>
      <w:tr>
        <w:tc>
          <w:tcPr>
            <w:tcW w:type="dxa" w:w="2880"/>
          </w:tcPr>
          <w:p>
            <w:r/>
            <w:r>
              <w:t>External contractor</w:t>
            </w:r>
          </w:p>
        </w:tc>
        <w:tc>
          <w:tcPr>
            <w:tcW w:type="dxa" w:w="2880"/>
          </w:tcPr>
          <w:p>
            <w:r/>
            <w:r>
              <w:t>+20%</w:t>
            </w:r>
          </w:p>
        </w:tc>
        <w:tc>
          <w:tcPr>
            <w:tcW w:type="dxa" w:w="2880"/>
          </w:tcPr>
          <w:p>
            <w:r/>
            <w:r>
              <w:t xml:space="preserve">User employment type = </w:t>
            </w:r>
            <w:r>
              <w:rPr>
                <w:rFonts w:ascii="Consolas" w:hAnsi="Consolas"/>
                <w:color w:val="1A1A2E"/>
                <w:sz w:val="18"/>
              </w:rPr>
              <w:t>contractor</w:t>
            </w:r>
            <w:r/>
          </w:p>
        </w:tc>
      </w:tr>
      <w:tr>
        <w:tc>
          <w:tcPr>
            <w:tcW w:type="dxa" w:w="2880"/>
          </w:tcPr>
          <w:p>
            <w:r/>
            <w:r>
              <w:t>Finance department</w:t>
            </w:r>
          </w:p>
        </w:tc>
        <w:tc>
          <w:tcPr>
            <w:tcW w:type="dxa" w:w="2880"/>
          </w:tcPr>
          <w:p>
            <w:r/>
            <w:r>
              <w:t>+10%</w:t>
            </w:r>
          </w:p>
        </w:tc>
        <w:tc>
          <w:tcPr>
            <w:tcW w:type="dxa" w:w="2880"/>
          </w:tcPr>
          <w:p>
            <w:r/>
            <w:r>
              <w:t>User department code matches finance org units</w:t>
            </w:r>
          </w:p>
        </w:tc>
      </w:tr>
      <w:tr>
        <w:tc>
          <w:tcPr>
            <w:tcW w:type="dxa" w:w="2880"/>
          </w:tcPr>
          <w:p>
            <w:r/>
            <w:r>
              <w:t>HR department</w:t>
            </w:r>
          </w:p>
        </w:tc>
        <w:tc>
          <w:tcPr>
            <w:tcW w:type="dxa" w:w="2880"/>
          </w:tcPr>
          <w:p>
            <w:r/>
            <w:r>
              <w:t>+15%</w:t>
            </w:r>
          </w:p>
        </w:tc>
        <w:tc>
          <w:tcPr>
            <w:tcW w:type="dxa" w:w="2880"/>
          </w:tcPr>
          <w:p>
            <w:r/>
            <w:r>
              <w:t>User department code matches HR org units</w:t>
            </w:r>
          </w:p>
        </w:tc>
      </w:tr>
    </w:tbl>
    <w:p/>
    <w:p>
      <w:pPr>
        <w:pStyle w:val="Heading3"/>
      </w:pPr>
      <w:r>
        <w:t>6.3 Usage Modifiers</w:t>
      </w:r>
    </w:p>
    <w:p>
      <w:r>
        <w:t>Usage modifiers lower risk scores for access that is assigned but demonstrably unused: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Modifier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Condition</w:t>
            </w:r>
          </w:p>
        </w:tc>
      </w:tr>
      <w:tr>
        <w:tc>
          <w:tcPr>
            <w:tcW w:type="dxa" w:w="2880"/>
          </w:tcPr>
          <w:p>
            <w:r/>
            <w:r>
              <w:t>Never used (180+ days)</w:t>
            </w:r>
          </w:p>
        </w:tc>
        <w:tc>
          <w:tcPr>
            <w:tcW w:type="dxa" w:w="2880"/>
          </w:tcPr>
          <w:p>
            <w:r/>
            <w:r>
              <w:t>−50%</w:t>
            </w:r>
          </w:p>
        </w:tc>
        <w:tc>
          <w:tcPr>
            <w:tcW w:type="dxa" w:w="2880"/>
          </w:tcPr>
          <w:p>
            <w:r/>
            <w:r>
              <w:t>No SM20 usage recorded in 180 days</w:t>
            </w:r>
          </w:p>
        </w:tc>
      </w:tr>
      <w:tr>
        <w:tc>
          <w:tcPr>
            <w:tcW w:type="dxa" w:w="2880"/>
          </w:tcPr>
          <w:p>
            <w:r/>
            <w:r>
              <w:t>Rarely used (30–180 days)</w:t>
            </w:r>
          </w:p>
        </w:tc>
        <w:tc>
          <w:tcPr>
            <w:tcW w:type="dxa" w:w="2880"/>
          </w:tcPr>
          <w:p>
            <w:r/>
            <w:r>
              <w:t>−20%</w:t>
            </w:r>
          </w:p>
        </w:tc>
        <w:tc>
          <w:tcPr>
            <w:tcW w:type="dxa" w:w="2880"/>
          </w:tcPr>
          <w:p>
            <w:r/>
            <w:r>
              <w:t>Last usage 30–180 days ago</w:t>
            </w:r>
          </w:p>
        </w:tc>
      </w:tr>
      <w:tr>
        <w:tc>
          <w:tcPr>
            <w:tcW w:type="dxa" w:w="2880"/>
          </w:tcPr>
          <w:p>
            <w:r/>
            <w:r>
              <w:t>Actively used</w:t>
            </w:r>
          </w:p>
        </w:tc>
        <w:tc>
          <w:tcPr>
            <w:tcW w:type="dxa" w:w="2880"/>
          </w:tcPr>
          <w:p>
            <w:r/>
            <w:r>
              <w:t>+0%</w:t>
            </w:r>
          </w:p>
        </w:tc>
        <w:tc>
          <w:tcPr>
            <w:tcW w:type="dxa" w:w="2880"/>
          </w:tcPr>
          <w:p>
            <w:r/>
            <w:r>
              <w:t>Usage within the last 30 days</w:t>
            </w:r>
          </w:p>
        </w:tc>
      </w:tr>
      <w:tr>
        <w:tc>
          <w:tcPr>
            <w:tcW w:type="dxa" w:w="2880"/>
          </w:tcPr>
          <w:p>
            <w:r/>
            <w:r>
              <w:t>High-frequency use</w:t>
            </w:r>
          </w:p>
        </w:tc>
        <w:tc>
          <w:tcPr>
            <w:tcW w:type="dxa" w:w="2880"/>
          </w:tcPr>
          <w:p>
            <w:r/>
            <w:r>
              <w:t>+15%</w:t>
            </w:r>
          </w:p>
        </w:tc>
        <w:tc>
          <w:tcPr>
            <w:tcW w:type="dxa" w:w="2880"/>
          </w:tcPr>
          <w:p>
            <w:r/>
            <w:r>
              <w:t>Transaction used more than 20× in the last 30 days</w:t>
            </w:r>
          </w:p>
        </w:tc>
      </w:tr>
    </w:tbl>
    <w:p/>
    <w:p>
      <w:r>
        <w:t>Usage modifier configuration: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"usage_scoring": {</w:t>
        <w:br/>
      </w:r>
      <w:r>
        <w:rPr>
          <w:rFonts w:ascii="Consolas" w:hAnsi="Consolas"/>
          <w:color w:val="333333"/>
          <w:sz w:val="18"/>
        </w:rPr>
        <w:t xml:space="preserve">    "enabled": true,</w:t>
        <w:br/>
      </w:r>
      <w:r>
        <w:rPr>
          <w:rFonts w:ascii="Consolas" w:hAnsi="Consolas"/>
          <w:color w:val="333333"/>
          <w:sz w:val="18"/>
        </w:rPr>
        <w:t xml:space="preserve">    "lookback_days": 180,</w:t>
        <w:br/>
      </w:r>
      <w:r>
        <w:rPr>
          <w:rFonts w:ascii="Consolas" w:hAnsi="Consolas"/>
          <w:color w:val="333333"/>
          <w:sz w:val="18"/>
        </w:rPr>
        <w:t xml:space="preserve">    "never_used_threshold_days": 180,</w:t>
        <w:br/>
      </w:r>
      <w:r>
        <w:rPr>
          <w:rFonts w:ascii="Consolas" w:hAnsi="Consolas"/>
          <w:color w:val="333333"/>
          <w:sz w:val="18"/>
        </w:rPr>
        <w:t xml:space="preserve">    "rarely_used_threshold_days": 30,</w:t>
        <w:br/>
      </w:r>
      <w:r>
        <w:rPr>
          <w:rFonts w:ascii="Consolas" w:hAnsi="Consolas"/>
          <w:color w:val="333333"/>
          <w:sz w:val="18"/>
        </w:rPr>
        <w:t xml:space="preserve">    "high_frequency_threshold_count": 20</w:t>
        <w:br/>
      </w:r>
      <w:r>
        <w:rPr>
          <w:rFonts w:ascii="Consolas" w:hAnsi="Consolas"/>
          <w:color w:val="333333"/>
          <w:sz w:val="18"/>
        </w:rPr>
        <w:t xml:space="preserve">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3"/>
      </w:pPr>
      <w:r>
        <w:t>6.4 Risk Appetite and Tolerance Thresholds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risk_appetite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medium</w:t>
            </w:r>
            <w:r/>
          </w:p>
        </w:tc>
        <w:tc>
          <w:tcPr>
            <w:tcW w:type="dxa" w:w="2880"/>
          </w:tcPr>
          <w:p>
            <w:r/>
            <w:r>
              <w:t xml:space="preserve">Organization-level risk appetite declaration. Values: </w:t>
            </w:r>
            <w:r>
              <w:rPr>
                <w:rFonts w:ascii="Consolas" w:hAnsi="Consolas"/>
                <w:color w:val="1A1A2E"/>
                <w:sz w:val="18"/>
              </w:rPr>
              <w:t>zero_tolerance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low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medium</w:t>
            </w:r>
            <w: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high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tolerance_threshold_score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70</w:t>
            </w:r>
            <w:r/>
          </w:p>
        </w:tc>
        <w:tc>
          <w:tcPr>
            <w:tcW w:type="dxa" w:w="2880"/>
          </w:tcPr>
          <w:p>
            <w:r/>
            <w:r>
              <w:t>Risk scores above this threshold require mandatory mitigation or exception approval.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auto_escalate_threshold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85</w:t>
            </w:r>
            <w:r/>
          </w:p>
        </w:tc>
        <w:tc>
          <w:tcPr>
            <w:tcW w:type="dxa" w:w="2880"/>
          </w:tcPr>
          <w:p>
            <w:r/>
            <w:r>
              <w:t>Risk scores above this trigger immediate escalation to the risk manager.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acceptable_without_review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30</w:t>
            </w:r>
            <w:r/>
          </w:p>
        </w:tc>
        <w:tc>
          <w:tcPr>
            <w:tcW w:type="dxa" w:w="2880"/>
          </w:tcPr>
          <w:p>
            <w:r/>
            <w:r>
              <w:t>Risk scores at or below this are automatically accepted without review.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review_period_days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90</w:t>
            </w:r>
            <w:r/>
          </w:p>
        </w:tc>
        <w:tc>
          <w:tcPr>
            <w:tcW w:type="dxa" w:w="2880"/>
          </w:tcPr>
          <w:p>
            <w:r/>
            <w:r>
              <w:t>Accepted risks must be reviewed every N days.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7. CCM Rule Configuration</w:t>
      </w:r>
    </w:p>
    <w:p>
      <w:pPr>
        <w:pStyle w:val="Heading3"/>
      </w:pPr>
      <w:r>
        <w:t>7.1 Continuous Control Monitoring Rule Types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Rule 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/>
            <w:r>
              <w:t>Threshold Breach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threshold</w:t>
            </w:r>
            <w:r/>
          </w:p>
        </w:tc>
        <w:tc>
          <w:tcPr>
            <w:tcW w:type="dxa" w:w="2160"/>
          </w:tcPr>
          <w:p>
            <w:r/>
            <w:r>
              <w:t>Triggers when a numeric value exceeds a defined limit.</w:t>
            </w:r>
          </w:p>
        </w:tc>
        <w:tc>
          <w:tcPr>
            <w:tcW w:type="dxa" w:w="2160"/>
          </w:tcPr>
          <w:p>
            <w:r/>
            <w:r>
              <w:t>Payment &gt; $1,000,000 without dual authorization.</w:t>
            </w:r>
          </w:p>
        </w:tc>
      </w:tr>
      <w:tr>
        <w:tc>
          <w:tcPr>
            <w:tcW w:type="dxa" w:w="2160"/>
          </w:tcPr>
          <w:p>
            <w:r/>
            <w:r>
              <w:t>Frequency Anomaly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frequency</w:t>
            </w:r>
            <w:r/>
          </w:p>
        </w:tc>
        <w:tc>
          <w:tcPr>
            <w:tcW w:type="dxa" w:w="2160"/>
          </w:tcPr>
          <w:p>
            <w:r/>
            <w:r>
              <w:t>Triggers when an action occurs more frequently than expected.</w:t>
            </w:r>
          </w:p>
        </w:tc>
        <w:tc>
          <w:tcPr>
            <w:tcW w:type="dxa" w:w="2160"/>
          </w:tcPr>
          <w:p>
            <w:r/>
            <w:r>
              <w:t>&gt;10 user creations per day.</w:t>
            </w:r>
          </w:p>
        </w:tc>
      </w:tr>
      <w:tr>
        <w:tc>
          <w:tcPr>
            <w:tcW w:type="dxa" w:w="2160"/>
          </w:tcPr>
          <w:p>
            <w:r/>
            <w:r>
              <w:t>Pattern Match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pattern</w:t>
            </w:r>
            <w:r/>
          </w:p>
        </w:tc>
        <w:tc>
          <w:tcPr>
            <w:tcW w:type="dxa" w:w="2160"/>
          </w:tcPr>
          <w:p>
            <w:r/>
            <w:r>
              <w:t>Triggers when data matches a defined pattern or regular expression.</w:t>
            </w:r>
          </w:p>
        </w:tc>
        <w:tc>
          <w:tcPr>
            <w:tcW w:type="dxa" w:w="2160"/>
          </w:tcPr>
          <w:p>
            <w:r/>
            <w:r>
              <w:t>Vendor bank account changed within 24h of new payment.</w:t>
            </w:r>
          </w:p>
        </w:tc>
      </w:tr>
      <w:tr>
        <w:tc>
          <w:tcPr>
            <w:tcW w:type="dxa" w:w="2160"/>
          </w:tcPr>
          <w:p>
            <w:r/>
            <w:r>
              <w:t>Segregation Check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segregation</w:t>
            </w:r>
            <w:r/>
          </w:p>
        </w:tc>
        <w:tc>
          <w:tcPr>
            <w:tcW w:type="dxa" w:w="2160"/>
          </w:tcPr>
          <w:p>
            <w:r/>
            <w:r>
              <w:t>Triggers when a single user performs both sides of a controlled process.</w:t>
            </w:r>
          </w:p>
        </w:tc>
        <w:tc>
          <w:tcPr>
            <w:tcW w:type="dxa" w:w="2160"/>
          </w:tcPr>
          <w:p>
            <w:r/>
            <w:r>
              <w:t>Same user approved and posted a journal entry.</w:t>
            </w:r>
          </w:p>
        </w:tc>
      </w:tr>
      <w:tr>
        <w:tc>
          <w:tcPr>
            <w:tcW w:type="dxa" w:w="2160"/>
          </w:tcPr>
          <w:p>
            <w:r/>
            <w:r>
              <w:t>Time-Based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time_window</w:t>
            </w:r>
            <w:r/>
          </w:p>
        </w:tc>
        <w:tc>
          <w:tcPr>
            <w:tcW w:type="dxa" w:w="2160"/>
          </w:tcPr>
          <w:p>
            <w:r/>
            <w:r>
              <w:t>Triggers when actions occur outside approved time windows.</w:t>
            </w:r>
          </w:p>
        </w:tc>
        <w:tc>
          <w:tcPr>
            <w:tcW w:type="dxa" w:w="2160"/>
          </w:tcPr>
          <w:p>
            <w:r/>
            <w:r>
              <w:t>Payroll posting after 18:00 on a non-business day.</w:t>
            </w:r>
          </w:p>
        </w:tc>
      </w:tr>
      <w:tr>
        <w:tc>
          <w:tcPr>
            <w:tcW w:type="dxa" w:w="2160"/>
          </w:tcPr>
          <w:p>
            <w:r/>
            <w:r>
              <w:t>Value Comparison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comparison</w:t>
            </w:r>
            <w:r/>
          </w:p>
        </w:tc>
        <w:tc>
          <w:tcPr>
            <w:tcW w:type="dxa" w:w="2160"/>
          </w:tcPr>
          <w:p>
            <w:r/>
            <w:r>
              <w:t>Triggers when a field value deviates from a reference value by more than a threshold.</w:t>
            </w:r>
          </w:p>
        </w:tc>
        <w:tc>
          <w:tcPr>
            <w:tcW w:type="dxa" w:w="2160"/>
          </w:tcPr>
          <w:p>
            <w:r/>
            <w:r>
              <w:t>Invoice amount exceeds PO by &gt;5%.</w:t>
            </w:r>
          </w:p>
        </w:tc>
      </w:tr>
      <w:tr>
        <w:tc>
          <w:tcPr>
            <w:tcW w:type="dxa" w:w="2160"/>
          </w:tcPr>
          <w:p>
            <w:r/>
            <w:r>
              <w:t>Absence Check</w:t>
            </w:r>
          </w:p>
        </w:tc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absence</w:t>
            </w:r>
            <w:r/>
          </w:p>
        </w:tc>
        <w:tc>
          <w:tcPr>
            <w:tcW w:type="dxa" w:w="2160"/>
          </w:tcPr>
          <w:p>
            <w:r/>
            <w:r>
              <w:t>Triggers when an expected action did NOT occur within a time window.</w:t>
            </w:r>
          </w:p>
        </w:tc>
        <w:tc>
          <w:tcPr>
            <w:tcW w:type="dxa" w:w="2160"/>
          </w:tcPr>
          <w:p>
            <w:r/>
            <w:r>
              <w:t>Period-end reconciliation not completed within 3 days of month-end.</w:t>
            </w:r>
          </w:p>
        </w:tc>
      </w:tr>
    </w:tbl>
    <w:p/>
    <w:p>
      <w:pPr>
        <w:pStyle w:val="Heading3"/>
      </w:pPr>
      <w:r>
        <w:t>7.2 CCM Rule Schema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"rule_id": "CCM-FI-001",</w:t>
        <w:br/>
      </w:r>
      <w:r>
        <w:rPr>
          <w:rFonts w:ascii="Consolas" w:hAnsi="Consolas"/>
          <w:color w:val="333333"/>
          <w:sz w:val="18"/>
        </w:rPr>
        <w:t xml:space="preserve">  "rule_name": "High-Value Payment Without Dual Control",</w:t>
        <w:br/>
      </w:r>
      <w:r>
        <w:rPr>
          <w:rFonts w:ascii="Consolas" w:hAnsi="Consolas"/>
          <w:color w:val="333333"/>
          <w:sz w:val="18"/>
        </w:rPr>
        <w:t xml:space="preserve">  "rule_type": "threshold",</w:t>
        <w:br/>
      </w:r>
      <w:r>
        <w:rPr>
          <w:rFonts w:ascii="Consolas" w:hAnsi="Consolas"/>
          <w:color w:val="333333"/>
          <w:sz w:val="18"/>
        </w:rPr>
        <w:t xml:space="preserve">  "category": "FI",</w:t>
        <w:br/>
      </w:r>
      <w:r>
        <w:rPr>
          <w:rFonts w:ascii="Consolas" w:hAnsi="Consolas"/>
          <w:color w:val="333333"/>
          <w:sz w:val="18"/>
        </w:rPr>
        <w:t xml:space="preserve">  "severity": "critical",</w:t>
        <w:br/>
      </w:r>
      <w:r>
        <w:rPr>
          <w:rFonts w:ascii="Consolas" w:hAnsi="Consolas"/>
          <w:color w:val="333333"/>
          <w:sz w:val="18"/>
        </w:rPr>
        <w:t xml:space="preserve">  "description": "Detects outgoing payments above threshold that were not dual-authorized",</w:t>
        <w:br/>
      </w:r>
      <w:r>
        <w:rPr>
          <w:rFonts w:ascii="Consolas" w:hAnsi="Consolas"/>
          <w:color w:val="333333"/>
          <w:sz w:val="18"/>
        </w:rPr>
        <w:t xml:space="preserve">  "data_source": "sap_fi_documents",</w:t>
        <w:br/>
      </w:r>
      <w:r>
        <w:rPr>
          <w:rFonts w:ascii="Consolas" w:hAnsi="Consolas"/>
          <w:color w:val="333333"/>
          <w:sz w:val="18"/>
        </w:rPr>
        <w:t xml:space="preserve">  "query_template": "SELECT * FROM fi_payment_docs WHERE amount &gt; {threshold} AND approval_count &lt; 2",</w:t>
        <w:br/>
      </w:r>
      <w:r>
        <w:rPr>
          <w:rFonts w:ascii="Consolas" w:hAnsi="Consolas"/>
          <w:color w:val="333333"/>
          <w:sz w:val="18"/>
        </w:rPr>
        <w:t xml:space="preserve">  "parameters": {</w:t>
        <w:br/>
      </w:r>
      <w:r>
        <w:rPr>
          <w:rFonts w:ascii="Consolas" w:hAnsi="Consolas"/>
          <w:color w:val="333333"/>
          <w:sz w:val="18"/>
        </w:rPr>
        <w:t xml:space="preserve">    "threshold": 100000</w:t>
        <w:br/>
      </w:r>
      <w:r>
        <w:rPr>
          <w:rFonts w:ascii="Consolas" w:hAnsi="Consolas"/>
          <w:color w:val="333333"/>
          <w:sz w:val="18"/>
        </w:rPr>
        <w:t xml:space="preserve">  },</w:t>
        <w:br/>
      </w:r>
      <w:r>
        <w:rPr>
          <w:rFonts w:ascii="Consolas" w:hAnsi="Consolas"/>
          <w:color w:val="333333"/>
          <w:sz w:val="18"/>
        </w:rPr>
        <w:t xml:space="preserve">  "schedule": "*/15 * * * *",</w:t>
        <w:br/>
      </w:r>
      <w:r>
        <w:rPr>
          <w:rFonts w:ascii="Consolas" w:hAnsi="Consolas"/>
          <w:color w:val="333333"/>
          <w:sz w:val="18"/>
        </w:rPr>
        <w:t xml:space="preserve">  "deficiency_threshold": 1,</w:t>
        <w:br/>
      </w:r>
      <w:r>
        <w:rPr>
          <w:rFonts w:ascii="Consolas" w:hAnsi="Consolas"/>
          <w:color w:val="333333"/>
          <w:sz w:val="18"/>
        </w:rPr>
        <w:t xml:space="preserve">  "auto_create_finding": true,</w:t>
        <w:br/>
      </w:r>
      <w:r>
        <w:rPr>
          <w:rFonts w:ascii="Consolas" w:hAnsi="Consolas"/>
          <w:color w:val="333333"/>
          <w:sz w:val="18"/>
        </w:rPr>
        <w:t xml:space="preserve">  "finding_severity": "high",</w:t>
        <w:br/>
      </w:r>
      <w:r>
        <w:rPr>
          <w:rFonts w:ascii="Consolas" w:hAnsi="Consolas"/>
          <w:color w:val="333333"/>
          <w:sz w:val="18"/>
        </w:rPr>
        <w:t xml:space="preserve">  "owner_role": "control_owner",</w:t>
        <w:br/>
      </w:r>
      <w:r>
        <w:rPr>
          <w:rFonts w:ascii="Consolas" w:hAnsi="Consolas"/>
          <w:color w:val="333333"/>
          <w:sz w:val="18"/>
        </w:rPr>
        <w:t xml:space="preserve">  "remediation_sla_days": 5,</w:t>
        <w:br/>
      </w:r>
      <w:r>
        <w:rPr>
          <w:rFonts w:ascii="Consolas" w:hAnsi="Consolas"/>
          <w:color w:val="333333"/>
          <w:sz w:val="18"/>
        </w:rPr>
        <w:t xml:space="preserve">  "active": true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3"/>
      </w:pPr>
      <w:r>
        <w:t>7.3 Scheduling Frequency</w:t>
      </w:r>
    </w:p>
    <w:p>
      <w:r>
        <w:t>CCM rules can be scheduled using standard cron syntax or frequency shortcuts: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Shortcut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Cron Expression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real_time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* * * * *</w:t>
            </w:r>
            <w:r/>
          </w:p>
        </w:tc>
        <w:tc>
          <w:tcPr>
            <w:tcW w:type="dxa" w:w="2880"/>
          </w:tcPr>
          <w:p>
            <w:r/>
            <w:r>
              <w:t>Every minute (near-real-time).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every_15_min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*/15 * * * *</w:t>
            </w:r>
            <w:r/>
          </w:p>
        </w:tc>
        <w:tc>
          <w:tcPr>
            <w:tcW w:type="dxa" w:w="2880"/>
          </w:tcPr>
          <w:p>
            <w:r/>
            <w:r>
              <w:t>Every 15 minutes.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hourly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0 * * * *</w:t>
            </w:r>
            <w:r/>
          </w:p>
        </w:tc>
        <w:tc>
          <w:tcPr>
            <w:tcW w:type="dxa" w:w="2880"/>
          </w:tcPr>
          <w:p>
            <w:r/>
            <w:r>
              <w:t>Top of every hour.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daily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0 6 * * *</w:t>
            </w:r>
            <w:r/>
          </w:p>
        </w:tc>
        <w:tc>
          <w:tcPr>
            <w:tcW w:type="dxa" w:w="2880"/>
          </w:tcPr>
          <w:p>
            <w:r/>
            <w:r>
              <w:t>Daily at 06:00.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weekly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0 6 * * 1</w:t>
            </w:r>
            <w:r/>
          </w:p>
        </w:tc>
        <w:tc>
          <w:tcPr>
            <w:tcW w:type="dxa" w:w="2880"/>
          </w:tcPr>
          <w:p>
            <w:r/>
            <w:r>
              <w:t>Weekly on Monday at 06:00.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month_end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0 6 28-31 * *</w:t>
            </w:r>
            <w:r/>
          </w:p>
        </w:tc>
        <w:tc>
          <w:tcPr>
            <w:tcW w:type="dxa" w:w="2880"/>
          </w:tcPr>
          <w:p>
            <w:r/>
            <w:r>
              <w:t>Daily during last 4 days of each month.</w:t>
            </w:r>
          </w:p>
        </w:tc>
      </w:tr>
    </w:tbl>
    <w:p/>
    <w:p>
      <w:pPr>
        <w:pStyle w:val="Heading3"/>
      </w:pPr>
      <w:r>
        <w:t>7.4 Auto-Deficiency Thresholds</w:t>
      </w:r>
    </w:p>
    <w:p>
      <w:r>
        <w:t xml:space="preserve">When a CCM rule fires more than </w:t>
      </w:r>
      <w:r>
        <w:rPr>
          <w:rFonts w:ascii="Consolas" w:hAnsi="Consolas"/>
          <w:color w:val="1A1A2E"/>
          <w:sz w:val="18"/>
        </w:rPr>
        <w:t>deficiency_threshold</w:t>
      </w:r>
      <w:r>
        <w:t xml:space="preserve"> times within </w:t>
      </w:r>
      <w:r>
        <w:rPr>
          <w:rFonts w:ascii="Consolas" w:hAnsi="Consolas"/>
          <w:color w:val="1A1A2E"/>
          <w:sz w:val="18"/>
        </w:rPr>
        <w:t>deficiency_window_hours</w:t>
      </w:r>
      <w:r>
        <w:t>, the system automatically creates a control deficiency record: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"deficiency_auto_creation": {</w:t>
        <w:br/>
      </w:r>
      <w:r>
        <w:rPr>
          <w:rFonts w:ascii="Consolas" w:hAnsi="Consolas"/>
          <w:color w:val="333333"/>
          <w:sz w:val="18"/>
        </w:rPr>
        <w:t xml:space="preserve">    "enabled": true,</w:t>
        <w:br/>
      </w:r>
      <w:r>
        <w:rPr>
          <w:rFonts w:ascii="Consolas" w:hAnsi="Consolas"/>
          <w:color w:val="333333"/>
          <w:sz w:val="18"/>
        </w:rPr>
        <w:t xml:space="preserve">    "deficiency_threshold": 3,</w:t>
        <w:br/>
      </w:r>
      <w:r>
        <w:rPr>
          <w:rFonts w:ascii="Consolas" w:hAnsi="Consolas"/>
          <w:color w:val="333333"/>
          <w:sz w:val="18"/>
        </w:rPr>
        <w:t xml:space="preserve">    "deficiency_window_hours": 24,</w:t>
        <w:br/>
      </w:r>
      <w:r>
        <w:rPr>
          <w:rFonts w:ascii="Consolas" w:hAnsi="Consolas"/>
          <w:color w:val="333333"/>
          <w:sz w:val="18"/>
        </w:rPr>
        <w:t xml:space="preserve">    "auto_assign_owner": true,</w:t>
        <w:br/>
      </w:r>
      <w:r>
        <w:rPr>
          <w:rFonts w:ascii="Consolas" w:hAnsi="Consolas"/>
          <w:color w:val="333333"/>
          <w:sz w:val="18"/>
        </w:rPr>
        <w:t xml:space="preserve">    "default_owner_role": "control_owner",</w:t>
        <w:br/>
      </w:r>
      <w:r>
        <w:rPr>
          <w:rFonts w:ascii="Consolas" w:hAnsi="Consolas"/>
          <w:color w:val="333333"/>
          <w:sz w:val="18"/>
        </w:rPr>
        <w:t xml:space="preserve">    "severity_escalation_on_repeat": true,</w:t>
        <w:br/>
      </w:r>
      <w:r>
        <w:rPr>
          <w:rFonts w:ascii="Consolas" w:hAnsi="Consolas"/>
          <w:color w:val="333333"/>
          <w:sz w:val="18"/>
        </w:rPr>
        <w:t xml:space="preserve">    "repeat_threshold": 5</w:t>
        <w:br/>
      </w:r>
      <w:r>
        <w:rPr>
          <w:rFonts w:ascii="Consolas" w:hAnsi="Consolas"/>
          <w:color w:val="333333"/>
          <w:sz w:val="18"/>
        </w:rPr>
        <w:t xml:space="preserve">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8. Report Configuration</w:t>
      </w:r>
    </w:p>
    <w:p>
      <w:pPr>
        <w:pStyle w:val="Heading3"/>
      </w:pPr>
      <w:r>
        <w:t>8.1 PDF Templates</w:t>
      </w:r>
    </w:p>
    <w:p>
      <w:r>
        <w:t xml:space="preserve">PDF reports are generated using </w:t>
      </w:r>
      <w:r>
        <w:rPr>
          <w:rFonts w:ascii="Consolas" w:hAnsi="Consolas"/>
          <w:color w:val="1A1A2E"/>
          <w:sz w:val="18"/>
        </w:rPr>
        <w:t>WeasyPrint</w:t>
      </w:r>
      <w:r>
        <w:t xml:space="preserve"> with Jinja2 HTML templates. Template files are located in </w:t>
      </w:r>
      <w:r>
        <w:rPr>
          <w:rFonts w:ascii="Consolas" w:hAnsi="Consolas"/>
          <w:color w:val="1A1A2E"/>
          <w:sz w:val="18"/>
        </w:rPr>
        <w:t>core/export/templates/pdf/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Report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Template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Sections</w:t>
            </w:r>
          </w:p>
        </w:tc>
      </w:tr>
      <w:tr>
        <w:tc>
          <w:tcPr>
            <w:tcW w:type="dxa" w:w="2880"/>
          </w:tcPr>
          <w:p>
            <w:r/>
            <w:r>
              <w:t>SoD Violation Summary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sod_violation_report.html</w:t>
            </w:r>
            <w:r/>
          </w:p>
        </w:tc>
        <w:tc>
          <w:tcPr>
            <w:tcW w:type="dxa" w:w="2880"/>
          </w:tcPr>
          <w:p>
            <w:r/>
            <w:r>
              <w:t>Executive summary, violation table, heat map, mitigation status</w:t>
            </w:r>
          </w:p>
        </w:tc>
      </w:tr>
      <w:tr>
        <w:tc>
          <w:tcPr>
            <w:tcW w:type="dxa" w:w="2880"/>
          </w:tcPr>
          <w:p>
            <w:r/>
            <w:r>
              <w:t>User Access Review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user_access_review.html</w:t>
            </w:r>
            <w:r/>
          </w:p>
        </w:tc>
        <w:tc>
          <w:tcPr>
            <w:tcW w:type="dxa" w:w="2880"/>
          </w:tcPr>
          <w:p>
            <w:r/>
            <w:r>
              <w:t>User list, role matrix, last login, usage analysis</w:t>
            </w:r>
          </w:p>
        </w:tc>
      </w:tr>
      <w:tr>
        <w:tc>
          <w:tcPr>
            <w:tcW w:type="dxa" w:w="2880"/>
          </w:tcPr>
          <w:p>
            <w:r/>
            <w:r>
              <w:t>Firefighter Activity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firefighter_activity_report.html</w:t>
            </w:r>
            <w:r/>
          </w:p>
        </w:tc>
        <w:tc>
          <w:tcPr>
            <w:tcW w:type="dxa" w:w="2880"/>
          </w:tcPr>
          <w:p>
            <w:r/>
            <w:r>
              <w:t>Session log, tcode activity, reviewer sign-off</w:t>
            </w:r>
          </w:p>
        </w:tc>
      </w:tr>
      <w:tr>
        <w:tc>
          <w:tcPr>
            <w:tcW w:type="dxa" w:w="2880"/>
          </w:tcPr>
          <w:p>
            <w:r/>
            <w:r>
              <w:t>Risk Assessment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risk_assessment_report.html</w:t>
            </w:r>
            <w:r/>
          </w:p>
        </w:tc>
        <w:tc>
          <w:tcPr>
            <w:tcW w:type="dxa" w:w="2880"/>
          </w:tcPr>
          <w:p>
            <w:r/>
            <w:r>
              <w:t>Risk register, scores, trend chart, appetite comparison</w:t>
            </w:r>
          </w:p>
        </w:tc>
      </w:tr>
      <w:tr>
        <w:tc>
          <w:tcPr>
            <w:tcW w:type="dxa" w:w="2880"/>
          </w:tcPr>
          <w:p>
            <w:r/>
            <w:r>
              <w:t>Audit Evidence Package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audit_evidence_package.html</w:t>
            </w:r>
            <w:r/>
          </w:p>
        </w:tc>
        <w:tc>
          <w:tcPr>
            <w:tcW w:type="dxa" w:w="2880"/>
          </w:tcPr>
          <w:p>
            <w:r/>
            <w:r>
              <w:t>Control listing, evidence attachments, completeness score</w:t>
            </w:r>
          </w:p>
        </w:tc>
      </w:tr>
      <w:tr>
        <w:tc>
          <w:tcPr>
            <w:tcW w:type="dxa" w:w="2880"/>
          </w:tcPr>
          <w:p>
            <w:r/>
            <w:r>
              <w:t>Certification Results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certification_results.html</w:t>
            </w:r>
            <w:r/>
          </w:p>
        </w:tc>
        <w:tc>
          <w:tcPr>
            <w:tcW w:type="dxa" w:w="2880"/>
          </w:tcPr>
          <w:p>
            <w:r/>
            <w:r>
              <w:t>Campaign summary, certifier actions, revocation list</w:t>
            </w:r>
          </w:p>
        </w:tc>
      </w:tr>
    </w:tbl>
    <w:p/>
    <w:p>
      <w:r>
        <w:t>PDF branding configuration: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"pdf_branding": {</w:t>
        <w:br/>
      </w:r>
      <w:r>
        <w:rPr>
          <w:rFonts w:ascii="Consolas" w:hAnsi="Consolas"/>
          <w:color w:val="333333"/>
          <w:sz w:val="18"/>
        </w:rPr>
        <w:t xml:space="preserve">    "logo_path": "/static/brand/logo.png",</w:t>
        <w:br/>
      </w:r>
      <w:r>
        <w:rPr>
          <w:rFonts w:ascii="Consolas" w:hAnsi="Consolas"/>
          <w:color w:val="333333"/>
          <w:sz w:val="18"/>
        </w:rPr>
        <w:t xml:space="preserve">    "primary_color": "#6366f1",</w:t>
        <w:br/>
      </w:r>
      <w:r>
        <w:rPr>
          <w:rFonts w:ascii="Consolas" w:hAnsi="Consolas"/>
          <w:color w:val="333333"/>
          <w:sz w:val="18"/>
        </w:rPr>
        <w:t xml:space="preserve">    "secondary_color": "#1e1b4b",</w:t>
        <w:br/>
      </w:r>
      <w:r>
        <w:rPr>
          <w:rFonts w:ascii="Consolas" w:hAnsi="Consolas"/>
          <w:color w:val="333333"/>
          <w:sz w:val="18"/>
        </w:rPr>
        <w:t xml:space="preserve">    "font_family": "Inter",</w:t>
        <w:br/>
      </w:r>
      <w:r>
        <w:rPr>
          <w:rFonts w:ascii="Consolas" w:hAnsi="Consolas"/>
          <w:color w:val="333333"/>
          <w:sz w:val="18"/>
        </w:rPr>
        <w:t xml:space="preserve">    "header_text": "GovernexPlus GRC Platform",</w:t>
        <w:br/>
      </w:r>
      <w:r>
        <w:rPr>
          <w:rFonts w:ascii="Consolas" w:hAnsi="Consolas"/>
          <w:color w:val="333333"/>
          <w:sz w:val="18"/>
        </w:rPr>
        <w:t xml:space="preserve">    "footer_text": "CONFIDENTIAL — {tenant_name} — Generated {date}",</w:t>
        <w:br/>
      </w:r>
      <w:r>
        <w:rPr>
          <w:rFonts w:ascii="Consolas" w:hAnsi="Consolas"/>
          <w:color w:val="333333"/>
          <w:sz w:val="18"/>
        </w:rPr>
        <w:t xml:space="preserve">    "watermark_text": null</w:t>
        <w:br/>
      </w:r>
      <w:r>
        <w:rPr>
          <w:rFonts w:ascii="Consolas" w:hAnsi="Consolas"/>
          <w:color w:val="333333"/>
          <w:sz w:val="18"/>
        </w:rPr>
        <w:t xml:space="preserve">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3"/>
      </w:pPr>
      <w:r>
        <w:t>8.2 PPTX Branding</w:t>
      </w:r>
    </w:p>
    <w:p>
      <w:r>
        <w:t xml:space="preserve">PowerPoint executive summary reports are generated using </w:t>
      </w:r>
      <w:r>
        <w:rPr>
          <w:rFonts w:ascii="Consolas" w:hAnsi="Consolas"/>
          <w:color w:val="1A1A2E"/>
          <w:sz w:val="18"/>
        </w:rPr>
        <w:t>python-pptx</w:t>
      </w:r>
      <w:r>
        <w:t xml:space="preserve">. Template </w:t>
      </w:r>
      <w:r>
        <w:rPr>
          <w:rFonts w:ascii="Consolas" w:hAnsi="Consolas"/>
          <w:color w:val="1A1A2E"/>
          <w:sz w:val="18"/>
        </w:rPr>
        <w:t>.pptx</w:t>
      </w:r>
      <w:r>
        <w:t xml:space="preserve"> files are stored in </w:t>
      </w:r>
      <w:r>
        <w:rPr>
          <w:rFonts w:ascii="Consolas" w:hAnsi="Consolas"/>
          <w:color w:val="1A1A2E"/>
          <w:sz w:val="18"/>
        </w:rPr>
        <w:t>core/export/templates/pptx/</w:t>
      </w:r>
      <w:r>
        <w:t>. Branding is applied at render time: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"pptx_branding": {</w:t>
        <w:br/>
      </w:r>
      <w:r>
        <w:rPr>
          <w:rFonts w:ascii="Consolas" w:hAnsi="Consolas"/>
          <w:color w:val="333333"/>
          <w:sz w:val="18"/>
        </w:rPr>
        <w:t xml:space="preserve">    "template_path": "/static/brand/exec-template.pptx",</w:t>
        <w:br/>
      </w:r>
      <w:r>
        <w:rPr>
          <w:rFonts w:ascii="Consolas" w:hAnsi="Consolas"/>
          <w:color w:val="333333"/>
          <w:sz w:val="18"/>
        </w:rPr>
        <w:t xml:space="preserve">    "title_font": "Calibri",</w:t>
        <w:br/>
      </w:r>
      <w:r>
        <w:rPr>
          <w:rFonts w:ascii="Consolas" w:hAnsi="Consolas"/>
          <w:color w:val="333333"/>
          <w:sz w:val="18"/>
        </w:rPr>
        <w:t xml:space="preserve">    "title_font_size": 36,</w:t>
        <w:br/>
      </w:r>
      <w:r>
        <w:rPr>
          <w:rFonts w:ascii="Consolas" w:hAnsi="Consolas"/>
          <w:color w:val="333333"/>
          <w:sz w:val="18"/>
        </w:rPr>
        <w:t xml:space="preserve">    "body_font": "Calibri",</w:t>
        <w:br/>
      </w:r>
      <w:r>
        <w:rPr>
          <w:rFonts w:ascii="Consolas" w:hAnsi="Consolas"/>
          <w:color w:val="333333"/>
          <w:sz w:val="18"/>
        </w:rPr>
        <w:t xml:space="preserve">    "body_font_size": 18,</w:t>
        <w:br/>
      </w:r>
      <w:r>
        <w:rPr>
          <w:rFonts w:ascii="Consolas" w:hAnsi="Consolas"/>
          <w:color w:val="333333"/>
          <w:sz w:val="18"/>
        </w:rPr>
        <w:t xml:space="preserve">    "accent_color_hex": "6366F1",</w:t>
        <w:br/>
      </w:r>
      <w:r>
        <w:rPr>
          <w:rFonts w:ascii="Consolas" w:hAnsi="Consolas"/>
          <w:color w:val="333333"/>
          <w:sz w:val="18"/>
        </w:rPr>
        <w:t xml:space="preserve">    "company_name": "ACME Corporation",</w:t>
        <w:br/>
      </w:r>
      <w:r>
        <w:rPr>
          <w:rFonts w:ascii="Consolas" w:hAnsi="Consolas"/>
          <w:color w:val="333333"/>
          <w:sz w:val="18"/>
        </w:rPr>
        <w:t xml:space="preserve">    "report_classification": "INTERNAL USE ONLY"</w:t>
        <w:br/>
      </w:r>
      <w:r>
        <w:rPr>
          <w:rFonts w:ascii="Consolas" w:hAnsi="Consolas"/>
          <w:color w:val="333333"/>
          <w:sz w:val="18"/>
        </w:rPr>
        <w:t xml:space="preserve">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3"/>
      </w:pPr>
      <w:r>
        <w:t>8.3 Supported Export Formats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Content Types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PDF</w:t>
            </w:r>
          </w:p>
        </w:tc>
        <w:tc>
          <w:tcPr>
            <w:tcW w:type="dxa" w:w="2880"/>
          </w:tcPr>
          <w:p>
            <w:r/>
            <w:r>
              <w:t>All reports</w:t>
            </w:r>
          </w:p>
        </w:tc>
        <w:tc>
          <w:tcPr>
            <w:tcW w:type="dxa" w:w="2880"/>
          </w:tcPr>
          <w:p>
            <w:r/>
            <w:r>
              <w:t xml:space="preserve">Server-side rendered; returned as </w:t>
            </w:r>
            <w:r>
              <w:rPr>
                <w:rFonts w:ascii="Consolas" w:hAnsi="Consolas"/>
                <w:color w:val="1A1A2E"/>
                <w:sz w:val="18"/>
              </w:rPr>
              <w:t>application/pdf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PPTX</w:t>
            </w:r>
          </w:p>
        </w:tc>
        <w:tc>
          <w:tcPr>
            <w:tcW w:type="dxa" w:w="2880"/>
          </w:tcPr>
          <w:p>
            <w:r/>
            <w:r>
              <w:t>Executive summaries</w:t>
            </w:r>
          </w:p>
        </w:tc>
        <w:tc>
          <w:tcPr>
            <w:tcW w:type="dxa" w:w="2880"/>
          </w:tcPr>
          <w:p>
            <w:r/>
            <w:r>
              <w:t>PowerPoint 2016+ compatible.</w:t>
            </w:r>
          </w:p>
        </w:tc>
      </w:tr>
      <w:tr>
        <w:tc>
          <w:tcPr>
            <w:tcW w:type="dxa" w:w="2880"/>
          </w:tcPr>
          <w:p>
            <w:r/>
            <w:r>
              <w:t>XLSX</w:t>
            </w:r>
          </w:p>
        </w:tc>
        <w:tc>
          <w:tcPr>
            <w:tcW w:type="dxa" w:w="2880"/>
          </w:tcPr>
          <w:p>
            <w:r/>
            <w:r>
              <w:t>Tabular data exports</w:t>
            </w:r>
          </w:p>
        </w:tc>
        <w:tc>
          <w:tcPr>
            <w:tcW w:type="dxa" w:w="2880"/>
          </w:tcPr>
          <w:p>
            <w:r/>
            <w:r>
              <w:t>Column widths auto-sized; conditional formatting for risk levels.</w:t>
            </w:r>
          </w:p>
        </w:tc>
      </w:tr>
      <w:tr>
        <w:tc>
          <w:tcPr>
            <w:tcW w:type="dxa" w:w="2880"/>
          </w:tcPr>
          <w:p>
            <w:r/>
            <w:r>
              <w:t>CSV</w:t>
            </w:r>
          </w:p>
        </w:tc>
        <w:tc>
          <w:tcPr>
            <w:tcW w:type="dxa" w:w="2880"/>
          </w:tcPr>
          <w:p>
            <w:r/>
            <w:r>
              <w:t>Raw data exports</w:t>
            </w:r>
          </w:p>
        </w:tc>
        <w:tc>
          <w:tcPr>
            <w:tcW w:type="dxa" w:w="2880"/>
          </w:tcPr>
          <w:p>
            <w:r/>
            <w:r>
              <w:t>UTF-8 BOM encoded for Excel compatibility.</w:t>
            </w:r>
          </w:p>
        </w:tc>
      </w:tr>
      <w:tr>
        <w:tc>
          <w:tcPr>
            <w:tcW w:type="dxa" w:w="2880"/>
          </w:tcPr>
          <w:p>
            <w:r/>
            <w:r>
              <w:t>JSON</w:t>
            </w:r>
          </w:p>
        </w:tc>
        <w:tc>
          <w:tcPr>
            <w:tcW w:type="dxa" w:w="2880"/>
          </w:tcPr>
          <w:p>
            <w:r/>
            <w:r>
              <w:t>API consumers</w:t>
            </w:r>
          </w:p>
        </w:tc>
        <w:tc>
          <w:tcPr>
            <w:tcW w:type="dxa" w:w="2880"/>
          </w:tcPr>
          <w:p>
            <w:r/>
            <w:r>
              <w:t>Full structured export with metadata envelope.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9. i18n Configuration</w:t>
      </w:r>
    </w:p>
    <w:p>
      <w:pPr>
        <w:pStyle w:val="Heading3"/>
      </w:pPr>
      <w:r>
        <w:t>9.1 Supported Locales</w:t>
      </w:r>
    </w:p>
    <w:p>
      <w:r>
        <w:t>GovernexPlus ships with full translations for the following locales: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Locale Code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Script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RTL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en</w:t>
            </w:r>
            <w:r/>
          </w:p>
        </w:tc>
        <w:tc>
          <w:tcPr>
            <w:tcW w:type="dxa" w:w="2160"/>
          </w:tcPr>
          <w:p>
            <w:r/>
            <w:r>
              <w:t>English</w:t>
            </w:r>
          </w:p>
        </w:tc>
        <w:tc>
          <w:tcPr>
            <w:tcW w:type="dxa" w:w="2160"/>
          </w:tcPr>
          <w:p>
            <w:r/>
            <w:r>
              <w:t>Latin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de</w:t>
            </w:r>
            <w:r/>
          </w:p>
        </w:tc>
        <w:tc>
          <w:tcPr>
            <w:tcW w:type="dxa" w:w="2160"/>
          </w:tcPr>
          <w:p>
            <w:r/>
            <w:r>
              <w:t>German</w:t>
            </w:r>
          </w:p>
        </w:tc>
        <w:tc>
          <w:tcPr>
            <w:tcW w:type="dxa" w:w="2160"/>
          </w:tcPr>
          <w:p>
            <w:r/>
            <w:r>
              <w:t>Latin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fr</w:t>
            </w:r>
            <w:r/>
          </w:p>
        </w:tc>
        <w:tc>
          <w:tcPr>
            <w:tcW w:type="dxa" w:w="2160"/>
          </w:tcPr>
          <w:p>
            <w:r/>
            <w:r>
              <w:t>French</w:t>
            </w:r>
          </w:p>
        </w:tc>
        <w:tc>
          <w:tcPr>
            <w:tcW w:type="dxa" w:w="2160"/>
          </w:tcPr>
          <w:p>
            <w:r/>
            <w:r>
              <w:t>Latin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es</w:t>
            </w:r>
            <w:r/>
          </w:p>
        </w:tc>
        <w:tc>
          <w:tcPr>
            <w:tcW w:type="dxa" w:w="2160"/>
          </w:tcPr>
          <w:p>
            <w:r/>
            <w:r>
              <w:t>Spanish</w:t>
            </w:r>
          </w:p>
        </w:tc>
        <w:tc>
          <w:tcPr>
            <w:tcW w:type="dxa" w:w="2160"/>
          </w:tcPr>
          <w:p>
            <w:r/>
            <w:r>
              <w:t>Latin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pt-BR</w:t>
            </w:r>
            <w:r/>
          </w:p>
        </w:tc>
        <w:tc>
          <w:tcPr>
            <w:tcW w:type="dxa" w:w="2160"/>
          </w:tcPr>
          <w:p>
            <w:r/>
            <w:r>
              <w:t>Brazilian Portuguese</w:t>
            </w:r>
          </w:p>
        </w:tc>
        <w:tc>
          <w:tcPr>
            <w:tcW w:type="dxa" w:w="2160"/>
          </w:tcPr>
          <w:p>
            <w:r/>
            <w:r>
              <w:t>Latin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ja</w:t>
            </w:r>
            <w:r/>
          </w:p>
        </w:tc>
        <w:tc>
          <w:tcPr>
            <w:tcW w:type="dxa" w:w="2160"/>
          </w:tcPr>
          <w:p>
            <w:r/>
            <w:r>
              <w:t>Japanese</w:t>
            </w:r>
          </w:p>
        </w:tc>
        <w:tc>
          <w:tcPr>
            <w:tcW w:type="dxa" w:w="2160"/>
          </w:tcPr>
          <w:p>
            <w:r/>
            <w:r>
              <w:t>CJK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zh-CN</w:t>
            </w:r>
            <w:r/>
          </w:p>
        </w:tc>
        <w:tc>
          <w:tcPr>
            <w:tcW w:type="dxa" w:w="2160"/>
          </w:tcPr>
          <w:p>
            <w:r/>
            <w:r>
              <w:t>Simplified Chinese</w:t>
            </w:r>
          </w:p>
        </w:tc>
        <w:tc>
          <w:tcPr>
            <w:tcW w:type="dxa" w:w="2160"/>
          </w:tcPr>
          <w:p>
            <w:r/>
            <w:r>
              <w:t>CJK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ar</w:t>
            </w:r>
            <w:r/>
          </w:p>
        </w:tc>
        <w:tc>
          <w:tcPr>
            <w:tcW w:type="dxa" w:w="2160"/>
          </w:tcPr>
          <w:p>
            <w:r/>
            <w:r>
              <w:t>Arabic</w:t>
            </w:r>
          </w:p>
        </w:tc>
        <w:tc>
          <w:tcPr>
            <w:tcW w:type="dxa" w:w="2160"/>
          </w:tcPr>
          <w:p>
            <w:r/>
            <w:r>
              <w:t>Arabic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he</w:t>
            </w:r>
            <w:r/>
          </w:p>
        </w:tc>
        <w:tc>
          <w:tcPr>
            <w:tcW w:type="dxa" w:w="2160"/>
          </w:tcPr>
          <w:p>
            <w:r/>
            <w:r>
              <w:t>Hebrew</w:t>
            </w:r>
          </w:p>
        </w:tc>
        <w:tc>
          <w:tcPr>
            <w:tcW w:type="dxa" w:w="2160"/>
          </w:tcPr>
          <w:p>
            <w:r/>
            <w:r>
              <w:t>Hebrew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</w:tbl>
    <w:p/>
    <w:p>
      <w:r>
        <w:t xml:space="preserve">The active locale is detected in order: user preference → </w:t>
      </w:r>
      <w:r>
        <w:rPr>
          <w:rFonts w:ascii="Consolas" w:hAnsi="Consolas"/>
          <w:color w:val="1A1A2E"/>
          <w:sz w:val="18"/>
        </w:rPr>
        <w:t>Accept-Language</w:t>
      </w:r>
      <w:r>
        <w:t xml:space="preserve"> header → tenant default → </w:t>
      </w:r>
      <w:r>
        <w:rPr>
          <w:rFonts w:ascii="Consolas" w:hAnsi="Consolas"/>
          <w:color w:val="1A1A2E"/>
          <w:sz w:val="18"/>
        </w:rPr>
        <w:t>en</w:t>
      </w:r>
      <w:r>
        <w:t>.</w:t>
      </w:r>
    </w:p>
    <w:p>
      <w:pPr>
        <w:pStyle w:val="Heading3"/>
      </w:pPr>
      <w:r>
        <w:t>9.2 Translation File Format</w:t>
      </w:r>
    </w:p>
    <w:p>
      <w:r>
        <w:t xml:space="preserve">Translation files are JSON files stored in </w:t>
      </w:r>
      <w:r>
        <w:rPr>
          <w:rFonts w:ascii="Consolas" w:hAnsi="Consolas"/>
          <w:color w:val="1A1A2E"/>
          <w:sz w:val="18"/>
        </w:rPr>
        <w:t>frontend/src/i18n/locales/{locale}.json</w:t>
      </w:r>
      <w:r>
        <w:t>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"common": {</w:t>
        <w:br/>
      </w:r>
      <w:r>
        <w:rPr>
          <w:rFonts w:ascii="Consolas" w:hAnsi="Consolas"/>
          <w:color w:val="333333"/>
          <w:sz w:val="18"/>
        </w:rPr>
        <w:t xml:space="preserve">    "save": "Save",</w:t>
        <w:br/>
      </w:r>
      <w:r>
        <w:rPr>
          <w:rFonts w:ascii="Consolas" w:hAnsi="Consolas"/>
          <w:color w:val="333333"/>
          <w:sz w:val="18"/>
        </w:rPr>
        <w:t xml:space="preserve">    "cancel": "Cancel",</w:t>
        <w:br/>
      </w:r>
      <w:r>
        <w:rPr>
          <w:rFonts w:ascii="Consolas" w:hAnsi="Consolas"/>
          <w:color w:val="333333"/>
          <w:sz w:val="18"/>
        </w:rPr>
        <w:t xml:space="preserve">    "delete": "Delete",</w:t>
        <w:br/>
      </w:r>
      <w:r>
        <w:rPr>
          <w:rFonts w:ascii="Consolas" w:hAnsi="Consolas"/>
          <w:color w:val="333333"/>
          <w:sz w:val="18"/>
        </w:rPr>
        <w:t xml:space="preserve">    "loading": "Loading..."</w:t>
        <w:br/>
      </w:r>
      <w:r>
        <w:rPr>
          <w:rFonts w:ascii="Consolas" w:hAnsi="Consolas"/>
          <w:color w:val="333333"/>
          <w:sz w:val="18"/>
        </w:rPr>
        <w:t xml:space="preserve">  },</w:t>
        <w:br/>
      </w:r>
      <w:r>
        <w:rPr>
          <w:rFonts w:ascii="Consolas" w:hAnsi="Consolas"/>
          <w:color w:val="333333"/>
          <w:sz w:val="18"/>
        </w:rPr>
        <w:t xml:space="preserve">  "risk": {</w:t>
        <w:br/>
      </w:r>
      <w:r>
        <w:rPr>
          <w:rFonts w:ascii="Consolas" w:hAnsi="Consolas"/>
          <w:color w:val="333333"/>
          <w:sz w:val="18"/>
        </w:rPr>
        <w:t xml:space="preserve">    "violations": "SoD Violations",</w:t>
        <w:br/>
      </w:r>
      <w:r>
        <w:rPr>
          <w:rFonts w:ascii="Consolas" w:hAnsi="Consolas"/>
          <w:color w:val="333333"/>
          <w:sz w:val="18"/>
        </w:rPr>
        <w:t xml:space="preserve">    "severity": {</w:t>
        <w:br/>
      </w:r>
      <w:r>
        <w:rPr>
          <w:rFonts w:ascii="Consolas" w:hAnsi="Consolas"/>
          <w:color w:val="333333"/>
          <w:sz w:val="18"/>
        </w:rPr>
        <w:t xml:space="preserve">      "low": "Low",</w:t>
        <w:br/>
      </w:r>
      <w:r>
        <w:rPr>
          <w:rFonts w:ascii="Consolas" w:hAnsi="Consolas"/>
          <w:color w:val="333333"/>
          <w:sz w:val="18"/>
        </w:rPr>
        <w:t xml:space="preserve">      "medium": "Medium",</w:t>
        <w:br/>
      </w:r>
      <w:r>
        <w:rPr>
          <w:rFonts w:ascii="Consolas" w:hAnsi="Consolas"/>
          <w:color w:val="333333"/>
          <w:sz w:val="18"/>
        </w:rPr>
        <w:t xml:space="preserve">      "high": "High",</w:t>
        <w:br/>
      </w:r>
      <w:r>
        <w:rPr>
          <w:rFonts w:ascii="Consolas" w:hAnsi="Consolas"/>
          <w:color w:val="333333"/>
          <w:sz w:val="18"/>
        </w:rPr>
        <w:t xml:space="preserve">      "critical": "Critical"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 xml:space="preserve">  },</w:t>
        <w:br/>
      </w:r>
      <w:r>
        <w:rPr>
          <w:rFonts w:ascii="Consolas" w:hAnsi="Consolas"/>
          <w:color w:val="333333"/>
          <w:sz w:val="18"/>
        </w:rPr>
        <w:t xml:space="preserve">  "access_request": {</w:t>
        <w:br/>
      </w:r>
      <w:r>
        <w:rPr>
          <w:rFonts w:ascii="Consolas" w:hAnsi="Consolas"/>
          <w:color w:val="333333"/>
          <w:sz w:val="18"/>
        </w:rPr>
        <w:t xml:space="preserve">    "new_request": "New Access Request",</w:t>
        <w:br/>
      </w:r>
      <w:r>
        <w:rPr>
          <w:rFonts w:ascii="Consolas" w:hAnsi="Consolas"/>
          <w:color w:val="333333"/>
          <w:sz w:val="18"/>
        </w:rPr>
        <w:t xml:space="preserve">    "submitted_success": "Your access request has been submitted successfully."</w:t>
        <w:br/>
      </w:r>
      <w:r>
        <w:rPr>
          <w:rFonts w:ascii="Consolas" w:hAnsi="Consolas"/>
          <w:color w:val="333333"/>
          <w:sz w:val="18"/>
        </w:rPr>
        <w:t xml:space="preserve">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3"/>
      </w:pPr>
      <w:r>
        <w:t>9.3 Adding a New Locale</w:t>
      </w:r>
    </w:p>
    <w:p>
      <w:pPr>
        <w:pStyle w:val="ListNumber"/>
      </w:pPr>
      <w:r>
        <w:t xml:space="preserve">Copy </w:t>
      </w:r>
      <w:r>
        <w:rPr>
          <w:rFonts w:ascii="Consolas" w:hAnsi="Consolas"/>
          <w:color w:val="1A1A2E"/>
          <w:sz w:val="18"/>
        </w:rPr>
        <w:t>frontend/src/i18n/locales/en.json</w:t>
      </w:r>
      <w:r>
        <w:t xml:space="preserve"> to </w:t>
      </w:r>
      <w:r>
        <w:rPr>
          <w:rFonts w:ascii="Consolas" w:hAnsi="Consolas"/>
          <w:color w:val="1A1A2E"/>
          <w:sz w:val="18"/>
        </w:rPr>
        <w:t>{locale}.json</w:t>
      </w:r>
      <w:r>
        <w:t>.</w:t>
      </w:r>
    </w:p>
    <w:p>
      <w:pPr>
        <w:pStyle w:val="ListNumber"/>
      </w:pPr>
      <w:r>
        <w:t>Translate all string values. Keys must not be changed.</w:t>
      </w:r>
    </w:p>
    <w:p>
      <w:pPr>
        <w:pStyle w:val="ListNumber"/>
      </w:pPr>
      <w:r>
        <w:t xml:space="preserve">Register the locale in </w:t>
      </w:r>
      <w:r>
        <w:rPr>
          <w:rFonts w:ascii="Consolas" w:hAnsi="Consolas"/>
          <w:color w:val="1A1A2E"/>
          <w:sz w:val="18"/>
        </w:rPr>
        <w:t>frontend/src/i18n/index.ts</w:t>
      </w:r>
      <w:r>
        <w:t xml:space="preserve"> under the </w:t>
      </w:r>
      <w:r>
        <w:rPr>
          <w:rFonts w:ascii="Consolas" w:hAnsi="Consolas"/>
          <w:color w:val="1A1A2E"/>
          <w:sz w:val="18"/>
        </w:rPr>
        <w:t>supportedLocales</w:t>
      </w:r>
      <w:r>
        <w:t xml:space="preserve"> array.</w:t>
      </w:r>
    </w:p>
    <w:p>
      <w:pPr>
        <w:pStyle w:val="ListNumber"/>
      </w:pPr>
      <w:r>
        <w:t xml:space="preserve">If the locale is RTL, add it to the </w:t>
      </w:r>
      <w:r>
        <w:rPr>
          <w:rFonts w:ascii="Consolas" w:hAnsi="Consolas"/>
          <w:color w:val="1A1A2E"/>
          <w:sz w:val="18"/>
        </w:rPr>
        <w:t>rtlLocales</w:t>
      </w:r>
      <w:r>
        <w:t xml:space="preserve"> array — the frontend applies </w:t>
      </w:r>
      <w:r>
        <w:rPr>
          <w:rFonts w:ascii="Consolas" w:hAnsi="Consolas"/>
          <w:color w:val="1A1A2E"/>
          <w:sz w:val="18"/>
        </w:rPr>
        <w:t>dir="rtl"</w:t>
      </w:r>
      <w:r>
        <w:t xml:space="preserve"> to the </w:t>
      </w:r>
      <w:r>
        <w:rPr>
          <w:rFonts w:ascii="Consolas" w:hAnsi="Consolas"/>
          <w:color w:val="1A1A2E"/>
          <w:sz w:val="18"/>
        </w:rPr>
        <w:t>&lt;html&gt;</w:t>
      </w:r>
      <w:r>
        <w:t xml:space="preserve"> element automatically.</w:t>
      </w:r>
    </w:p>
    <w:p>
      <w:pPr>
        <w:pStyle w:val="ListNumber"/>
      </w:pPr>
      <w:r>
        <w:t xml:space="preserve">Add backend locale support by creating </w:t>
      </w:r>
      <w:r>
        <w:rPr>
          <w:rFonts w:ascii="Consolas" w:hAnsi="Consolas"/>
          <w:color w:val="1A1A2E"/>
          <w:sz w:val="18"/>
        </w:rPr>
        <w:t>core/i18n/locales/{locale}.json</w:t>
      </w:r>
      <w:r>
        <w:t xml:space="preserve"> for server-rendered notification emails and PDF reports.</w:t>
      </w:r>
    </w:p>
    <w:p>
      <w:pPr>
        <w:pStyle w:val="ListNumber"/>
      </w:pPr>
      <w:r>
        <w:t>Submit via PR and request QA sign-off from a native speaker.</w:t>
      </w:r>
    </w:p>
    <w:p>
      <w:pPr>
        <w:pStyle w:val="Heading3"/>
      </w:pPr>
      <w:r>
        <w:t>9.4 RTL Settings</w:t>
      </w:r>
    </w:p>
    <w:p>
      <w:r>
        <w:t>When an RTL locale is active, the frontend applies the following changes automatically:</w:t>
      </w:r>
    </w:p>
    <w:p>
      <w:pPr>
        <w:pStyle w:val="ListBullet"/>
      </w:pPr>
      <w:r/>
      <w:r>
        <w:rPr>
          <w:rFonts w:ascii="Consolas" w:hAnsi="Consolas"/>
          <w:color w:val="1A1A2E"/>
          <w:sz w:val="18"/>
        </w:rPr>
        <w:t>&lt;html dir="rtl"&gt;</w:t>
      </w:r>
      <w:r>
        <w:t xml:space="preserve"> attribute set.</w:t>
      </w:r>
    </w:p>
    <w:p>
      <w:pPr>
        <w:pStyle w:val="ListBullet"/>
      </w:pPr>
      <w:r>
        <w:t>Tailwind CSS RTL utilities (</w:t>
      </w:r>
      <w:r>
        <w:rPr>
          <w:rFonts w:ascii="Consolas" w:hAnsi="Consolas"/>
          <w:color w:val="1A1A2E"/>
          <w:sz w:val="18"/>
        </w:rPr>
        <w:t>rtl:ml-auto</w:t>
      </w:r>
      <w:r>
        <w:t xml:space="preserve">, </w:t>
      </w:r>
      <w:r>
        <w:rPr>
          <w:rFonts w:ascii="Consolas" w:hAnsi="Consolas"/>
          <w:color w:val="1A1A2E"/>
          <w:sz w:val="18"/>
        </w:rPr>
        <w:t>rtl:space-x-reverse</w:t>
      </w:r>
      <w:r>
        <w:t xml:space="preserve">) active via the </w:t>
      </w:r>
      <w:r>
        <w:rPr>
          <w:rFonts w:ascii="Consolas" w:hAnsi="Consolas"/>
          <w:color w:val="1A1A2E"/>
          <w:sz w:val="18"/>
        </w:rPr>
        <w:t>tailwindcss-rtl</w:t>
      </w:r>
      <w:r>
        <w:t xml:space="preserve"> plugin.</w:t>
      </w:r>
    </w:p>
    <w:p>
      <w:pPr>
        <w:pStyle w:val="ListBullet"/>
      </w:pPr>
      <w:r>
        <w:t>Sidebar layout mirrors to the right side.</w:t>
      </w:r>
    </w:p>
    <w:p>
      <w:pPr>
        <w:pStyle w:val="ListBullet"/>
      </w:pPr>
      <w:r>
        <w:t>Table column ordering remains LTR (data tables are not mirrored).</w:t>
      </w:r>
    </w:p>
    <w:p>
      <w:pPr>
        <w:pStyle w:val="ListBullet"/>
      </w:pPr>
      <w:r>
        <w:t>Chart axis labels are mirrored.</w:t>
      </w:r>
    </w:p>
    <w:p>
      <w:pPr>
        <w:pStyle w:val="ListBullet"/>
      </w:pPr>
      <w:r>
        <w:t>PDF reports use a separate RTL-compatible template with right-aligned body text.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10. RBAC Role Definitions</w:t>
      </w:r>
    </w:p>
    <w:p>
      <w:pPr>
        <w:pStyle w:val="Heading3"/>
      </w:pPr>
      <w:r>
        <w:t>10.1 Built-in Roles</w:t>
      </w:r>
    </w:p>
    <w:p>
      <w:pPr>
        <w:pStyle w:val="Heading4"/>
      </w:pPr>
      <w:r>
        <w:t>`platform_admin`</w:t>
      </w:r>
    </w:p>
    <w:p>
      <w:r>
        <w:t>Cross-tenant super-administrator. This role is only assignable by a GovernexPlus operator and is never visible inside a tenant's own user management screens.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 Area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Access Level</w:t>
            </w:r>
          </w:p>
        </w:tc>
      </w:tr>
      <w:tr>
        <w:tc>
          <w:tcPr>
            <w:tcW w:type="dxa" w:w="4320"/>
          </w:tcPr>
          <w:p>
            <w:r/>
            <w:r>
              <w:t>Tenant management</w:t>
            </w:r>
          </w:p>
        </w:tc>
        <w:tc>
          <w:tcPr>
            <w:tcW w:type="dxa" w:w="4320"/>
          </w:tcPr>
          <w:p>
            <w:r/>
            <w:r>
              <w:t>Full CRUD</w:t>
            </w:r>
          </w:p>
        </w:tc>
      </w:tr>
      <w:tr>
        <w:tc>
          <w:tcPr>
            <w:tcW w:type="dxa" w:w="4320"/>
          </w:tcPr>
          <w:p>
            <w:r/>
            <w:r>
              <w:t>All tenant data</w:t>
            </w:r>
          </w:p>
        </w:tc>
        <w:tc>
          <w:tcPr>
            <w:tcW w:type="dxa" w:w="4320"/>
          </w:tcPr>
          <w:p>
            <w:r/>
            <w:r>
              <w:t>Read/Write (with audit log)</w:t>
            </w:r>
          </w:p>
        </w:tc>
      </w:tr>
      <w:tr>
        <w:tc>
          <w:tcPr>
            <w:tcW w:type="dxa" w:w="4320"/>
          </w:tcPr>
          <w:p>
            <w:r/>
            <w:r>
              <w:t>System configuration</w:t>
            </w:r>
          </w:p>
        </w:tc>
        <w:tc>
          <w:tcPr>
            <w:tcW w:type="dxa" w:w="4320"/>
          </w:tcPr>
          <w:p>
            <w:r/>
            <w:r>
              <w:t>Full</w:t>
            </w:r>
          </w:p>
        </w:tc>
      </w:tr>
      <w:tr>
        <w:tc>
          <w:tcPr>
            <w:tcW w:type="dxa" w:w="4320"/>
          </w:tcPr>
          <w:p>
            <w:r/>
            <w:r>
              <w:t>User management (all tenants)</w:t>
            </w:r>
          </w:p>
        </w:tc>
        <w:tc>
          <w:tcPr>
            <w:tcW w:type="dxa" w:w="4320"/>
          </w:tcPr>
          <w:p>
            <w:r/>
            <w:r>
              <w:t>Full</w:t>
            </w:r>
          </w:p>
        </w:tc>
      </w:tr>
      <w:tr>
        <w:tc>
          <w:tcPr>
            <w:tcW w:type="dxa" w:w="4320"/>
          </w:tcPr>
          <w:p>
            <w:r/>
            <w:r>
              <w:t>Audit logs</w:t>
            </w:r>
          </w:p>
        </w:tc>
        <w:tc>
          <w:tcPr>
            <w:tcW w:type="dxa" w:w="4320"/>
          </w:tcPr>
          <w:p>
            <w:r/>
            <w:r>
              <w:t>Full, immutable</w:t>
            </w:r>
          </w:p>
        </w:tc>
      </w:tr>
    </w:tbl>
    <w:p/>
    <w:p>
      <w:pPr>
        <w:pStyle w:val="Heading4"/>
      </w:pPr>
      <w:r>
        <w:t>`tenant_admin`</w:t>
      </w:r>
    </w:p>
    <w:p>
      <w:r>
        <w:t>Full administrator within a single tenant. Cannot access other tenants' data.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 Area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Access Level</w:t>
            </w:r>
          </w:p>
        </w:tc>
      </w:tr>
      <w:tr>
        <w:tc>
          <w:tcPr>
            <w:tcW w:type="dxa" w:w="4320"/>
          </w:tcPr>
          <w:p>
            <w:r/>
            <w:r>
              <w:t>Tenant configuration</w:t>
            </w:r>
          </w:p>
        </w:tc>
        <w:tc>
          <w:tcPr>
            <w:tcW w:type="dxa" w:w="4320"/>
          </w:tcPr>
          <w:p>
            <w:r/>
            <w:r>
              <w:t>Full</w:t>
            </w:r>
          </w:p>
        </w:tc>
      </w:tr>
      <w:tr>
        <w:tc>
          <w:tcPr>
            <w:tcW w:type="dxa" w:w="4320"/>
          </w:tcPr>
          <w:p>
            <w:r/>
            <w:r>
              <w:t>User management</w:t>
            </w:r>
          </w:p>
        </w:tc>
        <w:tc>
          <w:tcPr>
            <w:tcW w:type="dxa" w:w="4320"/>
          </w:tcPr>
          <w:p>
            <w:r/>
            <w:r>
              <w:t>Full CRUD</w:t>
            </w:r>
          </w:p>
        </w:tc>
      </w:tr>
      <w:tr>
        <w:tc>
          <w:tcPr>
            <w:tcW w:type="dxa" w:w="4320"/>
          </w:tcPr>
          <w:p>
            <w:r/>
            <w:r>
              <w:t>Role management</w:t>
            </w:r>
          </w:p>
        </w:tc>
        <w:tc>
          <w:tcPr>
            <w:tcW w:type="dxa" w:w="4320"/>
          </w:tcPr>
          <w:p>
            <w:r/>
            <w:r>
              <w:t>Full CRUD</w:t>
            </w:r>
          </w:p>
        </w:tc>
      </w:tr>
      <w:tr>
        <w:tc>
          <w:tcPr>
            <w:tcW w:type="dxa" w:w="4320"/>
          </w:tcPr>
          <w:p>
            <w:r/>
            <w:r>
              <w:t>All GRC modules</w:t>
            </w:r>
          </w:p>
        </w:tc>
        <w:tc>
          <w:tcPr>
            <w:tcW w:type="dxa" w:w="4320"/>
          </w:tcPr>
          <w:p>
            <w:r/>
            <w:r>
              <w:t>Full</w:t>
            </w:r>
          </w:p>
        </w:tc>
      </w:tr>
      <w:tr>
        <w:tc>
          <w:tcPr>
            <w:tcW w:type="dxa" w:w="4320"/>
          </w:tcPr>
          <w:p>
            <w:r/>
            <w:r>
              <w:t>Audit logs (own tenant)</w:t>
            </w:r>
          </w:p>
        </w:tc>
        <w:tc>
          <w:tcPr>
            <w:tcW w:type="dxa" w:w="4320"/>
          </w:tcPr>
          <w:p>
            <w:r/>
            <w:r>
              <w:t>Read</w:t>
            </w:r>
          </w:p>
        </w:tc>
      </w:tr>
    </w:tbl>
    <w:p/>
    <w:p>
      <w:pPr>
        <w:pStyle w:val="Heading4"/>
      </w:pPr>
      <w:r>
        <w:t>`security_admin`</w:t>
      </w:r>
    </w:p>
    <w:p>
      <w:r>
        <w:t>SAP access governance specialist. Manages SoD rules, firefighter access, and provisioning.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 Area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Access Level</w:t>
            </w:r>
          </w:p>
        </w:tc>
      </w:tr>
      <w:tr>
        <w:tc>
          <w:tcPr>
            <w:tcW w:type="dxa" w:w="4320"/>
          </w:tcPr>
          <w:p>
            <w:r/>
            <w:r>
              <w:t>SoD rules</w:t>
            </w:r>
          </w:p>
        </w:tc>
        <w:tc>
          <w:tcPr>
            <w:tcW w:type="dxa" w:w="4320"/>
          </w:tcPr>
          <w:p>
            <w:r/>
            <w:r>
              <w:t>Full CRUD</w:t>
            </w:r>
          </w:p>
        </w:tc>
      </w:tr>
      <w:tr>
        <w:tc>
          <w:tcPr>
            <w:tcW w:type="dxa" w:w="4320"/>
          </w:tcPr>
          <w:p>
            <w:r/>
            <w:r>
              <w:t>Firefighter sessions</w:t>
            </w:r>
          </w:p>
        </w:tc>
        <w:tc>
          <w:tcPr>
            <w:tcW w:type="dxa" w:w="4320"/>
          </w:tcPr>
          <w:p>
            <w:r/>
            <w:r>
              <w:t>Approve, monitor, review</w:t>
            </w:r>
          </w:p>
        </w:tc>
      </w:tr>
      <w:tr>
        <w:tc>
          <w:tcPr>
            <w:tcW w:type="dxa" w:w="4320"/>
          </w:tcPr>
          <w:p>
            <w:r/>
            <w:r>
              <w:t>Access requests</w:t>
            </w:r>
          </w:p>
        </w:tc>
        <w:tc>
          <w:tcPr>
            <w:tcW w:type="dxa" w:w="4320"/>
          </w:tcPr>
          <w:p>
            <w:r/>
            <w:r>
              <w:t>Approve/reject</w:t>
            </w:r>
          </w:p>
        </w:tc>
      </w:tr>
      <w:tr>
        <w:tc>
          <w:tcPr>
            <w:tcW w:type="dxa" w:w="4320"/>
          </w:tcPr>
          <w:p>
            <w:r/>
            <w:r>
              <w:t>Role library</w:t>
            </w:r>
          </w:p>
        </w:tc>
        <w:tc>
          <w:tcPr>
            <w:tcW w:type="dxa" w:w="4320"/>
          </w:tcPr>
          <w:p>
            <w:r/>
            <w:r>
              <w:t>Full CRUD</w:t>
            </w:r>
          </w:p>
        </w:tc>
      </w:tr>
      <w:tr>
        <w:tc>
          <w:tcPr>
            <w:tcW w:type="dxa" w:w="4320"/>
          </w:tcPr>
          <w:p>
            <w:r/>
            <w:r>
              <w:t>User access reports</w:t>
            </w:r>
          </w:p>
        </w:tc>
        <w:tc>
          <w:tcPr>
            <w:tcW w:type="dxa" w:w="4320"/>
          </w:tcPr>
          <w:p>
            <w:r/>
            <w:r>
              <w:t>Read</w:t>
            </w:r>
          </w:p>
        </w:tc>
      </w:tr>
      <w:tr>
        <w:tc>
          <w:tcPr>
            <w:tcW w:type="dxa" w:w="4320"/>
          </w:tcPr>
          <w:p>
            <w:r/>
            <w:r>
              <w:t>Risk analysis</w:t>
            </w:r>
          </w:p>
        </w:tc>
        <w:tc>
          <w:tcPr>
            <w:tcW w:type="dxa" w:w="4320"/>
          </w:tcPr>
          <w:p>
            <w:r/>
            <w:r>
              <w:t>Read</w:t>
            </w:r>
          </w:p>
        </w:tc>
      </w:tr>
    </w:tbl>
    <w:p/>
    <w:p>
      <w:pPr>
        <w:pStyle w:val="Heading4"/>
      </w:pPr>
      <w:r>
        <w:t>`risk_manager`</w:t>
      </w:r>
    </w:p>
    <w:p>
      <w:r>
        <w:t>Owns the risk register and mitigation strategy.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 Area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Access Level</w:t>
            </w:r>
          </w:p>
        </w:tc>
      </w:tr>
      <w:tr>
        <w:tc>
          <w:tcPr>
            <w:tcW w:type="dxa" w:w="4320"/>
          </w:tcPr>
          <w:p>
            <w:r/>
            <w:r>
              <w:t>Risk register</w:t>
            </w:r>
          </w:p>
        </w:tc>
        <w:tc>
          <w:tcPr>
            <w:tcW w:type="dxa" w:w="4320"/>
          </w:tcPr>
          <w:p>
            <w:r/>
            <w:r>
              <w:t>Full CRUD</w:t>
            </w:r>
          </w:p>
        </w:tc>
      </w:tr>
      <w:tr>
        <w:tc>
          <w:tcPr>
            <w:tcW w:type="dxa" w:w="4320"/>
          </w:tcPr>
          <w:p>
            <w:r/>
            <w:r>
              <w:t>SoD violations</w:t>
            </w:r>
          </w:p>
        </w:tc>
        <w:tc>
          <w:tcPr>
            <w:tcW w:type="dxa" w:w="4320"/>
          </w:tcPr>
          <w:p>
            <w:r/>
            <w:r>
              <w:t>Read, assign mitigation</w:t>
            </w:r>
          </w:p>
        </w:tc>
      </w:tr>
      <w:tr>
        <w:tc>
          <w:tcPr>
            <w:tcW w:type="dxa" w:w="4320"/>
          </w:tcPr>
          <w:p>
            <w:r/>
            <w:r>
              <w:t>Mitigation controls</w:t>
            </w:r>
          </w:p>
        </w:tc>
        <w:tc>
          <w:tcPr>
            <w:tcW w:type="dxa" w:w="4320"/>
          </w:tcPr>
          <w:p>
            <w:r/>
            <w:r>
              <w:t>Full CRUD</w:t>
            </w:r>
          </w:p>
        </w:tc>
      </w:tr>
      <w:tr>
        <w:tc>
          <w:tcPr>
            <w:tcW w:type="dxa" w:w="4320"/>
          </w:tcPr>
          <w:p>
            <w:r/>
            <w:r>
              <w:t>Risk simulations</w:t>
            </w:r>
          </w:p>
        </w:tc>
        <w:tc>
          <w:tcPr>
            <w:tcW w:type="dxa" w:w="4320"/>
          </w:tcPr>
          <w:p>
            <w:r/>
            <w:r>
              <w:t>Full</w:t>
            </w:r>
          </w:p>
        </w:tc>
      </w:tr>
      <w:tr>
        <w:tc>
          <w:tcPr>
            <w:tcW w:type="dxa" w:w="4320"/>
          </w:tcPr>
          <w:p>
            <w:r/>
            <w:r>
              <w:t>Risk reports</w:t>
            </w:r>
          </w:p>
        </w:tc>
        <w:tc>
          <w:tcPr>
            <w:tcW w:type="dxa" w:w="4320"/>
          </w:tcPr>
          <w:p>
            <w:r/>
            <w:r>
              <w:t>Full</w:t>
            </w:r>
          </w:p>
        </w:tc>
      </w:tr>
      <w:tr>
        <w:tc>
          <w:tcPr>
            <w:tcW w:type="dxa" w:w="4320"/>
          </w:tcPr>
          <w:p>
            <w:r/>
            <w:r>
              <w:t>ARA rule configuration</w:t>
            </w:r>
          </w:p>
        </w:tc>
        <w:tc>
          <w:tcPr>
            <w:tcW w:type="dxa" w:w="4320"/>
          </w:tcPr>
          <w:p>
            <w:r/>
            <w:r>
              <w:t>Read/Write</w:t>
            </w:r>
          </w:p>
        </w:tc>
      </w:tr>
    </w:tbl>
    <w:p/>
    <w:p>
      <w:pPr>
        <w:pStyle w:val="Heading4"/>
      </w:pPr>
      <w:r>
        <w:t>`auditor`</w:t>
      </w:r>
    </w:p>
    <w:p>
      <w:r>
        <w:t>Read-only access to all GRC data for audit purposes. Cannot modify any records.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 Area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Access Level</w:t>
            </w:r>
          </w:p>
        </w:tc>
      </w:tr>
      <w:tr>
        <w:tc>
          <w:tcPr>
            <w:tcW w:type="dxa" w:w="4320"/>
          </w:tcPr>
          <w:p>
            <w:r/>
            <w:r>
              <w:t>All GRC modules</w:t>
            </w:r>
          </w:p>
        </w:tc>
        <w:tc>
          <w:tcPr>
            <w:tcW w:type="dxa" w:w="4320"/>
          </w:tcPr>
          <w:p>
            <w:r/>
            <w:r>
              <w:t>Read only</w:t>
            </w:r>
          </w:p>
        </w:tc>
      </w:tr>
      <w:tr>
        <w:tc>
          <w:tcPr>
            <w:tcW w:type="dxa" w:w="4320"/>
          </w:tcPr>
          <w:p>
            <w:r/>
            <w:r>
              <w:t>Audit logs</w:t>
            </w:r>
          </w:p>
        </w:tc>
        <w:tc>
          <w:tcPr>
            <w:tcW w:type="dxa" w:w="4320"/>
          </w:tcPr>
          <w:p>
            <w:r/>
            <w:r>
              <w:t>Read only</w:t>
            </w:r>
          </w:p>
        </w:tc>
      </w:tr>
      <w:tr>
        <w:tc>
          <w:tcPr>
            <w:tcW w:type="dxa" w:w="4320"/>
          </w:tcPr>
          <w:p>
            <w:r/>
            <w:r>
              <w:t>Evidence packages</w:t>
            </w:r>
          </w:p>
        </w:tc>
        <w:tc>
          <w:tcPr>
            <w:tcW w:type="dxa" w:w="4320"/>
          </w:tcPr>
          <w:p>
            <w:r/>
            <w:r>
              <w:t>Read + Download</w:t>
            </w:r>
          </w:p>
        </w:tc>
      </w:tr>
      <w:tr>
        <w:tc>
          <w:tcPr>
            <w:tcW w:type="dxa" w:w="4320"/>
          </w:tcPr>
          <w:p>
            <w:r/>
            <w:r>
              <w:t>Reports</w:t>
            </w:r>
          </w:p>
        </w:tc>
        <w:tc>
          <w:tcPr>
            <w:tcW w:type="dxa" w:w="4320"/>
          </w:tcPr>
          <w:p>
            <w:r/>
            <w:r>
              <w:t>Generate + Download</w:t>
            </w:r>
          </w:p>
        </w:tc>
      </w:tr>
      <w:tr>
        <w:tc>
          <w:tcPr>
            <w:tcW w:type="dxa" w:w="4320"/>
          </w:tcPr>
          <w:p>
            <w:r/>
            <w:r>
              <w:t>User data</w:t>
            </w:r>
          </w:p>
        </w:tc>
        <w:tc>
          <w:tcPr>
            <w:tcW w:type="dxa" w:w="4320"/>
          </w:tcPr>
          <w:p>
            <w:r/>
            <w:r>
              <w:t>Read only (masked PII)</w:t>
            </w:r>
          </w:p>
        </w:tc>
      </w:tr>
    </w:tbl>
    <w:p/>
    <w:p>
      <w:pPr>
        <w:pStyle w:val="Heading4"/>
      </w:pPr>
      <w:r>
        <w:t>`compliance_officer`</w:t>
      </w:r>
    </w:p>
    <w:p>
      <w:r>
        <w:t>Owns control frameworks, certifications, and regulatory compliance posture.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 Area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Access Level</w:t>
            </w:r>
          </w:p>
        </w:tc>
      </w:tr>
      <w:tr>
        <w:tc>
          <w:tcPr>
            <w:tcW w:type="dxa" w:w="4320"/>
          </w:tcPr>
          <w:p>
            <w:r/>
            <w:r>
              <w:t>Control frameworks</w:t>
            </w:r>
          </w:p>
        </w:tc>
        <w:tc>
          <w:tcPr>
            <w:tcW w:type="dxa" w:w="4320"/>
          </w:tcPr>
          <w:p>
            <w:r/>
            <w:r>
              <w:t>Full CRUD</w:t>
            </w:r>
          </w:p>
        </w:tc>
      </w:tr>
      <w:tr>
        <w:tc>
          <w:tcPr>
            <w:tcW w:type="dxa" w:w="4320"/>
          </w:tcPr>
          <w:p>
            <w:r/>
            <w:r>
              <w:t>Certification campaigns</w:t>
            </w:r>
          </w:p>
        </w:tc>
        <w:tc>
          <w:tcPr>
            <w:tcW w:type="dxa" w:w="4320"/>
          </w:tcPr>
          <w:p>
            <w:r/>
            <w:r>
              <w:t>Full CRUD</w:t>
            </w:r>
          </w:p>
        </w:tc>
      </w:tr>
      <w:tr>
        <w:tc>
          <w:tcPr>
            <w:tcW w:type="dxa" w:w="4320"/>
          </w:tcPr>
          <w:p>
            <w:r/>
            <w:r>
              <w:t>Compliance assessments</w:t>
            </w:r>
          </w:p>
        </w:tc>
        <w:tc>
          <w:tcPr>
            <w:tcW w:type="dxa" w:w="4320"/>
          </w:tcPr>
          <w:p>
            <w:r/>
            <w:r>
              <w:t>Full</w:t>
            </w:r>
          </w:p>
        </w:tc>
      </w:tr>
      <w:tr>
        <w:tc>
          <w:tcPr>
            <w:tcW w:type="dxa" w:w="4320"/>
          </w:tcPr>
          <w:p>
            <w:r/>
            <w:r>
              <w:t>Audit management</w:t>
            </w:r>
          </w:p>
        </w:tc>
        <w:tc>
          <w:tcPr>
            <w:tcW w:type="dxa" w:w="4320"/>
          </w:tcPr>
          <w:p>
            <w:r/>
            <w:r>
              <w:t>Full</w:t>
            </w:r>
          </w:p>
        </w:tc>
      </w:tr>
      <w:tr>
        <w:tc>
          <w:tcPr>
            <w:tcW w:type="dxa" w:w="4320"/>
          </w:tcPr>
          <w:p>
            <w:r/>
            <w:r>
              <w:t>Findings</w:t>
            </w:r>
          </w:p>
        </w:tc>
        <w:tc>
          <w:tcPr>
            <w:tcW w:type="dxa" w:w="4320"/>
          </w:tcPr>
          <w:p>
            <w:r/>
            <w:r>
              <w:t>Full CRUD</w:t>
            </w:r>
          </w:p>
        </w:tc>
      </w:tr>
      <w:tr>
        <w:tc>
          <w:tcPr>
            <w:tcW w:type="dxa" w:w="4320"/>
          </w:tcPr>
          <w:p>
            <w:r/>
            <w:r>
              <w:t>Process controls</w:t>
            </w:r>
          </w:p>
        </w:tc>
        <w:tc>
          <w:tcPr>
            <w:tcW w:type="dxa" w:w="4320"/>
          </w:tcPr>
          <w:p>
            <w:r/>
            <w:r>
              <w:t>Full CRUD</w:t>
            </w:r>
          </w:p>
        </w:tc>
      </w:tr>
    </w:tbl>
    <w:p/>
    <w:p>
      <w:pPr>
        <w:pStyle w:val="Heading4"/>
      </w:pPr>
      <w:r>
        <w:t>`control_owner`</w:t>
      </w:r>
    </w:p>
    <w:p>
      <w:r>
        <w:t>Responsible for specific controls assigned to them. Scoped to their control portfolio.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 Area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Access Level</w:t>
            </w:r>
          </w:p>
        </w:tc>
      </w:tr>
      <w:tr>
        <w:tc>
          <w:tcPr>
            <w:tcW w:type="dxa" w:w="4320"/>
          </w:tcPr>
          <w:p>
            <w:r/>
            <w:r>
              <w:t>Assigned controls</w:t>
            </w:r>
          </w:p>
        </w:tc>
        <w:tc>
          <w:tcPr>
            <w:tcW w:type="dxa" w:w="4320"/>
          </w:tcPr>
          <w:p>
            <w:r/>
            <w:r>
              <w:t>Read + Update</w:t>
            </w:r>
          </w:p>
        </w:tc>
      </w:tr>
      <w:tr>
        <w:tc>
          <w:tcPr>
            <w:tcW w:type="dxa" w:w="4320"/>
          </w:tcPr>
          <w:p>
            <w:r/>
            <w:r>
              <w:t>CCM rule results</w:t>
            </w:r>
          </w:p>
        </w:tc>
        <w:tc>
          <w:tcPr>
            <w:tcW w:type="dxa" w:w="4320"/>
          </w:tcPr>
          <w:p>
            <w:r/>
            <w:r>
              <w:t>Read (assigned rules)</w:t>
            </w:r>
          </w:p>
        </w:tc>
      </w:tr>
      <w:tr>
        <w:tc>
          <w:tcPr>
            <w:tcW w:type="dxa" w:w="4320"/>
          </w:tcPr>
          <w:p>
            <w:r/>
            <w:r>
              <w:t>Deficiencies</w:t>
            </w:r>
          </w:p>
        </w:tc>
        <w:tc>
          <w:tcPr>
            <w:tcW w:type="dxa" w:w="4320"/>
          </w:tcPr>
          <w:p>
            <w:r/>
            <w:r>
              <w:t>Read + Respond</w:t>
            </w:r>
          </w:p>
        </w:tc>
      </w:tr>
      <w:tr>
        <w:tc>
          <w:tcPr>
            <w:tcW w:type="dxa" w:w="4320"/>
          </w:tcPr>
          <w:p>
            <w:r/>
            <w:r>
              <w:t>Evidence upload</w:t>
            </w:r>
          </w:p>
        </w:tc>
        <w:tc>
          <w:tcPr>
            <w:tcW w:type="dxa" w:w="4320"/>
          </w:tcPr>
          <w:p>
            <w:r/>
            <w:r>
              <w:t>Write (own controls)</w:t>
            </w:r>
          </w:p>
        </w:tc>
      </w:tr>
    </w:tbl>
    <w:p/>
    <w:p>
      <w:pPr>
        <w:pStyle w:val="Heading4"/>
      </w:pPr>
      <w:r>
        <w:t>`employee`</w:t>
      </w:r>
    </w:p>
    <w:p>
      <w:r>
        <w:t>End user. Can submit access requests and view their own access profile.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Permission Area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Access Level</w:t>
            </w:r>
          </w:p>
        </w:tc>
      </w:tr>
      <w:tr>
        <w:tc>
          <w:tcPr>
            <w:tcW w:type="dxa" w:w="4320"/>
          </w:tcPr>
          <w:p>
            <w:r/>
            <w:r>
              <w:t>Access requests</w:t>
            </w:r>
          </w:p>
        </w:tc>
        <w:tc>
          <w:tcPr>
            <w:tcW w:type="dxa" w:w="4320"/>
          </w:tcPr>
          <w:p>
            <w:r/>
            <w:r>
              <w:t>Submit own</w:t>
            </w:r>
          </w:p>
        </w:tc>
      </w:tr>
      <w:tr>
        <w:tc>
          <w:tcPr>
            <w:tcW w:type="dxa" w:w="4320"/>
          </w:tcPr>
          <w:p>
            <w:r/>
            <w:r>
              <w:t>Approval inbox</w:t>
            </w:r>
          </w:p>
        </w:tc>
        <w:tc>
          <w:tcPr>
            <w:tcW w:type="dxa" w:w="4320"/>
          </w:tcPr>
          <w:p>
            <w:r/>
            <w:r>
              <w:t>Approve delegated requests</w:t>
            </w:r>
          </w:p>
        </w:tc>
      </w:tr>
      <w:tr>
        <w:tc>
          <w:tcPr>
            <w:tcW w:type="dxa" w:w="4320"/>
          </w:tcPr>
          <w:p>
            <w:r/>
            <w:r>
              <w:t>Own user profile</w:t>
            </w:r>
          </w:p>
        </w:tc>
        <w:tc>
          <w:tcPr>
            <w:tcW w:type="dxa" w:w="4320"/>
          </w:tcPr>
          <w:p>
            <w:r/>
            <w:r>
              <w:t>Read</w:t>
            </w:r>
          </w:p>
        </w:tc>
      </w:tr>
      <w:tr>
        <w:tc>
          <w:tcPr>
            <w:tcW w:type="dxa" w:w="4320"/>
          </w:tcPr>
          <w:p>
            <w:r/>
            <w:r>
              <w:t>Own risk summary</w:t>
            </w:r>
          </w:p>
        </w:tc>
        <w:tc>
          <w:tcPr>
            <w:tcW w:type="dxa" w:w="4320"/>
          </w:tcPr>
          <w:p>
            <w:r/>
            <w:r>
              <w:t>Read</w:t>
            </w:r>
          </w:p>
        </w:tc>
      </w:tr>
      <w:tr>
        <w:tc>
          <w:tcPr>
            <w:tcW w:type="dxa" w:w="4320"/>
          </w:tcPr>
          <w:p>
            <w:r/>
            <w:r>
              <w:t>Password reset</w:t>
            </w:r>
          </w:p>
        </w:tc>
        <w:tc>
          <w:tcPr>
            <w:tcW w:type="dxa" w:w="4320"/>
          </w:tcPr>
          <w:p>
            <w:r/>
            <w:r>
              <w:t>Self-service</w:t>
            </w:r>
          </w:p>
        </w:tc>
      </w:tr>
    </w:tbl>
    <w:p/>
    <w:p>
      <w:pPr>
        <w:pStyle w:val="Heading3"/>
      </w:pPr>
      <w:r>
        <w:t>10.2 Permission Matrix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platform_admin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tenant_admin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security_admin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risk_manager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auditor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compliance_officer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control_owner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employee</w:t>
            </w:r>
          </w:p>
        </w:tc>
      </w:tr>
      <w:tr>
        <w:tc>
          <w:tcPr>
            <w:tcW w:type="dxa" w:w="960"/>
          </w:tcPr>
          <w:p>
            <w:r/>
            <w:r>
              <w:t>Manage tenants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</w:tr>
      <w:tr>
        <w:tc>
          <w:tcPr>
            <w:tcW w:type="dxa" w:w="960"/>
          </w:tcPr>
          <w:p>
            <w:r/>
            <w:r>
              <w:t>Manage users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Self</w:t>
            </w:r>
          </w:p>
        </w:tc>
      </w:tr>
      <w:tr>
        <w:tc>
          <w:tcPr>
            <w:tcW w:type="dxa" w:w="960"/>
          </w:tcPr>
          <w:p>
            <w:r/>
            <w:r>
              <w:t>SoD rules CRUD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</w:tr>
      <w:tr>
        <w:tc>
          <w:tcPr>
            <w:tcW w:type="dxa" w:w="960"/>
          </w:tcPr>
          <w:p>
            <w:r/>
            <w:r>
              <w:t>Run ARA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</w:tr>
      <w:tr>
        <w:tc>
          <w:tcPr>
            <w:tcW w:type="dxa" w:w="960"/>
          </w:tcPr>
          <w:p>
            <w:r/>
            <w:r>
              <w:t>Approve requests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Delegated</w:t>
            </w:r>
          </w:p>
        </w:tc>
      </w:tr>
      <w:tr>
        <w:tc>
          <w:tcPr>
            <w:tcW w:type="dxa" w:w="960"/>
          </w:tcPr>
          <w:p>
            <w:r/>
            <w:r>
              <w:t>Firefighter approve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</w:tr>
      <w:tr>
        <w:tc>
          <w:tcPr>
            <w:tcW w:type="dxa" w:w="960"/>
          </w:tcPr>
          <w:p>
            <w:r/>
            <w:r>
              <w:t>Risk register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</w:tr>
      <w:tr>
        <w:tc>
          <w:tcPr>
            <w:tcW w:type="dxa" w:w="960"/>
          </w:tcPr>
          <w:p>
            <w:r/>
            <w:r>
              <w:t>Mitigation controls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</w:tr>
      <w:tr>
        <w:tc>
          <w:tcPr>
            <w:tcW w:type="dxa" w:w="960"/>
          </w:tcPr>
          <w:p>
            <w:r/>
            <w:r>
              <w:t>Certifications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R (own)</w:t>
            </w:r>
          </w:p>
        </w:tc>
      </w:tr>
      <w:tr>
        <w:tc>
          <w:tcPr>
            <w:tcW w:type="dxa" w:w="960"/>
          </w:tcPr>
          <w:p>
            <w:r/>
            <w:r>
              <w:t>Audit management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</w:tr>
      <w:tr>
        <w:tc>
          <w:tcPr>
            <w:tcW w:type="dxa" w:w="960"/>
          </w:tcPr>
          <w:p>
            <w:r/>
            <w:r>
              <w:t>CCM rules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R (own)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</w:tr>
      <w:tr>
        <w:tc>
          <w:tcPr>
            <w:tcW w:type="dxa" w:w="960"/>
          </w:tcPr>
          <w:p>
            <w:r/>
            <w:r>
              <w:t>Reports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R (own)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</w:tr>
      <w:tr>
        <w:tc>
          <w:tcPr>
            <w:tcW w:type="dxa" w:w="960"/>
          </w:tcPr>
          <w:p>
            <w:r/>
            <w:r>
              <w:t>System settings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W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</w:tr>
    </w:tbl>
    <w:p/>
    <w:p>
      <w:r/>
      <w:r>
        <w:rPr>
          <w:rFonts w:ascii="Consolas" w:hAnsi="Consolas"/>
          <w:color w:val="1A1A2E"/>
          <w:sz w:val="18"/>
        </w:rPr>
        <w:t>W</w:t>
      </w:r>
      <w:r>
        <w:t xml:space="preserve"> = Read + Write, </w:t>
      </w:r>
      <w:r>
        <w:rPr>
          <w:rFonts w:ascii="Consolas" w:hAnsi="Consolas"/>
          <w:color w:val="1A1A2E"/>
          <w:sz w:val="18"/>
        </w:rPr>
        <w:t>R</w:t>
      </w:r>
      <w:r>
        <w:t xml:space="preserve"> = Read only, </w:t>
      </w:r>
      <w:r>
        <w:rPr>
          <w:rFonts w:ascii="Consolas" w:hAnsi="Consolas"/>
          <w:color w:val="1A1A2E"/>
          <w:sz w:val="18"/>
        </w:rPr>
        <w:t>—</w:t>
      </w:r>
      <w:r>
        <w:t xml:space="preserve"> = No access, </w:t>
      </w:r>
      <w:r>
        <w:rPr>
          <w:rFonts w:ascii="Consolas" w:hAnsi="Consolas"/>
          <w:color w:val="1A1A2E"/>
          <w:sz w:val="18"/>
        </w:rPr>
        <w:t>Self</w:t>
      </w:r>
      <w:r>
        <w:t xml:space="preserve"> = Own record only.</w:t>
      </w:r>
    </w:p>
    <w:p>
      <w:pPr>
        <w:pStyle w:val="Heading3"/>
      </w:pPr>
      <w:r>
        <w:t>10.3 Custom Role Creation</w:t>
      </w:r>
    </w:p>
    <w:p>
      <w:r>
        <w:t xml:space="preserve">Custom roles can be created via </w:t>
      </w:r>
      <w:r>
        <w:rPr>
          <w:rFonts w:ascii="Consolas" w:hAnsi="Consolas"/>
          <w:color w:val="1A1A2E"/>
          <w:sz w:val="18"/>
        </w:rPr>
        <w:t>POST /api/v1/admin/roles</w:t>
      </w:r>
      <w:r>
        <w:t xml:space="preserve"> by a </w:t>
      </w:r>
      <w:r>
        <w:rPr>
          <w:rFonts w:ascii="Consolas" w:hAnsi="Consolas"/>
          <w:color w:val="1A1A2E"/>
          <w:sz w:val="18"/>
        </w:rPr>
        <w:t>tenant_admin</w:t>
      </w:r>
      <w:r>
        <w:t xml:space="preserve"> or </w:t>
      </w:r>
      <w:r>
        <w:rPr>
          <w:rFonts w:ascii="Consolas" w:hAnsi="Consolas"/>
          <w:color w:val="1A1A2E"/>
          <w:sz w:val="18"/>
        </w:rPr>
        <w:t>platform_admin</w:t>
      </w:r>
      <w:r>
        <w:t>. A custom role is composed by selecting a base role and adding or removing specific permission scopes: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"role_name": "ap_specialist",</w:t>
        <w:br/>
      </w:r>
      <w:r>
        <w:rPr>
          <w:rFonts w:ascii="Consolas" w:hAnsi="Consolas"/>
          <w:color w:val="333333"/>
          <w:sz w:val="18"/>
        </w:rPr>
        <w:t xml:space="preserve">  "display_name": "Accounts Payable Specialist",</w:t>
        <w:br/>
      </w:r>
      <w:r>
        <w:rPr>
          <w:rFonts w:ascii="Consolas" w:hAnsi="Consolas"/>
          <w:color w:val="333333"/>
          <w:sz w:val="18"/>
        </w:rPr>
        <w:t xml:space="preserve">  "base_role": "employee",</w:t>
        <w:br/>
      </w:r>
      <w:r>
        <w:rPr>
          <w:rFonts w:ascii="Consolas" w:hAnsi="Consolas"/>
          <w:color w:val="333333"/>
          <w:sz w:val="18"/>
        </w:rPr>
        <w:t xml:space="preserve">  "additional_permissions": [</w:t>
        <w:br/>
      </w:r>
      <w:r>
        <w:rPr>
          <w:rFonts w:ascii="Consolas" w:hAnsi="Consolas"/>
          <w:color w:val="333333"/>
          <w:sz w:val="18"/>
        </w:rPr>
        <w:t xml:space="preserve">    "access_requests:view_all",</w:t>
        <w:br/>
      </w:r>
      <w:r>
        <w:rPr>
          <w:rFonts w:ascii="Consolas" w:hAnsi="Consolas"/>
          <w:color w:val="333333"/>
          <w:sz w:val="18"/>
        </w:rPr>
        <w:t xml:space="preserve">    "risk:view_violations",</w:t>
        <w:br/>
      </w:r>
      <w:r>
        <w:rPr>
          <w:rFonts w:ascii="Consolas" w:hAnsi="Consolas"/>
          <w:color w:val="333333"/>
          <w:sz w:val="18"/>
        </w:rPr>
        <w:t xml:space="preserve">    "reports:generate:ap_reports"</w:t>
        <w:br/>
      </w:r>
      <w:r>
        <w:rPr>
          <w:rFonts w:ascii="Consolas" w:hAnsi="Consolas"/>
          <w:color w:val="333333"/>
          <w:sz w:val="18"/>
        </w:rPr>
        <w:t xml:space="preserve">  ],</w:t>
        <w:br/>
      </w:r>
      <w:r>
        <w:rPr>
          <w:rFonts w:ascii="Consolas" w:hAnsi="Consolas"/>
          <w:color w:val="333333"/>
          <w:sz w:val="18"/>
        </w:rPr>
        <w:t xml:space="preserve">  "removed_permissions": [],</w:t>
        <w:br/>
      </w:r>
      <w:r>
        <w:rPr>
          <w:rFonts w:ascii="Consolas" w:hAnsi="Consolas"/>
          <w:color w:val="333333"/>
          <w:sz w:val="18"/>
        </w:rPr>
        <w:t xml:space="preserve">  "description": "AP team members who need visibility into AP-related violations",</w:t>
        <w:br/>
      </w:r>
      <w:r>
        <w:rPr>
          <w:rFonts w:ascii="Consolas" w:hAnsi="Consolas"/>
          <w:color w:val="333333"/>
          <w:sz w:val="18"/>
        </w:rPr>
        <w:t xml:space="preserve">  "tenant_id": "acme-corp"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t>Custom roles are subject to the same JWT claim embedding as built-in roles. They appear in the approval workflow stage configuration and can be assigned as approver types.</w:t>
      </w:r>
    </w:p>
    <w:p>
      <w:r>
        <w:rPr>
          <w:color w:val="CCCCCC"/>
        </w:rPr>
        <w:t>____________________________________________________________</w:t>
      </w:r>
    </w:p>
    <w:p>
      <w:r/>
      <w:r>
        <w:rPr>
          <w:i/>
        </w:rPr>
        <w:t>For additional configuration assistance, refer to the [SAP Integration Guide](./10-SAP-Integration-Guide.md), [AI Intelligence Guide](./11-AI-Intelligence-Guide.md), and [Deployment &amp; Operations Guide](./12-Deployment-Operations-Guide.md).</w:t>
      </w:r>
      <w:r/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C2D6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2D6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C2D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C2D6B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0C2D6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