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GovernexPlus — SAP Integration &amp; Connectivity Guide</w:t>
      </w:r>
    </w:p>
    <w:p>
      <w:r/>
      <w:r>
        <w:rPr>
          <w:b/>
        </w:rPr>
        <w:t>Version:</w:t>
      </w:r>
      <w:r>
        <w:t xml:space="preserve"> 2.0</w:t>
      </w:r>
    </w:p>
    <w:p>
      <w:r/>
      <w:r>
        <w:rPr>
          <w:b/>
        </w:rPr>
        <w:t>Applies to:</w:t>
      </w:r>
      <w:r>
        <w:t xml:space="preserve"> GovernexPlus 2.x</w:t>
      </w:r>
    </w:p>
    <w:p>
      <w:r/>
      <w:r>
        <w:rPr>
          <w:b/>
        </w:rPr>
        <w:t>Last updated:</w:t>
      </w:r>
      <w:r>
        <w:t xml:space="preserve"> 2026-09-06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Overview</w:t>
      </w:r>
    </w:p>
    <w:p>
      <w:pPr>
        <w:pStyle w:val="ListNumber"/>
      </w:pPr>
      <w:r>
        <w:t>Prerequisites</w:t>
      </w:r>
    </w:p>
    <w:p>
      <w:pPr>
        <w:pStyle w:val="ListNumber"/>
      </w:pPr>
      <w:r>
        <w:t>Connection Configuration</w:t>
      </w:r>
    </w:p>
    <w:p>
      <w:pPr>
        <w:pStyle w:val="ListNumber"/>
      </w:pPr>
      <w:r>
        <w:t>User &amp; Role Extraction</w:t>
      </w:r>
    </w:p>
    <w:p>
      <w:pPr>
        <w:pStyle w:val="ListNumber"/>
      </w:pPr>
      <w:r>
        <w:t>Authorization Extraction</w:t>
      </w:r>
    </w:p>
    <w:p>
      <w:pPr>
        <w:pStyle w:val="ListNumber"/>
      </w:pPr>
      <w:r>
        <w:t>Transaction Usage Data</w:t>
      </w:r>
    </w:p>
    <w:p>
      <w:pPr>
        <w:pStyle w:val="ListNumber"/>
      </w:pPr>
      <w:r>
        <w:t>Firefighter Operations</w:t>
      </w:r>
    </w:p>
    <w:p>
      <w:pPr>
        <w:pStyle w:val="ListNumber"/>
      </w:pPr>
      <w:r>
        <w:t>Provisioning via RFC</w:t>
      </w:r>
    </w:p>
    <w:p>
      <w:pPr>
        <w:pStyle w:val="ListNumber"/>
      </w:pPr>
      <w:r>
        <w:t>S/4HANA Specifics</w:t>
      </w:r>
    </w:p>
    <w:p>
      <w:pPr>
        <w:pStyle w:val="ListNumber"/>
      </w:pPr>
      <w:r>
        <w:t>Mock / Simulation Mode</w:t>
      </w:r>
    </w:p>
    <w:p>
      <w:pPr>
        <w:pStyle w:val="ListNumber"/>
      </w:pPr>
      <w:r>
        <w:t>Azure AD Integration</w:t>
      </w:r>
    </w:p>
    <w:p>
      <w:pPr>
        <w:pStyle w:val="ListNumber"/>
      </w:pPr>
      <w:r>
        <w:t>Workday &amp; SuccessFactors Integration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1. Overview</w:t>
      </w:r>
    </w:p>
    <w:p>
      <w:r>
        <w:t>GovernexPlus connects to SAP ECC 6.0, SAP S/4HANA (on-premise and private cloud), and SAP BTP environments to extract user master data, role and authorization objects, transaction usage statistics, and to perform provisioning and firefighter operations.</w:t>
      </w:r>
    </w:p>
    <w:p>
      <w:r>
        <w:t xml:space="preserve">The integration layer is implemented in </w:t>
      </w:r>
      <w:r>
        <w:rPr>
          <w:rFonts w:ascii="Consolas" w:hAnsi="Consolas"/>
          <w:color w:val="1A1A2E"/>
          <w:sz w:val="18"/>
        </w:rPr>
        <w:t>connectors/sap/</w:t>
      </w:r>
      <w:r>
        <w:t xml:space="preserve"> and is orchestrated by </w:t>
      </w:r>
      <w:r>
        <w:rPr>
          <w:rFonts w:ascii="Consolas" w:hAnsi="Consolas"/>
          <w:color w:val="1A1A2E"/>
          <w:sz w:val="18"/>
        </w:rPr>
        <w:t>core/integrations/connectors.py</w:t>
      </w:r>
      <w:r>
        <w:t xml:space="preserve">. The connector design follows a provider abstraction pattern — all SAP-specific logic is encapsulated behind a </w:t>
      </w:r>
      <w:r>
        <w:rPr>
          <w:rFonts w:ascii="Consolas" w:hAnsi="Consolas"/>
          <w:color w:val="1A1A2E"/>
          <w:sz w:val="18"/>
        </w:rPr>
        <w:t>SAPConnector</w:t>
      </w:r>
      <w:r>
        <w:t xml:space="preserve"> interface, allowing mock, RFC, and future REST-based implementations to be swapped without changes to the business logic layer.</w:t>
      </w:r>
    </w:p>
    <w:p>
      <w:r/>
      <w:r>
        <w:rPr>
          <w:b/>
        </w:rPr>
        <w:t>Data flow: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SAP System (ECC / S/4HANA)</w:t>
        <w:br/>
      </w:r>
      <w:r>
        <w:rPr>
          <w:rFonts w:ascii="Consolas" w:hAnsi="Consolas"/>
          <w:color w:val="333333"/>
          <w:sz w:val="18"/>
        </w:rPr>
        <w:t xml:space="preserve">       │</w:t>
        <w:br/>
      </w:r>
      <w:r>
        <w:rPr>
          <w:rFonts w:ascii="Consolas" w:hAnsi="Consolas"/>
          <w:color w:val="333333"/>
          <w:sz w:val="18"/>
        </w:rPr>
        <w:t xml:space="preserve">       │  pyrfc (RFC/BAPI calls)</w:t>
        <w:br/>
      </w:r>
      <w:r>
        <w:rPr>
          <w:rFonts w:ascii="Consolas" w:hAnsi="Consolas"/>
          <w:color w:val="333333"/>
          <w:sz w:val="18"/>
        </w:rPr>
        <w:t xml:space="preserve">       │</w:t>
        <w:br/>
      </w:r>
      <w:r>
        <w:rPr>
          <w:rFonts w:ascii="Consolas" w:hAnsi="Consolas"/>
          <w:color w:val="333333"/>
          <w:sz w:val="18"/>
        </w:rPr>
        <w:t>connectors/sap/connector.py</w:t>
        <w:br/>
      </w:r>
      <w:r>
        <w:rPr>
          <w:rFonts w:ascii="Consolas" w:hAnsi="Consolas"/>
          <w:color w:val="333333"/>
          <w:sz w:val="18"/>
        </w:rPr>
        <w:t xml:space="preserve">       │</w:t>
        <w:br/>
      </w:r>
      <w:r>
        <w:rPr>
          <w:rFonts w:ascii="Consolas" w:hAnsi="Consolas"/>
          <w:color w:val="333333"/>
          <w:sz w:val="18"/>
        </w:rPr>
        <w:t>core/integrations/connectors.py   ←— scheduler / on-demand sync</w:t>
        <w:br/>
      </w:r>
      <w:r>
        <w:rPr>
          <w:rFonts w:ascii="Consolas" w:hAnsi="Consolas"/>
          <w:color w:val="333333"/>
          <w:sz w:val="18"/>
        </w:rPr>
        <w:t xml:space="preserve">       │</w:t>
        <w:br/>
      </w:r>
      <w:r>
        <w:rPr>
          <w:rFonts w:ascii="Consolas" w:hAnsi="Consolas"/>
          <w:color w:val="333333"/>
          <w:sz w:val="18"/>
        </w:rPr>
        <w:t>DB (PostgreSQL) — users, roles, violations, usage</w:t>
        <w:br/>
      </w:r>
      <w:r>
        <w:rPr>
          <w:rFonts w:ascii="Consolas" w:hAnsi="Consolas"/>
          <w:color w:val="333333"/>
          <w:sz w:val="18"/>
        </w:rPr>
        <w:t xml:space="preserve">       │</w:t>
        <w:br/>
      </w:r>
      <w:r>
        <w:rPr>
          <w:rFonts w:ascii="Consolas" w:hAnsi="Consolas"/>
          <w:color w:val="333333"/>
          <w:sz w:val="18"/>
        </w:rPr>
        <w:t>API layer — ARA, dashboards, reports, firefighter</w:t>
        <w:br/>
      </w:r>
    </w:p>
    <w:p>
      <w:r/>
      <w:r>
        <w:rPr>
          <w:b/>
        </w:rPr>
        <w:t>Integration capabilities summary: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ECC 6.0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S/4HANA OP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S/4HANA Cloud</w:t>
            </w:r>
          </w:p>
        </w:tc>
      </w:tr>
      <w:tr>
        <w:tc>
          <w:tcPr>
            <w:tcW w:type="dxa" w:w="2160"/>
          </w:tcPr>
          <w:p>
            <w:r/>
            <w:r>
              <w:t>User master extraction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REST (limited)</w:t>
            </w:r>
          </w:p>
        </w:tc>
      </w:tr>
      <w:tr>
        <w:tc>
          <w:tcPr>
            <w:tcW w:type="dxa" w:w="2160"/>
          </w:tcPr>
          <w:p>
            <w:r/>
            <w:r>
              <w:t>Role/profile extraction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REST (limited)</w:t>
            </w:r>
          </w:p>
        </w:tc>
      </w:tr>
      <w:tr>
        <w:tc>
          <w:tcPr>
            <w:tcW w:type="dxa" w:w="2160"/>
          </w:tcPr>
          <w:p>
            <w:r/>
            <w:r>
              <w:t>Authorization object extraction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Transaction usage (SM20/STAD)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Firefighter lock/unlock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Provisioning (role assign/remove)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Partial</w:t>
            </w:r>
          </w:p>
        </w:tc>
      </w:tr>
      <w:tr>
        <w:tc>
          <w:tcPr>
            <w:tcW w:type="dxa" w:w="2160"/>
          </w:tcPr>
          <w:p>
            <w:r/>
            <w:r>
              <w:t>Fiori app catalog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Business Partner sync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2. Prerequisites</w:t>
      </w:r>
    </w:p>
    <w:p>
      <w:pPr>
        <w:pStyle w:val="Heading3"/>
      </w:pPr>
      <w:r>
        <w:t>2.1 SAP NetWeaver RFC SDK</w:t>
      </w:r>
    </w:p>
    <w:p>
      <w:r>
        <w:t xml:space="preserve">GovernexPlus uses the </w:t>
      </w:r>
      <w:r>
        <w:rPr>
          <w:rFonts w:ascii="Consolas" w:hAnsi="Consolas"/>
          <w:color w:val="1A1A2E"/>
          <w:sz w:val="18"/>
        </w:rPr>
        <w:t>pyrfc</w:t>
      </w:r>
      <w:r>
        <w:t xml:space="preserve"> Python library, which is a Cython wrapper around the SAP NetWeaver RFC SDK (NWRFC SDK). The NWRFC SDK must be installed on the GovernexPlus server before the </w:t>
      </w:r>
      <w:r>
        <w:rPr>
          <w:rFonts w:ascii="Consolas" w:hAnsi="Consolas"/>
          <w:color w:val="1A1A2E"/>
          <w:sz w:val="18"/>
        </w:rPr>
        <w:t>pyrfc</w:t>
      </w:r>
      <w:r>
        <w:t xml:space="preserve"> package can be used.</w:t>
      </w:r>
    </w:p>
    <w:p>
      <w:r/>
      <w:r>
        <w:rPr>
          <w:b/>
        </w:rPr>
        <w:t>Installation steps:</w:t>
      </w:r>
      <w:r/>
    </w:p>
    <w:p>
      <w:pPr>
        <w:pStyle w:val="ListNumber"/>
      </w:pPr>
      <w:r>
        <w:t>Download the NWRFC SDK from the SAP Service Marketplace (SAP ONE Support Launchpad → Software Downloads → Search "NWRFC").</w:t>
      </w:r>
    </w:p>
    <w:p>
      <w:r>
        <w:t xml:space="preserve">   - Package name: </w:t>
      </w:r>
      <w:r>
        <w:rPr>
          <w:rFonts w:ascii="Consolas" w:hAnsi="Consolas"/>
          <w:color w:val="1A1A2E"/>
          <w:sz w:val="18"/>
        </w:rPr>
        <w:t>NWRFC_SDK_&lt;version&gt;_&lt;os&gt;.zip</w:t>
      </w:r>
      <w:r/>
    </w:p>
    <w:p>
      <w:r>
        <w:t xml:space="preserve">   - Required version: 7.50 or higher.</w:t>
      </w:r>
    </w:p>
    <w:p>
      <w:pPr>
        <w:pStyle w:val="ListNumber"/>
      </w:pPr>
      <w:r>
        <w:t>Extract and install the SDK libraries:</w:t>
      </w:r>
    </w:p>
    <w:p>
      <w:r>
        <w:t xml:space="preserve">   ```bash</w:t>
      </w:r>
    </w:p>
    <w:p>
      <w:r>
        <w:t xml:space="preserve">   # Linux (recommended deployment OS)</w:t>
      </w:r>
    </w:p>
    <w:p>
      <w:r>
        <w:t xml:space="preserve">   mkdir -p /usr/local/sap/nwrfcsdk</w:t>
      </w:r>
    </w:p>
    <w:p>
      <w:r>
        <w:t xml:space="preserve">   unzip nwrfc750P_&lt;patch&gt;.zip -d /usr/local/sap/nwrfcsdk/</w:t>
      </w:r>
    </w:p>
    <w:p>
      <w:r>
        <w:t xml:space="preserve">   # Add to LD_LIBRARY_PATH</w:t>
      </w:r>
    </w:p>
    <w:p>
      <w:r>
        <w:t xml:space="preserve">   echo '/usr/local/sap/nwrfcsdk/lib' | tee /etc/ld.so.conf.d/nwrfcsdk.conf</w:t>
      </w:r>
    </w:p>
    <w:p>
      <w:r>
        <w:t xml:space="preserve">   ldconfig</w:t>
      </w:r>
    </w:p>
    <w:p>
      <w:r>
        <w:t xml:space="preserve">   # Set required environment variable</w:t>
      </w:r>
    </w:p>
    <w:p>
      <w:r>
        <w:t xml:space="preserve">   export SAPNWRFC_HOME=/usr/local/sap/nwrfcsdk</w:t>
      </w:r>
    </w:p>
    <w:p>
      <w:r>
        <w:t xml:space="preserve">   ```</w:t>
      </w:r>
    </w:p>
    <w:p>
      <w:pPr>
        <w:pStyle w:val="ListNumber"/>
      </w:pPr>
      <w:r>
        <w:t xml:space="preserve">Install </w:t>
      </w:r>
      <w:r>
        <w:rPr>
          <w:rFonts w:ascii="Consolas" w:hAnsi="Consolas"/>
          <w:color w:val="1A1A2E"/>
          <w:sz w:val="18"/>
        </w:rPr>
        <w:t>pyrfc</w:t>
      </w:r>
      <w:r>
        <w:t>:</w:t>
      </w:r>
    </w:p>
    <w:p>
      <w:r>
        <w:t xml:space="preserve">   ```bash</w:t>
      </w:r>
    </w:p>
    <w:p>
      <w:r>
        <w:t xml:space="preserve">   pip install pyrfc==3.3.1</w:t>
      </w:r>
    </w:p>
    <w:p>
      <w:r>
        <w:t xml:space="preserve">   ```</w:t>
      </w:r>
    </w:p>
    <w:p>
      <w:pPr>
        <w:pStyle w:val="ListNumber"/>
      </w:pPr>
      <w:r>
        <w:t>Verify installation:</w:t>
      </w:r>
    </w:p>
    <w:p>
      <w:r>
        <w:t xml:space="preserve">   ```python</w:t>
      </w:r>
    </w:p>
    <w:p>
      <w:r>
        <w:t xml:space="preserve">   import pyrfc</w:t>
      </w:r>
    </w:p>
    <w:p>
      <w:r>
        <w:t xml:space="preserve">   print(pyrfc.__version__)</w:t>
      </w:r>
    </w:p>
    <w:p>
      <w:r>
        <w:t xml:space="preserve">   ```</w:t>
      </w:r>
    </w:p>
    <w:p>
      <w:pPr>
        <w:ind w:left="720"/>
      </w:pPr>
      <w:r>
        <w:rPr>
          <w:i/>
          <w:color w:val="555555"/>
        </w:rPr>
        <w:t>**Docker note:** When running GovernexPlus in Docker, the NWRFC SDK libraries must be copied into the container image. See the `Dockerfile.prod` comments for the multi-stage build approach that copies SDK files from a private registry or build arg.</w:t>
      </w:r>
    </w:p>
    <w:p>
      <w:pPr>
        <w:pStyle w:val="Heading3"/>
      </w:pPr>
      <w:r>
        <w:t>2.2 SAP RFC Service User Setup</w:t>
      </w:r>
    </w:p>
    <w:p>
      <w:r>
        <w:t xml:space="preserve">A dedicated RFC service user must be created in each SAP system. This user should be of type </w:t>
      </w:r>
      <w:r>
        <w:rPr>
          <w:rFonts w:ascii="Consolas" w:hAnsi="Consolas"/>
          <w:color w:val="1A1A2E"/>
          <w:sz w:val="18"/>
        </w:rPr>
        <w:t>S</w:t>
      </w:r>
      <w:r>
        <w:t xml:space="preserve"> (System) in SAP, which prevents interactive logon and excludes the user from SoD analysis.</w:t>
      </w:r>
    </w:p>
    <w:p>
      <w:r/>
      <w:r>
        <w:rPr>
          <w:b/>
        </w:rPr>
        <w:t>Minimum authorizations required: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Authorization Object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S_RFC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RFC_TYPE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FUGR</w:t>
            </w:r>
            <w:r/>
          </w:p>
        </w:tc>
        <w:tc>
          <w:tcPr>
            <w:tcW w:type="dxa" w:w="2160"/>
          </w:tcPr>
          <w:p>
            <w:r/>
            <w:r>
              <w:t>Allow function group RFC calls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S_RFC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RFC_NAME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SUSR*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BAPI*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SUIM*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RFC1</w:t>
            </w:r>
            <w:r/>
          </w:p>
        </w:tc>
        <w:tc>
          <w:tcPr>
            <w:tcW w:type="dxa" w:w="2160"/>
          </w:tcPr>
          <w:p>
            <w:r/>
            <w:r>
              <w:t>Allow required function groups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S_TCODE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TCD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SM20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STAD</w:t>
            </w:r>
            <w:r/>
          </w:p>
        </w:tc>
        <w:tc>
          <w:tcPr>
            <w:tcW w:type="dxa" w:w="2160"/>
          </w:tcPr>
          <w:p>
            <w:r/>
            <w:r>
              <w:t>Allow audit log extraction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S_USER_GRP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ACTVT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03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05</w:t>
            </w:r>
            <w:r/>
          </w:p>
        </w:tc>
        <w:tc>
          <w:tcPr>
            <w:tcW w:type="dxa" w:w="2160"/>
          </w:tcPr>
          <w:p>
            <w:r/>
            <w:r>
              <w:t>Read user master data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S_USER_GRP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CLASS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*</w:t>
            </w:r>
            <w:r/>
          </w:p>
        </w:tc>
        <w:tc>
          <w:tcPr>
            <w:tcW w:type="dxa" w:w="2160"/>
          </w:tcPr>
          <w:p>
            <w:r/>
            <w:r>
              <w:t>All user groups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S_USER_AGR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ACTVT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03</w:t>
            </w:r>
            <w:r/>
          </w:p>
        </w:tc>
        <w:tc>
          <w:tcPr>
            <w:tcW w:type="dxa" w:w="2160"/>
          </w:tcPr>
          <w:p>
            <w:r/>
            <w:r>
              <w:t>Read role assignments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S_TABU_DIS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ACTVT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03</w:t>
            </w:r>
            <w:r/>
          </w:p>
        </w:tc>
        <w:tc>
          <w:tcPr>
            <w:tcW w:type="dxa" w:w="2160"/>
          </w:tcPr>
          <w:p>
            <w:r/>
            <w:r>
              <w:t>Read authorization tables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S_TABU_DIS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DICBERCLS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SS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SC</w:t>
            </w:r>
            <w:r/>
          </w:p>
        </w:tc>
        <w:tc>
          <w:tcPr>
            <w:tcW w:type="dxa" w:w="2160"/>
          </w:tcPr>
          <w:p>
            <w:r/>
            <w:r>
              <w:t>System and customer table access</w:t>
            </w:r>
          </w:p>
        </w:tc>
      </w:tr>
    </w:tbl>
    <w:p/>
    <w:p>
      <w:r>
        <w:t xml:space="preserve">A pre-built SAP role </w:t>
      </w:r>
      <w:r>
        <w:rPr>
          <w:rFonts w:ascii="Consolas" w:hAnsi="Consolas"/>
          <w:color w:val="1A1A2E"/>
          <w:sz w:val="18"/>
        </w:rPr>
        <w:t>ZGX_RFC_READ</w:t>
      </w:r>
      <w:r>
        <w:t xml:space="preserve"> is provided in </w:t>
      </w:r>
      <w:r>
        <w:rPr>
          <w:rFonts w:ascii="Consolas" w:hAnsi="Consolas"/>
          <w:color w:val="1A1A2E"/>
          <w:sz w:val="18"/>
        </w:rPr>
        <w:t>docs/sap-role-exports/ZGX_RFC_READ.txt</w:t>
      </w:r>
      <w:r>
        <w:t xml:space="preserve"> and can be imported via transaction </w:t>
      </w:r>
      <w:r>
        <w:rPr>
          <w:rFonts w:ascii="Consolas" w:hAnsi="Consolas"/>
          <w:color w:val="1A1A2E"/>
          <w:sz w:val="18"/>
        </w:rPr>
        <w:t>PFCG</w:t>
      </w:r>
      <w:r>
        <w:t>.</w:t>
      </w:r>
    </w:p>
    <w:p>
      <w:r>
        <w:t xml:space="preserve">For provisioning and firefighter operations, an additional privileged user (type </w:t>
      </w:r>
      <w:r>
        <w:rPr>
          <w:rFonts w:ascii="Consolas" w:hAnsi="Consolas"/>
          <w:color w:val="1A1A2E"/>
          <w:sz w:val="18"/>
        </w:rPr>
        <w:t>S</w:t>
      </w:r>
      <w:r>
        <w:t>) with the following objects is required: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Authorization Object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S_USER_AGR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ACTVT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01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02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06</w:t>
            </w:r>
            <w:r/>
          </w:p>
        </w:tc>
        <w:tc>
          <w:tcPr>
            <w:tcW w:type="dxa" w:w="2160"/>
          </w:tcPr>
          <w:p>
            <w:r/>
            <w:r>
              <w:t>Assign/remove roles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S_USER_GRP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ACTVT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01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02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05</w:t>
            </w:r>
            <w:r/>
          </w:p>
        </w:tc>
        <w:tc>
          <w:tcPr>
            <w:tcW w:type="dxa" w:w="2160"/>
          </w:tcPr>
          <w:p>
            <w:r/>
            <w:r>
              <w:t>Create/modify users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S_USER_PWD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ACTVT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03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05</w:t>
            </w:r>
            <w:r/>
          </w:p>
        </w:tc>
        <w:tc>
          <w:tcPr>
            <w:tcW w:type="dxa" w:w="2160"/>
          </w:tcPr>
          <w:p>
            <w:r/>
            <w:r>
              <w:t>Reset passwords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3. Connection Configuration</w:t>
      </w:r>
    </w:p>
    <w:p>
      <w:pPr>
        <w:pStyle w:val="Heading3"/>
      </w:pPr>
      <w:r>
        <w:t>3.1 Direct Application Server Connection</w:t>
      </w:r>
    </w:p>
    <w:p>
      <w:r>
        <w:t>The simplest connection type. Connects to a single SAP application server instance.</w:t>
      </w:r>
    </w:p>
    <w:p>
      <w:r>
        <w:t>Environment variables: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SAP_HOST=sap-ecc.acme.com</w:t>
        <w:br/>
      </w:r>
      <w:r>
        <w:rPr>
          <w:rFonts w:ascii="Consolas" w:hAnsi="Consolas"/>
          <w:color w:val="333333"/>
          <w:sz w:val="18"/>
        </w:rPr>
        <w:t>SAP_SYSNR=00</w:t>
        <w:br/>
      </w:r>
      <w:r>
        <w:rPr>
          <w:rFonts w:ascii="Consolas" w:hAnsi="Consolas"/>
          <w:color w:val="333333"/>
          <w:sz w:val="18"/>
        </w:rPr>
        <w:t>SAP_CLIENT=100</w:t>
        <w:br/>
      </w:r>
      <w:r>
        <w:rPr>
          <w:rFonts w:ascii="Consolas" w:hAnsi="Consolas"/>
          <w:color w:val="333333"/>
          <w:sz w:val="18"/>
        </w:rPr>
        <w:t>SAP_USER=GNX_RFC</w:t>
        <w:br/>
      </w:r>
      <w:r>
        <w:rPr>
          <w:rFonts w:ascii="Consolas" w:hAnsi="Consolas"/>
          <w:color w:val="333333"/>
          <w:sz w:val="18"/>
        </w:rPr>
        <w:t>SAP_PASSWORD=SecretPassword123</w:t>
        <w:br/>
      </w:r>
      <w:r>
        <w:rPr>
          <w:rFonts w:ascii="Consolas" w:hAnsi="Consolas"/>
          <w:color w:val="333333"/>
          <w:sz w:val="18"/>
        </w:rPr>
        <w:t>SAP_LANGUAGE=EN</w:t>
        <w:br/>
      </w:r>
      <w:r>
        <w:rPr>
          <w:rFonts w:ascii="Consolas" w:hAnsi="Consolas"/>
          <w:color w:val="333333"/>
          <w:sz w:val="18"/>
        </w:rPr>
        <w:t>SAP_USE_MOCK=false</w:t>
        <w:br/>
      </w:r>
    </w:p>
    <w:p>
      <w:r>
        <w:t xml:space="preserve">Programmatic connection parameters passed to </w:t>
      </w:r>
      <w:r>
        <w:rPr>
          <w:rFonts w:ascii="Consolas" w:hAnsi="Consolas"/>
          <w:color w:val="1A1A2E"/>
          <w:sz w:val="18"/>
        </w:rPr>
        <w:t>pyrfc.Connection</w:t>
      </w:r>
      <w:r>
        <w:t>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conn_params = {</w:t>
        <w:br/>
      </w:r>
      <w:r>
        <w:rPr>
          <w:rFonts w:ascii="Consolas" w:hAnsi="Consolas"/>
          <w:color w:val="333333"/>
          <w:sz w:val="18"/>
        </w:rPr>
        <w:t xml:space="preserve">    "ashost": settings.SAP_HOST,</w:t>
        <w:br/>
      </w:r>
      <w:r>
        <w:rPr>
          <w:rFonts w:ascii="Consolas" w:hAnsi="Consolas"/>
          <w:color w:val="333333"/>
          <w:sz w:val="18"/>
        </w:rPr>
        <w:t xml:space="preserve">    "sysnr": settings.SAP_SYSNR,</w:t>
        <w:br/>
      </w:r>
      <w:r>
        <w:rPr>
          <w:rFonts w:ascii="Consolas" w:hAnsi="Consolas"/>
          <w:color w:val="333333"/>
          <w:sz w:val="18"/>
        </w:rPr>
        <w:t xml:space="preserve">    "client": settings.SAP_CLIENT,</w:t>
        <w:br/>
      </w:r>
      <w:r>
        <w:rPr>
          <w:rFonts w:ascii="Consolas" w:hAnsi="Consolas"/>
          <w:color w:val="333333"/>
          <w:sz w:val="18"/>
        </w:rPr>
        <w:t xml:space="preserve">    "user": settings.SAP_USER,</w:t>
        <w:br/>
      </w:r>
      <w:r>
        <w:rPr>
          <w:rFonts w:ascii="Consolas" w:hAnsi="Consolas"/>
          <w:color w:val="333333"/>
          <w:sz w:val="18"/>
        </w:rPr>
        <w:t xml:space="preserve">    "passwd": settings.SAP_PASSWORD,</w:t>
        <w:br/>
      </w:r>
      <w:r>
        <w:rPr>
          <w:rFonts w:ascii="Consolas" w:hAnsi="Consolas"/>
          <w:color w:val="333333"/>
          <w:sz w:val="18"/>
        </w:rPr>
        <w:t xml:space="preserve">    "lang": settings.SAP_LANGUAGE,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3"/>
      </w:pPr>
      <w:r>
        <w:t>3.2 Load-Balanced Connection (Message Server)</w:t>
      </w:r>
    </w:p>
    <w:p>
      <w:r>
        <w:t>For production SAP systems with multiple application server instances, use message server-based load balancing: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SAP_MSG_HOST=sap-msg.acme.com</w:t>
        <w:br/>
      </w:r>
      <w:r>
        <w:rPr>
          <w:rFonts w:ascii="Consolas" w:hAnsi="Consolas"/>
          <w:color w:val="333333"/>
          <w:sz w:val="18"/>
        </w:rPr>
        <w:t>SAP_MSG_SERVICE=sapmsP01</w:t>
        <w:br/>
      </w:r>
      <w:r>
        <w:rPr>
          <w:rFonts w:ascii="Consolas" w:hAnsi="Consolas"/>
          <w:color w:val="333333"/>
          <w:sz w:val="18"/>
        </w:rPr>
        <w:t>SAP_LOGON_GROUP=PUBLIC</w:t>
        <w:br/>
      </w:r>
      <w:r>
        <w:rPr>
          <w:rFonts w:ascii="Consolas" w:hAnsi="Consolas"/>
          <w:color w:val="333333"/>
          <w:sz w:val="18"/>
        </w:rPr>
        <w:t>SAP_SYSNR=01</w:t>
        <w:br/>
      </w:r>
      <w:r>
        <w:rPr>
          <w:rFonts w:ascii="Consolas" w:hAnsi="Consolas"/>
          <w:color w:val="333333"/>
          <w:sz w:val="18"/>
        </w:rPr>
        <w:t>SAP_CLIENT=100</w:t>
        <w:br/>
      </w:r>
      <w:r>
        <w:rPr>
          <w:rFonts w:ascii="Consolas" w:hAnsi="Consolas"/>
          <w:color w:val="333333"/>
          <w:sz w:val="18"/>
        </w:rPr>
        <w:t>SAP_USER=GNX_RFC</w:t>
        <w:br/>
      </w:r>
      <w:r>
        <w:rPr>
          <w:rFonts w:ascii="Consolas" w:hAnsi="Consolas"/>
          <w:color w:val="333333"/>
          <w:sz w:val="18"/>
        </w:rPr>
        <w:t>SAP_PASSWORD=SecretPassword123</w:t>
        <w:br/>
      </w:r>
    </w:p>
    <w:p>
      <w:pPr>
        <w:ind w:left="432"/>
      </w:pPr>
      <w:r>
        <w:rPr>
          <w:rFonts w:ascii="Consolas" w:hAnsi="Consolas"/>
          <w:color w:val="333333"/>
          <w:sz w:val="18"/>
        </w:rPr>
        <w:t>conn_params = {</w:t>
        <w:br/>
      </w:r>
      <w:r>
        <w:rPr>
          <w:rFonts w:ascii="Consolas" w:hAnsi="Consolas"/>
          <w:color w:val="333333"/>
          <w:sz w:val="18"/>
        </w:rPr>
        <w:t xml:space="preserve">    "mshost": settings.SAP_MSG_HOST,</w:t>
        <w:br/>
      </w:r>
      <w:r>
        <w:rPr>
          <w:rFonts w:ascii="Consolas" w:hAnsi="Consolas"/>
          <w:color w:val="333333"/>
          <w:sz w:val="18"/>
        </w:rPr>
        <w:t xml:space="preserve">    "msserv": settings.SAP_MSG_SERVICE,</w:t>
        <w:br/>
      </w:r>
      <w:r>
        <w:rPr>
          <w:rFonts w:ascii="Consolas" w:hAnsi="Consolas"/>
          <w:color w:val="333333"/>
          <w:sz w:val="18"/>
        </w:rPr>
        <w:t xml:space="preserve">    "sysid": settings.SAP_SYSID,</w:t>
        <w:br/>
      </w:r>
      <w:r>
        <w:rPr>
          <w:rFonts w:ascii="Consolas" w:hAnsi="Consolas"/>
          <w:color w:val="333333"/>
          <w:sz w:val="18"/>
        </w:rPr>
        <w:t xml:space="preserve">    "group": settings.SAP_LOGON_GROUP,</w:t>
        <w:br/>
      </w:r>
      <w:r>
        <w:rPr>
          <w:rFonts w:ascii="Consolas" w:hAnsi="Consolas"/>
          <w:color w:val="333333"/>
          <w:sz w:val="18"/>
        </w:rPr>
        <w:t xml:space="preserve">    "client": settings.SAP_CLIENT,</w:t>
        <w:br/>
      </w:r>
      <w:r>
        <w:rPr>
          <w:rFonts w:ascii="Consolas" w:hAnsi="Consolas"/>
          <w:color w:val="333333"/>
          <w:sz w:val="18"/>
        </w:rPr>
        <w:t xml:space="preserve">    "user": settings.SAP_USER,</w:t>
        <w:br/>
      </w:r>
      <w:r>
        <w:rPr>
          <w:rFonts w:ascii="Consolas" w:hAnsi="Consolas"/>
          <w:color w:val="333333"/>
          <w:sz w:val="18"/>
        </w:rPr>
        <w:t xml:space="preserve">    "passwd": settings.SAP_PASSWORD,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3"/>
      </w:pPr>
      <w:r>
        <w:t>3.3 SNC (Secure Network Communication) Setup</w:t>
      </w:r>
    </w:p>
    <w:p>
      <w:r>
        <w:t>SNC encrypts the RFC communication channel using X.509 certificates, eliminating the need to transmit the RFC user password over the network. SNC is strongly recommended for production environments.</w:t>
      </w:r>
    </w:p>
    <w:p>
      <w:r/>
      <w:r>
        <w:rPr>
          <w:b/>
        </w:rPr>
        <w:t>Requirements:</w:t>
      </w:r>
      <w:r/>
    </w:p>
    <w:p>
      <w:pPr>
        <w:pStyle w:val="ListBullet"/>
      </w:pPr>
      <w:r>
        <w:t>SAP Cryptographic Library (</w:t>
      </w:r>
      <w:r>
        <w:rPr>
          <w:rFonts w:ascii="Consolas" w:hAnsi="Consolas"/>
          <w:color w:val="1A1A2E"/>
          <w:sz w:val="18"/>
        </w:rPr>
        <w:t>libsapcrypto.so</w:t>
      </w:r>
      <w:r>
        <w:t>) installed on the GovernexPlus server.</w:t>
      </w:r>
    </w:p>
    <w:p>
      <w:pPr>
        <w:pStyle w:val="ListBullet"/>
      </w:pPr>
      <w:r>
        <w:t>A PKCS#12 certificate for the GovernexPlus client identity, created by your PKI.</w:t>
      </w:r>
    </w:p>
    <w:p>
      <w:pPr>
        <w:pStyle w:val="ListBullet"/>
      </w:pPr>
      <w:r>
        <w:t xml:space="preserve">The GovernexPlus SNC identity registered in SAP transaction </w:t>
      </w:r>
      <w:r>
        <w:rPr>
          <w:rFonts w:ascii="Consolas" w:hAnsi="Consolas"/>
          <w:color w:val="1A1A2E"/>
          <w:sz w:val="18"/>
        </w:rPr>
        <w:t>SM30</w:t>
      </w:r>
      <w:r>
        <w:t xml:space="preserve"> (table </w:t>
      </w:r>
      <w:r>
        <w:rPr>
          <w:rFonts w:ascii="Consolas" w:hAnsi="Consolas"/>
          <w:color w:val="1A1A2E"/>
          <w:sz w:val="18"/>
        </w:rPr>
        <w:t>VSNCSYSACL</w:t>
      </w:r>
      <w:r>
        <w:t>).</w:t>
      </w:r>
    </w:p>
    <w:p>
      <w:r/>
      <w:r>
        <w:rPr>
          <w:b/>
        </w:rPr>
        <w:t>Environment variables for SNC: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SAP_SNC_LIB=/usr/lib/libsapcrypto.so</w:t>
        <w:br/>
      </w:r>
      <w:r>
        <w:rPr>
          <w:rFonts w:ascii="Consolas" w:hAnsi="Consolas"/>
          <w:color w:val="333333"/>
          <w:sz w:val="18"/>
        </w:rPr>
        <w:t>SAP_SNC_MY_NAME=p:CN=GNX-PROD,O=ACME,C=US</w:t>
        <w:br/>
      </w:r>
      <w:r>
        <w:rPr>
          <w:rFonts w:ascii="Consolas" w:hAnsi="Consolas"/>
          <w:color w:val="333333"/>
          <w:sz w:val="18"/>
        </w:rPr>
        <w:t>SAP_SNC_PARTNER_NAME=p:CN=SAP-PRD,O=ACME,C=US</w:t>
        <w:br/>
      </w:r>
      <w:r>
        <w:rPr>
          <w:rFonts w:ascii="Consolas" w:hAnsi="Consolas"/>
          <w:color w:val="333333"/>
          <w:sz w:val="18"/>
        </w:rPr>
        <w:t>SAP_SNC_QOP=9</w:t>
        <w:br/>
      </w:r>
    </w:p>
    <w:p>
      <w:r/>
      <w:r>
        <w:rPr>
          <w:rFonts w:ascii="Consolas" w:hAnsi="Consolas"/>
          <w:color w:val="1A1A2E"/>
          <w:sz w:val="18"/>
        </w:rPr>
        <w:t>SAP_SNC_QOP</w:t>
      </w:r>
      <w:r>
        <w:t xml:space="preserve"> (Quality of Protection):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1</w:t>
      </w:r>
      <w:r>
        <w:t xml:space="preserve"> — Authentication only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2</w:t>
      </w:r>
      <w:r>
        <w:t xml:space="preserve"> — Integrity protection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3</w:t>
      </w:r>
      <w:r>
        <w:t xml:space="preserve"> — Privacy (encryption)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9</w:t>
      </w:r>
      <w:r>
        <w:t xml:space="preserve"> — Maximum available (recommended)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conn_params.update({</w:t>
        <w:br/>
      </w:r>
      <w:r>
        <w:rPr>
          <w:rFonts w:ascii="Consolas" w:hAnsi="Consolas"/>
          <w:color w:val="333333"/>
          <w:sz w:val="18"/>
        </w:rPr>
        <w:t xml:space="preserve">    "snc_lib": settings.SAP_SNC_LIB,</w:t>
        <w:br/>
      </w:r>
      <w:r>
        <w:rPr>
          <w:rFonts w:ascii="Consolas" w:hAnsi="Consolas"/>
          <w:color w:val="333333"/>
          <w:sz w:val="18"/>
        </w:rPr>
        <w:t xml:space="preserve">    "snc_myname": settings.SAP_SNC_MY_NAME,</w:t>
        <w:br/>
      </w:r>
      <w:r>
        <w:rPr>
          <w:rFonts w:ascii="Consolas" w:hAnsi="Consolas"/>
          <w:color w:val="333333"/>
          <w:sz w:val="18"/>
        </w:rPr>
        <w:t xml:space="preserve">    "snc_partnername": settings.SAP_SNC_PARTNER_NAME,</w:t>
        <w:br/>
      </w:r>
      <w:r>
        <w:rPr>
          <w:rFonts w:ascii="Consolas" w:hAnsi="Consolas"/>
          <w:color w:val="333333"/>
          <w:sz w:val="18"/>
        </w:rPr>
        <w:t xml:space="preserve">    "snc_qop": settings.SAP_SNC_QOP,</w:t>
        <w:br/>
      </w:r>
      <w:r>
        <w:rPr>
          <w:rFonts w:ascii="Consolas" w:hAnsi="Consolas"/>
          <w:color w:val="333333"/>
          <w:sz w:val="18"/>
        </w:rPr>
        <w:t>})</w:t>
        <w:br/>
      </w:r>
    </w:p>
    <w:p>
      <w:r>
        <w:t xml:space="preserve">When SNC is enabled, </w:t>
      </w:r>
      <w:r>
        <w:rPr>
          <w:rFonts w:ascii="Consolas" w:hAnsi="Consolas"/>
          <w:color w:val="1A1A2E"/>
          <w:sz w:val="18"/>
        </w:rPr>
        <w:t>user</w:t>
      </w:r>
      <w:r>
        <w:t xml:space="preserve"> and </w:t>
      </w:r>
      <w:r>
        <w:rPr>
          <w:rFonts w:ascii="Consolas" w:hAnsi="Consolas"/>
          <w:color w:val="1A1A2E"/>
          <w:sz w:val="18"/>
        </w:rPr>
        <w:t>passwd</w:t>
      </w:r>
      <w:r>
        <w:t xml:space="preserve"> parameters are omitted from the connection dictionary — identity is established via the certificate.</w:t>
      </w:r>
    </w:p>
    <w:p>
      <w:pPr>
        <w:pStyle w:val="Heading3"/>
      </w:pPr>
      <w:r>
        <w:t>3.4 Connection Pooling</w:t>
      </w:r>
    </w:p>
    <w:p>
      <w:r>
        <w:t xml:space="preserve">The SAP connector maintains a connection pool of </w:t>
      </w:r>
      <w:r>
        <w:rPr>
          <w:rFonts w:ascii="Consolas" w:hAnsi="Consolas"/>
          <w:color w:val="1A1A2E"/>
          <w:sz w:val="18"/>
        </w:rPr>
        <w:t>pyrfc.Connection</w:t>
      </w:r>
      <w:r>
        <w:t xml:space="preserve"> instances per SAP system per GovernexPlus tenant. Pool configuration: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SAP_POOL_SIZE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5</w:t>
            </w:r>
            <w:r/>
          </w:p>
        </w:tc>
        <w:tc>
          <w:tcPr>
            <w:tcW w:type="dxa" w:w="2880"/>
          </w:tcPr>
          <w:p>
            <w:r/>
            <w:r>
              <w:t>Maximum simultaneous RFC connections per system.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SAP_CONNECTION_TIMEOUT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30</w:t>
            </w:r>
            <w:r/>
          </w:p>
        </w:tc>
        <w:tc>
          <w:tcPr>
            <w:tcW w:type="dxa" w:w="2880"/>
          </w:tcPr>
          <w:p>
            <w:r/>
            <w:r>
              <w:t>Seconds before an idle connection is closed.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SAP_CALL_TIMEOUT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120</w:t>
            </w:r>
            <w:r/>
          </w:p>
        </w:tc>
        <w:tc>
          <w:tcPr>
            <w:tcW w:type="dxa" w:w="2880"/>
          </w:tcPr>
          <w:p>
            <w:r/>
            <w:r>
              <w:t>Seconds before a single RFC call is aborted.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4. User &amp; Role Extraction</w:t>
      </w:r>
    </w:p>
    <w:p>
      <w:pPr>
        <w:pStyle w:val="Heading3"/>
      </w:pPr>
      <w:r>
        <w:t>4.1 BAPIs Used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BAPI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BAPI_USER_GETLIST</w:t>
            </w:r>
            <w:r/>
          </w:p>
        </w:tc>
        <w:tc>
          <w:tcPr>
            <w:tcW w:type="dxa" w:w="4320"/>
          </w:tcPr>
          <w:p>
            <w:r/>
            <w:r>
              <w:t>Enumerate all SAP user IDs filtered by user group, logon date range, or user type.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BAPI_USER_GET_DETAIL</w:t>
            </w:r>
            <w:r/>
          </w:p>
        </w:tc>
        <w:tc>
          <w:tcPr>
            <w:tcW w:type="dxa" w:w="4320"/>
          </w:tcPr>
          <w:p>
            <w:r/>
            <w:r>
              <w:t>Retrieve full user master record for a single user (logon data, personal data, role assignments, profile assignments).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SUSR_USER_AUTH_FOR_OBJ_GET</w:t>
            </w:r>
            <w:r/>
          </w:p>
        </w:tc>
        <w:tc>
          <w:tcPr>
            <w:tcW w:type="dxa" w:w="4320"/>
          </w:tcPr>
          <w:p>
            <w:r/>
            <w:r>
              <w:t>Retrieve all authorization values for a specific object for a given user.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PRGN_ACTIVITY_GROUPS_LOAD_RFC</w:t>
            </w:r>
            <w:r/>
          </w:p>
        </w:tc>
        <w:tc>
          <w:tcPr>
            <w:tcW w:type="dxa" w:w="4320"/>
          </w:tcPr>
          <w:p>
            <w:r/>
            <w:r>
              <w:t>Load role/profile data from the source system for role comparison.</w:t>
            </w:r>
          </w:p>
        </w:tc>
      </w:tr>
    </w:tbl>
    <w:p/>
    <w:p>
      <w:pPr>
        <w:pStyle w:val="Heading3"/>
      </w:pPr>
      <w:r>
        <w:t>4.2 Tables Read Directly</w:t>
      </w:r>
    </w:p>
    <w:p>
      <w:r>
        <w:t xml:space="preserve">For high-volume extraction, GovernexPlus uses </w:t>
      </w:r>
      <w:r>
        <w:rPr>
          <w:rFonts w:ascii="Consolas" w:hAnsi="Consolas"/>
          <w:color w:val="1A1A2E"/>
          <w:sz w:val="18"/>
        </w:rPr>
        <w:t>RFC_READ_TABLE</w:t>
      </w:r>
      <w:r>
        <w:t xml:space="preserve"> to read SAP tables directly. This is faster than calling individual BAPIs for each user.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Used For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USR02</w:t>
            </w:r>
            <w:r/>
          </w:p>
        </w:tc>
        <w:tc>
          <w:tcPr>
            <w:tcW w:type="dxa" w:w="2880"/>
          </w:tcPr>
          <w:p>
            <w:r/>
            <w:r>
              <w:t>User logon data (password hash, lock status, last logon)</w:t>
            </w:r>
          </w:p>
        </w:tc>
        <w:tc>
          <w:tcPr>
            <w:tcW w:type="dxa" w:w="2880"/>
          </w:tcPr>
          <w:p>
            <w:r/>
            <w:r>
              <w:t>User sync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USR21</w:t>
            </w:r>
            <w:r/>
          </w:p>
        </w:tc>
        <w:tc>
          <w:tcPr>
            <w:tcW w:type="dxa" w:w="2880"/>
          </w:tcPr>
          <w:p>
            <w:r/>
            <w:r>
              <w:t>User address key (links to ADR6)</w:t>
            </w:r>
          </w:p>
        </w:tc>
        <w:tc>
          <w:tcPr>
            <w:tcW w:type="dxa" w:w="2880"/>
          </w:tcPr>
          <w:p>
            <w:r/>
            <w:r>
              <w:t>Name/email resolution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ADR6</w:t>
            </w:r>
            <w:r/>
          </w:p>
        </w:tc>
        <w:tc>
          <w:tcPr>
            <w:tcW w:type="dxa" w:w="2880"/>
          </w:tcPr>
          <w:p>
            <w:r/>
            <w:r>
              <w:t>Email addresses</w:t>
            </w:r>
          </w:p>
        </w:tc>
        <w:tc>
          <w:tcPr>
            <w:tcW w:type="dxa" w:w="2880"/>
          </w:tcPr>
          <w:p>
            <w:r/>
            <w:r>
              <w:t>Contact data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AGR_USERS</w:t>
            </w:r>
            <w:r/>
          </w:p>
        </w:tc>
        <w:tc>
          <w:tcPr>
            <w:tcW w:type="dxa" w:w="2880"/>
          </w:tcPr>
          <w:p>
            <w:r/>
            <w:r>
              <w:t>Role-to-user assignment with validity dates</w:t>
            </w:r>
          </w:p>
        </w:tc>
        <w:tc>
          <w:tcPr>
            <w:tcW w:type="dxa" w:w="2880"/>
          </w:tcPr>
          <w:p>
            <w:r/>
            <w:r>
              <w:t>Role assignment sync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AGR_AGRS</w:t>
            </w:r>
            <w:r/>
          </w:p>
        </w:tc>
        <w:tc>
          <w:tcPr>
            <w:tcW w:type="dxa" w:w="2880"/>
          </w:tcPr>
          <w:p>
            <w:r/>
            <w:r>
              <w:t>Composite role members</w:t>
            </w:r>
          </w:p>
        </w:tc>
        <w:tc>
          <w:tcPr>
            <w:tcW w:type="dxa" w:w="2880"/>
          </w:tcPr>
          <w:p>
            <w:r/>
            <w:r>
              <w:t>Role hierarchy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AGR_1251</w:t>
            </w:r>
            <w:r/>
          </w:p>
        </w:tc>
        <w:tc>
          <w:tcPr>
            <w:tcW w:type="dxa" w:w="2880"/>
          </w:tcPr>
          <w:p>
            <w:r/>
            <w:r>
              <w:t>Authorization object values within roles</w:t>
            </w:r>
          </w:p>
        </w:tc>
        <w:tc>
          <w:tcPr>
            <w:tcW w:type="dxa" w:w="2880"/>
          </w:tcPr>
          <w:p>
            <w:r/>
            <w:r>
              <w:t>Authorization extraction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AGR_1252</w:t>
            </w:r>
            <w:r/>
          </w:p>
        </w:tc>
        <w:tc>
          <w:tcPr>
            <w:tcW w:type="dxa" w:w="2880"/>
          </w:tcPr>
          <w:p>
            <w:r/>
            <w:r>
              <w:t>Organization-level values for roles</w:t>
            </w:r>
          </w:p>
        </w:tc>
        <w:tc>
          <w:tcPr>
            <w:tcW w:type="dxa" w:w="2880"/>
          </w:tcPr>
          <w:p>
            <w:r/>
            <w:r>
              <w:t>Org-level auth values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UST04</w:t>
            </w:r>
            <w:r/>
          </w:p>
        </w:tc>
        <w:tc>
          <w:tcPr>
            <w:tcW w:type="dxa" w:w="2880"/>
          </w:tcPr>
          <w:p>
            <w:r/>
            <w:r>
              <w:t>User-to-profile assignments</w:t>
            </w:r>
          </w:p>
        </w:tc>
        <w:tc>
          <w:tcPr>
            <w:tcW w:type="dxa" w:w="2880"/>
          </w:tcPr>
          <w:p>
            <w:r/>
            <w:r>
              <w:t>Profile-based auth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UST10S</w:t>
            </w:r>
            <w:r/>
          </w:p>
        </w:tc>
        <w:tc>
          <w:tcPr>
            <w:tcW w:type="dxa" w:w="2880"/>
          </w:tcPr>
          <w:p>
            <w:r/>
            <w:r>
              <w:t>Single profiles (expanded)</w:t>
            </w:r>
          </w:p>
        </w:tc>
        <w:tc>
          <w:tcPr>
            <w:tcW w:type="dxa" w:w="2880"/>
          </w:tcPr>
          <w:p>
            <w:r/>
            <w:r>
              <w:t>Profile authorization data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UST12</w:t>
            </w:r>
            <w:r/>
          </w:p>
        </w:tc>
        <w:tc>
          <w:tcPr>
            <w:tcW w:type="dxa" w:w="2880"/>
          </w:tcPr>
          <w:p>
            <w:r/>
            <w:r>
              <w:t>Authorization values per profile</w:t>
            </w:r>
          </w:p>
        </w:tc>
        <w:tc>
          <w:tcPr>
            <w:tcW w:type="dxa" w:w="2880"/>
          </w:tcPr>
          <w:p>
            <w:r/>
            <w:r>
              <w:t>Auth value extraction</w:t>
            </w:r>
          </w:p>
        </w:tc>
      </w:tr>
    </w:tbl>
    <w:p/>
    <w:p>
      <w:pPr>
        <w:pStyle w:val="Heading3"/>
      </w:pPr>
      <w:r>
        <w:t>4.3 Sync Scheduling</w:t>
      </w:r>
    </w:p>
    <w:p>
      <w:r>
        <w:t>User and role data is synchronized on two schedules: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Sync 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Default Schedule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/>
            <w:r>
              <w:t>Full sync</w:t>
            </w:r>
          </w:p>
        </w:tc>
        <w:tc>
          <w:tcPr>
            <w:tcW w:type="dxa" w:w="2160"/>
          </w:tcPr>
          <w:p>
            <w:r/>
            <w:r>
              <w:t>Daily at 02:00</w:t>
            </w:r>
          </w:p>
        </w:tc>
        <w:tc>
          <w:tcPr>
            <w:tcW w:type="dxa" w:w="2160"/>
          </w:tcPr>
          <w:p>
            <w:r/>
            <w:r>
              <w:t>Scheduler</w:t>
            </w:r>
          </w:p>
        </w:tc>
        <w:tc>
          <w:tcPr>
            <w:tcW w:type="dxa" w:w="2160"/>
          </w:tcPr>
          <w:p>
            <w:r/>
            <w:r>
              <w:t>All users, all roles, all authorizations</w:t>
            </w:r>
          </w:p>
        </w:tc>
      </w:tr>
      <w:tr>
        <w:tc>
          <w:tcPr>
            <w:tcW w:type="dxa" w:w="2160"/>
          </w:tcPr>
          <w:p>
            <w:r/>
            <w:r>
              <w:t>Delta sync</w:t>
            </w:r>
          </w:p>
        </w:tc>
        <w:tc>
          <w:tcPr>
            <w:tcW w:type="dxa" w:w="2160"/>
          </w:tcPr>
          <w:p>
            <w:r/>
            <w:r>
              <w:t>Every 4 hours</w:t>
            </w:r>
          </w:p>
        </w:tc>
        <w:tc>
          <w:tcPr>
            <w:tcW w:type="dxa" w:w="2160"/>
          </w:tcPr>
          <w:p>
            <w:r/>
            <w:r>
              <w:t>Scheduler</w:t>
            </w:r>
          </w:p>
        </w:tc>
        <w:tc>
          <w:tcPr>
            <w:tcW w:type="dxa" w:w="2160"/>
          </w:tcPr>
          <w:p>
            <w:r/>
            <w:r>
              <w:t xml:space="preserve">Users with </w:t>
            </w:r>
            <w:r>
              <w:rPr>
                <w:rFonts w:ascii="Consolas" w:hAnsi="Consolas"/>
                <w:color w:val="1A1A2E"/>
                <w:sz w:val="18"/>
              </w:rPr>
              <w:t>MODDA</w:t>
            </w:r>
            <w:r>
              <w:t xml:space="preserve"> (last modified date) after last sync</w:t>
            </w:r>
          </w:p>
        </w:tc>
      </w:tr>
      <w:tr>
        <w:tc>
          <w:tcPr>
            <w:tcW w:type="dxa" w:w="2160"/>
          </w:tcPr>
          <w:p>
            <w:r/>
            <w:r>
              <w:t>On-demand sync</w:t>
            </w:r>
          </w:p>
        </w:tc>
        <w:tc>
          <w:tcPr>
            <w:tcW w:type="dxa" w:w="2160"/>
          </w:tcPr>
          <w:p>
            <w:r/>
            <w:r>
              <w:t>Manual</w:t>
            </w:r>
          </w:p>
        </w:tc>
        <w:tc>
          <w:tcPr>
            <w:tcW w:type="dxa" w:w="2160"/>
          </w:tcPr>
          <w:p>
            <w:r/>
            <w:r>
              <w:t xml:space="preserve">API: </w:t>
            </w:r>
            <w:r>
              <w:rPr>
                <w:rFonts w:ascii="Consolas" w:hAnsi="Consolas"/>
                <w:color w:val="1A1A2E"/>
                <w:sz w:val="18"/>
              </w:rPr>
              <w:t>POST /api/v1/integrations/sap/sync</w:t>
            </w:r>
            <w:r/>
          </w:p>
        </w:tc>
        <w:tc>
          <w:tcPr>
            <w:tcW w:type="dxa" w:w="2160"/>
          </w:tcPr>
          <w:p>
            <w:r/>
            <w:r>
              <w:t>Specific user or all users</w:t>
            </w:r>
          </w:p>
        </w:tc>
      </w:tr>
      <w:tr>
        <w:tc>
          <w:tcPr>
            <w:tcW w:type="dxa" w:w="2160"/>
          </w:tcPr>
          <w:p>
            <w:r/>
            <w:r>
              <w:t>Event-triggered sync</w:t>
            </w:r>
          </w:p>
        </w:tc>
        <w:tc>
          <w:tcPr>
            <w:tcW w:type="dxa" w:w="2160"/>
          </w:tcPr>
          <w:p>
            <w:r/>
            <w:r>
              <w:t>Within 5 minutes</w:t>
            </w:r>
          </w:p>
        </w:tc>
        <w:tc>
          <w:tcPr>
            <w:tcW w:type="dxa" w:w="2160"/>
          </w:tcPr>
          <w:p>
            <w:r/>
            <w:r>
              <w:t>JML hire/transfer/terminate event</w:t>
            </w:r>
          </w:p>
        </w:tc>
        <w:tc>
          <w:tcPr>
            <w:tcW w:type="dxa" w:w="2160"/>
          </w:tcPr>
          <w:p>
            <w:r/>
            <w:r>
              <w:t>Specific user only</w:t>
            </w:r>
          </w:p>
        </w:tc>
      </w:tr>
    </w:tbl>
    <w:p/>
    <w:p>
      <w:pPr>
        <w:pStyle w:val="Heading3"/>
      </w:pPr>
      <w:r>
        <w:t>4.4 Delta vs Full Sync</w:t>
      </w:r>
    </w:p>
    <w:p>
      <w:r/>
      <w:r>
        <w:rPr>
          <w:b/>
        </w:rPr>
        <w:t>Full sync:</w:t>
      </w:r>
      <w:r/>
    </w:p>
    <w:p>
      <w:pPr>
        <w:pStyle w:val="ListBullet"/>
      </w:pPr>
      <w:r>
        <w:t xml:space="preserve">Reads the complete </w:t>
      </w:r>
      <w:r>
        <w:rPr>
          <w:rFonts w:ascii="Consolas" w:hAnsi="Consolas"/>
          <w:color w:val="1A1A2E"/>
          <w:sz w:val="18"/>
        </w:rPr>
        <w:t>USR02</w:t>
      </w:r>
      <w:r>
        <w:t xml:space="preserve"> and </w:t>
      </w:r>
      <w:r>
        <w:rPr>
          <w:rFonts w:ascii="Consolas" w:hAnsi="Consolas"/>
          <w:color w:val="1A1A2E"/>
          <w:sz w:val="18"/>
        </w:rPr>
        <w:t>AGR_USERS</w:t>
      </w:r>
      <w:r>
        <w:t xml:space="preserve"> tables.</w:t>
      </w:r>
    </w:p>
    <w:p>
      <w:pPr>
        <w:pStyle w:val="ListBullet"/>
      </w:pPr>
      <w:r>
        <w:t>Compares against the GovernexPlus database and applies creates, updates, and soft-deletes.</w:t>
      </w:r>
    </w:p>
    <w:p>
      <w:pPr>
        <w:pStyle w:val="ListBullet"/>
      </w:pPr>
      <w:r>
        <w:t>Duration: 5–30 minutes depending on user count.</w:t>
      </w:r>
    </w:p>
    <w:p>
      <w:pPr>
        <w:pStyle w:val="ListBullet"/>
      </w:pPr>
      <w:r>
        <w:t>Recommended to run during off-peak hours.</w:t>
      </w:r>
    </w:p>
    <w:p>
      <w:r/>
      <w:r>
        <w:rPr>
          <w:b/>
        </w:rPr>
        <w:t>Delta sync:</w:t>
      </w:r>
      <w:r/>
    </w:p>
    <w:p>
      <w:pPr>
        <w:pStyle w:val="ListBullet"/>
      </w:pPr>
      <w:r>
        <w:t xml:space="preserve">Reads only records where </w:t>
      </w:r>
      <w:r>
        <w:rPr>
          <w:rFonts w:ascii="Consolas" w:hAnsi="Consolas"/>
          <w:color w:val="1A1A2E"/>
          <w:sz w:val="18"/>
        </w:rPr>
        <w:t>MODDA &gt;= last_sync_timestamp</w:t>
      </w:r>
      <w:r>
        <w:t>.</w:t>
      </w:r>
    </w:p>
    <w:p>
      <w:pPr>
        <w:pStyle w:val="ListBullet"/>
      </w:pPr>
      <w:r>
        <w:t>Much faster (typically 30 seconds for &lt;1,000 changes).</w:t>
      </w:r>
    </w:p>
    <w:p>
      <w:pPr>
        <w:pStyle w:val="ListBullet"/>
      </w:pPr>
      <w:r>
        <w:t>May miss deletions — full sync is required to detect removed assignments.</w:t>
      </w:r>
    </w:p>
    <w:p>
      <w:r>
        <w:t>Delta sync configuration: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"delta_sync": {</w:t>
        <w:br/>
      </w:r>
      <w:r>
        <w:rPr>
          <w:rFonts w:ascii="Consolas" w:hAnsi="Consolas"/>
          <w:color w:val="333333"/>
          <w:sz w:val="18"/>
        </w:rPr>
        <w:t xml:space="preserve">    "enabled": true,</w:t>
        <w:br/>
      </w:r>
      <w:r>
        <w:rPr>
          <w:rFonts w:ascii="Consolas" w:hAnsi="Consolas"/>
          <w:color w:val="333333"/>
          <w:sz w:val="18"/>
        </w:rPr>
        <w:t xml:space="preserve">    "interval_hours": 4,</w:t>
        <w:br/>
      </w:r>
      <w:r>
        <w:rPr>
          <w:rFonts w:ascii="Consolas" w:hAnsi="Consolas"/>
          <w:color w:val="333333"/>
          <w:sz w:val="18"/>
        </w:rPr>
        <w:t xml:space="preserve">    "missed_delta_threshold": 3,</w:t>
        <w:br/>
      </w:r>
      <w:r>
        <w:rPr>
          <w:rFonts w:ascii="Consolas" w:hAnsi="Consolas"/>
          <w:color w:val="333333"/>
          <w:sz w:val="18"/>
        </w:rPr>
        <w:t xml:space="preserve">    "fallback_to_full_sync_on_miss": true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5. Authorization Extraction</w:t>
      </w:r>
    </w:p>
    <w:p>
      <w:pPr>
        <w:pStyle w:val="Heading3"/>
      </w:pPr>
      <w:r>
        <w:t>5.1 Authorization Object Model</w:t>
      </w:r>
    </w:p>
    <w:p>
      <w:r>
        <w:t xml:space="preserve">SAP authorization objects are the atomic unit of access control. Each object has a name (e.g., </w:t>
      </w:r>
      <w:r>
        <w:rPr>
          <w:rFonts w:ascii="Consolas" w:hAnsi="Consolas"/>
          <w:color w:val="1A1A2E"/>
          <w:sz w:val="18"/>
        </w:rPr>
        <w:t>F_BKPF_BUK</w:t>
      </w:r>
      <w:r>
        <w:t xml:space="preserve">), up to 10 fields (e.g., </w:t>
      </w:r>
      <w:r>
        <w:rPr>
          <w:rFonts w:ascii="Consolas" w:hAnsi="Consolas"/>
          <w:color w:val="1A1A2E"/>
          <w:sz w:val="18"/>
        </w:rPr>
        <w:t>ACTVT</w:t>
      </w:r>
      <w:r>
        <w:t xml:space="preserve">, </w:t>
      </w:r>
      <w:r>
        <w:rPr>
          <w:rFonts w:ascii="Consolas" w:hAnsi="Consolas"/>
          <w:color w:val="1A1A2E"/>
          <w:sz w:val="18"/>
        </w:rPr>
        <w:t>BUKRS</w:t>
      </w:r>
      <w:r>
        <w:t xml:space="preserve">), and each field has a set of permitted values (e.g., </w:t>
      </w:r>
      <w:r>
        <w:rPr>
          <w:rFonts w:ascii="Consolas" w:hAnsi="Consolas"/>
          <w:color w:val="1A1A2E"/>
          <w:sz w:val="18"/>
        </w:rPr>
        <w:t>01</w:t>
      </w:r>
      <w:r>
        <w:t xml:space="preserve">, </w:t>
      </w:r>
      <w:r>
        <w:rPr>
          <w:rFonts w:ascii="Consolas" w:hAnsi="Consolas"/>
          <w:color w:val="1A1A2E"/>
          <w:sz w:val="18"/>
        </w:rPr>
        <w:t>02</w:t>
      </w:r>
      <w:r>
        <w:t xml:space="preserve">, </w:t>
      </w:r>
      <w:r>
        <w:rPr>
          <w:rFonts w:ascii="Consolas" w:hAnsi="Consolas"/>
          <w:color w:val="1A1A2E"/>
          <w:sz w:val="18"/>
        </w:rPr>
        <w:t>03</w:t>
      </w:r>
      <w:r>
        <w:t>).</w:t>
      </w:r>
    </w:p>
    <w:p>
      <w:r>
        <w:t>GovernexPlus extracts the full authorization object/field/value matrix for each user by:</w:t>
      </w:r>
    </w:p>
    <w:p>
      <w:pPr>
        <w:pStyle w:val="ListNumber"/>
      </w:pPr>
      <w:r>
        <w:t>Expanding the user's role assignments → profiles → authorization objects.</w:t>
      </w:r>
    </w:p>
    <w:p>
      <w:pPr>
        <w:pStyle w:val="ListNumber"/>
      </w:pPr>
      <w:r>
        <w:t>Supplementing with direct profile assignments.</w:t>
      </w:r>
    </w:p>
    <w:p>
      <w:pPr>
        <w:pStyle w:val="ListNumber"/>
      </w:pPr>
      <w:r>
        <w:t>Resolving composite roles to their member single roles.</w:t>
      </w:r>
    </w:p>
    <w:p>
      <w:pPr>
        <w:pStyle w:val="ListNumber"/>
      </w:pPr>
      <w:r>
        <w:t xml:space="preserve">Applying org-level variable substitutions (from </w:t>
      </w:r>
      <w:r>
        <w:rPr>
          <w:rFonts w:ascii="Consolas" w:hAnsi="Consolas"/>
          <w:color w:val="1A1A2E"/>
          <w:sz w:val="18"/>
        </w:rPr>
        <w:t>AGR_1252</w:t>
      </w:r>
      <w:r>
        <w:t>).</w:t>
      </w:r>
    </w:p>
    <w:p>
      <w:pPr>
        <w:pStyle w:val="Heading3"/>
      </w:pPr>
      <w:r>
        <w:t>5.2 Profile Generation Data</w:t>
      </w:r>
    </w:p>
    <w:p>
      <w:r>
        <w:t xml:space="preserve">When SAP role profiles are in a "not generated" state (i.e., authorization data has changed but </w:t>
      </w:r>
      <w:r>
        <w:rPr>
          <w:rFonts w:ascii="Consolas" w:hAnsi="Consolas"/>
          <w:color w:val="1A1A2E"/>
          <w:sz w:val="18"/>
        </w:rPr>
        <w:t>PFCG</w:t>
      </w:r>
      <w:r>
        <w:t xml:space="preserve"> generation has not been run), the authorizations in </w:t>
      </w:r>
      <w:r>
        <w:rPr>
          <w:rFonts w:ascii="Consolas" w:hAnsi="Consolas"/>
          <w:color w:val="1A1A2E"/>
          <w:sz w:val="18"/>
        </w:rPr>
        <w:t>AGR_1251</w:t>
      </w:r>
      <w:r>
        <w:t xml:space="preserve"> may be stale. GovernexPlus detects ungenerated profiles via: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Check AGR_DEFINE.GENERATE_FLAG</w:t>
        <w:br/>
      </w:r>
      <w:r>
        <w:rPr>
          <w:rFonts w:ascii="Consolas" w:hAnsi="Consolas"/>
          <w:color w:val="333333"/>
          <w:sz w:val="18"/>
        </w:rPr>
        <w:t># G = generated, N = not generated, _ = new (never generated)</w:t>
        <w:br/>
      </w:r>
      <w:r>
        <w:rPr>
          <w:rFonts w:ascii="Consolas" w:hAnsi="Consolas"/>
          <w:color w:val="333333"/>
          <w:sz w:val="18"/>
        </w:rPr>
        <w:t>ungenerated = [r for r in roles if r['GENERATE_FLAG'] != 'G']</w:t>
        <w:br/>
      </w:r>
    </w:p>
    <w:p>
      <w:r>
        <w:t>Ungenerated roles are flagged in the UI with a warning icon and excluded from the authoritative authorization matrix until regenerated in SAP.</w:t>
      </w:r>
    </w:p>
    <w:p>
      <w:pPr>
        <w:pStyle w:val="Heading3"/>
      </w:pPr>
      <w:r>
        <w:t>5.3 Org-Level Values</w:t>
      </w:r>
    </w:p>
    <w:p>
      <w:r>
        <w:t xml:space="preserve">Authorization objects in SAP may contain organization-level fields (e.g., </w:t>
      </w:r>
      <w:r>
        <w:rPr>
          <w:rFonts w:ascii="Consolas" w:hAnsi="Consolas"/>
          <w:color w:val="1A1A2E"/>
          <w:sz w:val="18"/>
        </w:rPr>
        <w:t>BUKRS</w:t>
      </w:r>
      <w:r>
        <w:t xml:space="preserve"> — company code, </w:t>
      </w:r>
      <w:r>
        <w:rPr>
          <w:rFonts w:ascii="Consolas" w:hAnsi="Consolas"/>
          <w:color w:val="1A1A2E"/>
          <w:sz w:val="18"/>
        </w:rPr>
        <w:t>WERKS</w:t>
      </w:r>
      <w:r>
        <w:t xml:space="preserve"> — plant, </w:t>
      </w:r>
      <w:r>
        <w:rPr>
          <w:rFonts w:ascii="Consolas" w:hAnsi="Consolas"/>
          <w:color w:val="1A1A2E"/>
          <w:sz w:val="18"/>
        </w:rPr>
        <w:t>VKORG</w:t>
      </w:r>
      <w:r>
        <w:t xml:space="preserve"> — sales org). These are stored in </w:t>
      </w:r>
      <w:r>
        <w:rPr>
          <w:rFonts w:ascii="Consolas" w:hAnsi="Consolas"/>
          <w:color w:val="1A1A2E"/>
          <w:sz w:val="18"/>
        </w:rPr>
        <w:t>AGR_1252</w:t>
      </w:r>
      <w:r>
        <w:t xml:space="preserve"> as variable mappings.</w:t>
      </w:r>
    </w:p>
    <w:p>
      <w:r>
        <w:t>GovernexPlus resolves org-level values during extraction and expands variable placeholders to their concrete values, enabling accurate SoD analysis at the org-level (e.g., detecting a user who can create vendors in company code 1000 AND process payments in company code 1000 — a genuine conflict — versus one who operates in different company codes — potentially acceptable under org-level controls).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6. Transaction Usage Data</w:t>
      </w:r>
    </w:p>
    <w:p>
      <w:r>
        <w:t>Usage-aware risk scoring is one of GovernexPlus's key differentiators over SAP GRC. The platform extracts actual transaction usage to determine whether assigned access is actively exercised.</w:t>
      </w:r>
    </w:p>
    <w:p>
      <w:pPr>
        <w:pStyle w:val="Heading3"/>
      </w:pPr>
      <w:r>
        <w:t>6.1 SM20 Audit Log Extraction</w:t>
      </w:r>
    </w:p>
    <w:p>
      <w:r>
        <w:t>The SAP security audit log (</w:t>
      </w:r>
      <w:r>
        <w:rPr>
          <w:rFonts w:ascii="Consolas" w:hAnsi="Consolas"/>
          <w:color w:val="1A1A2E"/>
          <w:sz w:val="18"/>
        </w:rPr>
        <w:t>SM20</w:t>
      </w:r>
      <w:r>
        <w:t>) records every transaction start, authorization failure, and sensitive system action.</w:t>
      </w:r>
    </w:p>
    <w:p>
      <w:r/>
      <w:r>
        <w:rPr>
          <w:b/>
        </w:rPr>
        <w:t>Extraction process:</w:t>
      </w:r>
      <w:r/>
    </w:p>
    <w:p>
      <w:pPr>
        <w:pStyle w:val="ListNumber"/>
      </w:pPr>
      <w:r>
        <w:t xml:space="preserve">Call </w:t>
      </w:r>
      <w:r>
        <w:rPr>
          <w:rFonts w:ascii="Consolas" w:hAnsi="Consolas"/>
          <w:color w:val="1A1A2E"/>
          <w:sz w:val="18"/>
        </w:rPr>
        <w:t>BAPI_XMI_LOGON</w:t>
      </w:r>
      <w:r>
        <w:t xml:space="preserve"> to connect to the XMI log interface.</w:t>
      </w:r>
    </w:p>
    <w:p>
      <w:pPr>
        <w:pStyle w:val="ListNumber"/>
      </w:pPr>
      <w:r>
        <w:t xml:space="preserve">Call </w:t>
      </w:r>
      <w:r>
        <w:rPr>
          <w:rFonts w:ascii="Consolas" w:hAnsi="Consolas"/>
          <w:color w:val="1A1A2E"/>
          <w:sz w:val="18"/>
        </w:rPr>
        <w:t>BAPI_XMI_GET_AUDITMESSAGES</w:t>
      </w:r>
      <w:r>
        <w:t xml:space="preserve"> with date/time range and filter for transaction starts (</w:t>
      </w:r>
      <w:r>
        <w:rPr>
          <w:rFonts w:ascii="Consolas" w:hAnsi="Consolas"/>
          <w:color w:val="1A1A2E"/>
          <w:sz w:val="18"/>
        </w:rPr>
        <w:t>AU5</w:t>
      </w:r>
      <w:r>
        <w:t xml:space="preserve"> message class).</w:t>
      </w:r>
    </w:p>
    <w:p>
      <w:pPr>
        <w:pStyle w:val="ListNumber"/>
      </w:pPr>
      <w:r>
        <w:t xml:space="preserve">Parse returned records: </w:t>
      </w:r>
      <w:r>
        <w:rPr>
          <w:rFonts w:ascii="Consolas" w:hAnsi="Consolas"/>
          <w:color w:val="1A1A2E"/>
          <w:sz w:val="18"/>
        </w:rPr>
        <w:t>MANDT</w:t>
      </w:r>
      <w:r>
        <w:t xml:space="preserve">, </w:t>
      </w:r>
      <w:r>
        <w:rPr>
          <w:rFonts w:ascii="Consolas" w:hAnsi="Consolas"/>
          <w:color w:val="1A1A2E"/>
          <w:sz w:val="18"/>
        </w:rPr>
        <w:t>MANDTCHAR</w:t>
      </w:r>
      <w:r>
        <w:t xml:space="preserve">, </w:t>
      </w:r>
      <w:r>
        <w:rPr>
          <w:rFonts w:ascii="Consolas" w:hAnsi="Consolas"/>
          <w:color w:val="1A1A2E"/>
          <w:sz w:val="18"/>
        </w:rPr>
        <w:t>UNAME</w:t>
      </w:r>
      <w:r>
        <w:t xml:space="preserve">, </w:t>
      </w:r>
      <w:r>
        <w:rPr>
          <w:rFonts w:ascii="Consolas" w:hAnsi="Consolas"/>
          <w:color w:val="1A1A2E"/>
          <w:sz w:val="18"/>
        </w:rPr>
        <w:t>TERMINAL</w:t>
      </w:r>
      <w:r>
        <w:t xml:space="preserve">, </w:t>
      </w:r>
      <w:r>
        <w:rPr>
          <w:rFonts w:ascii="Consolas" w:hAnsi="Consolas"/>
          <w:color w:val="1A1A2E"/>
          <w:sz w:val="18"/>
        </w:rPr>
        <w:t>DATUM</w:t>
      </w:r>
      <w:r>
        <w:t xml:space="preserve">, </w:t>
      </w:r>
      <w:r>
        <w:rPr>
          <w:rFonts w:ascii="Consolas" w:hAnsi="Consolas"/>
          <w:color w:val="1A1A2E"/>
          <w:sz w:val="18"/>
        </w:rPr>
        <w:t>UZEIT</w:t>
      </w:r>
      <w:r>
        <w:t xml:space="preserve">, </w:t>
      </w:r>
      <w:r>
        <w:rPr>
          <w:rFonts w:ascii="Consolas" w:hAnsi="Consolas"/>
          <w:color w:val="1A1A2E"/>
          <w:sz w:val="18"/>
        </w:rPr>
        <w:t>TCOD</w:t>
      </w:r>
      <w:r>
        <w:t xml:space="preserve">, </w:t>
      </w:r>
      <w:r>
        <w:rPr>
          <w:rFonts w:ascii="Consolas" w:hAnsi="Consolas"/>
          <w:color w:val="1A1A2E"/>
          <w:sz w:val="18"/>
        </w:rPr>
        <w:t>REPNA</w:t>
      </w:r>
      <w:r>
        <w:t>.</w:t>
      </w:r>
    </w:p>
    <w:p>
      <w:pPr>
        <w:pStyle w:val="ListNumber"/>
      </w:pPr>
      <w:r>
        <w:t xml:space="preserve">Upsert into </w:t>
      </w:r>
      <w:r>
        <w:rPr>
          <w:rFonts w:ascii="Consolas" w:hAnsi="Consolas"/>
          <w:color w:val="1A1A2E"/>
          <w:sz w:val="18"/>
        </w:rPr>
        <w:t>user_tcode_usage</w:t>
      </w:r>
      <w:r>
        <w:t xml:space="preserve"> table with aggregated counts per user/tcode/date.</w:t>
      </w:r>
    </w:p>
    <w:p>
      <w:r>
        <w:t>The SM20 extraction is configured to look back 90 days on first run and then incrementally daily.</w:t>
      </w:r>
    </w:p>
    <w:p>
      <w:pPr>
        <w:pStyle w:val="Heading3"/>
      </w:pPr>
      <w:r>
        <w:t>6.2 STAD Work Process Statistics</w:t>
      </w:r>
    </w:p>
    <w:p>
      <w:r/>
      <w:r>
        <w:rPr>
          <w:rFonts w:ascii="Consolas" w:hAnsi="Consolas"/>
          <w:color w:val="1A1A2E"/>
          <w:sz w:val="18"/>
        </w:rPr>
        <w:t>STAD</w:t>
      </w:r>
      <w:r>
        <w:t xml:space="preserve"> (Statistical Records Display) provides more granular per-dialog-step statistics including CPU time, database reads, and network bytes. GovernexPlus uses STAD data to:</w:t>
      </w:r>
    </w:p>
    <w:p>
      <w:pPr>
        <w:pStyle w:val="ListBullet"/>
      </w:pPr>
      <w:r>
        <w:t>Identify high-resource transactions (potential data exfiltration signals).</w:t>
      </w:r>
    </w:p>
    <w:p>
      <w:pPr>
        <w:pStyle w:val="ListBullet"/>
      </w:pPr>
      <w:r>
        <w:t>Corroborate SM20 usage data.</w:t>
      </w:r>
    </w:p>
    <w:p>
      <w:pPr>
        <w:pStyle w:val="ListBullet"/>
      </w:pPr>
      <w:r>
        <w:t>Detect batch program executions that don't appear in SM20.</w:t>
      </w:r>
    </w:p>
    <w:p>
      <w:r>
        <w:t xml:space="preserve">STAD is extracted via </w:t>
      </w:r>
      <w:r>
        <w:rPr>
          <w:rFonts w:ascii="Consolas" w:hAnsi="Consolas"/>
          <w:color w:val="1A1A2E"/>
          <w:sz w:val="18"/>
        </w:rPr>
        <w:t>TH_WPINFO_BY_TASKTYPE</w:t>
      </w:r>
      <w:r>
        <w:t xml:space="preserve"> or direct table reads from </w:t>
      </w:r>
      <w:r>
        <w:rPr>
          <w:rFonts w:ascii="Consolas" w:hAnsi="Consolas"/>
          <w:color w:val="1A1A2E"/>
          <w:sz w:val="18"/>
        </w:rPr>
        <w:t>MONI</w:t>
      </w:r>
      <w:r>
        <w:t>/</w:t>
      </w:r>
      <w:r>
        <w:rPr>
          <w:rFonts w:ascii="Consolas" w:hAnsi="Consolas"/>
          <w:color w:val="1A1A2E"/>
          <w:sz w:val="18"/>
        </w:rPr>
        <w:t>MONDD</w:t>
      </w:r>
      <w:r>
        <w:t>.</w:t>
      </w:r>
    </w:p>
    <w:p>
      <w:pPr>
        <w:pStyle w:val="Heading3"/>
      </w:pPr>
      <w:r>
        <w:t>6.3 Usage-Based Risk Scoring</w:t>
      </w:r>
    </w:p>
    <w:p>
      <w:r>
        <w:t>After extraction, usage data is joined with the authorization matrix to compute usage modifiers for each user-role-tcode combination: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Usage 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Last Used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Risk Modifier</w:t>
            </w:r>
          </w:p>
        </w:tc>
      </w:tr>
      <w:tr>
        <w:tc>
          <w:tcPr>
            <w:tcW w:type="dxa" w:w="2880"/>
          </w:tcPr>
          <w:p>
            <w:r/>
            <w:r>
              <w:t>Never used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−50%</w:t>
            </w:r>
          </w:p>
        </w:tc>
      </w:tr>
      <w:tr>
        <w:tc>
          <w:tcPr>
            <w:tcW w:type="dxa" w:w="2880"/>
          </w:tcPr>
          <w:p>
            <w:r/>
            <w:r>
              <w:t>Dormant</w:t>
            </w:r>
          </w:p>
        </w:tc>
        <w:tc>
          <w:tcPr>
            <w:tcW w:type="dxa" w:w="2880"/>
          </w:tcPr>
          <w:p>
            <w:r/>
            <w:r>
              <w:t>&gt;180 days</w:t>
            </w:r>
          </w:p>
        </w:tc>
        <w:tc>
          <w:tcPr>
            <w:tcW w:type="dxa" w:w="2880"/>
          </w:tcPr>
          <w:p>
            <w:r/>
            <w:r>
              <w:t>−40%</w:t>
            </w:r>
          </w:p>
        </w:tc>
      </w:tr>
      <w:tr>
        <w:tc>
          <w:tcPr>
            <w:tcW w:type="dxa" w:w="2880"/>
          </w:tcPr>
          <w:p>
            <w:r/>
            <w:r>
              <w:t>Stale</w:t>
            </w:r>
          </w:p>
        </w:tc>
        <w:tc>
          <w:tcPr>
            <w:tcW w:type="dxa" w:w="2880"/>
          </w:tcPr>
          <w:p>
            <w:r/>
            <w:r>
              <w:t>90–180 days</w:t>
            </w:r>
          </w:p>
        </w:tc>
        <w:tc>
          <w:tcPr>
            <w:tcW w:type="dxa" w:w="2880"/>
          </w:tcPr>
          <w:p>
            <w:r/>
            <w:r>
              <w:t>−25%</w:t>
            </w:r>
          </w:p>
        </w:tc>
      </w:tr>
      <w:tr>
        <w:tc>
          <w:tcPr>
            <w:tcW w:type="dxa" w:w="2880"/>
          </w:tcPr>
          <w:p>
            <w:r/>
            <w:r>
              <w:t>Infrequent</w:t>
            </w:r>
          </w:p>
        </w:tc>
        <w:tc>
          <w:tcPr>
            <w:tcW w:type="dxa" w:w="2880"/>
          </w:tcPr>
          <w:p>
            <w:r/>
            <w:r>
              <w:t>30–90 days</w:t>
            </w:r>
          </w:p>
        </w:tc>
        <w:tc>
          <w:tcPr>
            <w:tcW w:type="dxa" w:w="2880"/>
          </w:tcPr>
          <w:p>
            <w:r/>
            <w:r>
              <w:t>−10%</w:t>
            </w:r>
          </w:p>
        </w:tc>
      </w:tr>
      <w:tr>
        <w:tc>
          <w:tcPr>
            <w:tcW w:type="dxa" w:w="2880"/>
          </w:tcPr>
          <w:p>
            <w:r/>
            <w:r>
              <w:t>Active</w:t>
            </w:r>
          </w:p>
        </w:tc>
        <w:tc>
          <w:tcPr>
            <w:tcW w:type="dxa" w:w="2880"/>
          </w:tcPr>
          <w:p>
            <w:r/>
            <w:r>
              <w:t>&lt;30 days</w:t>
            </w:r>
          </w:p>
        </w:tc>
        <w:tc>
          <w:tcPr>
            <w:tcW w:type="dxa" w:w="2880"/>
          </w:tcPr>
          <w:p>
            <w:r/>
            <w:r>
              <w:t>0%</w:t>
            </w:r>
          </w:p>
        </w:tc>
      </w:tr>
      <w:tr>
        <w:tc>
          <w:tcPr>
            <w:tcW w:type="dxa" w:w="2880"/>
          </w:tcPr>
          <w:p>
            <w:r/>
            <w:r>
              <w:t>Frequent</w:t>
            </w:r>
          </w:p>
        </w:tc>
        <w:tc>
          <w:tcPr>
            <w:tcW w:type="dxa" w:w="2880"/>
          </w:tcPr>
          <w:p>
            <w:r/>
            <w:r>
              <w:t>&lt;30 days, &gt;20 uses</w:t>
            </w:r>
          </w:p>
        </w:tc>
        <w:tc>
          <w:tcPr>
            <w:tcW w:type="dxa" w:w="2880"/>
          </w:tcPr>
          <w:p>
            <w:r/>
            <w:r>
              <w:t>+15%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7. Firefighter Operations</w:t>
      </w:r>
    </w:p>
    <w:p>
      <w:pPr>
        <w:pStyle w:val="Heading3"/>
      </w:pPr>
      <w:r>
        <w:t>7.1 User Lock/Unlock</w:t>
      </w:r>
    </w:p>
    <w:p>
      <w:r>
        <w:t>GovernexPlus uses the following BAPIs for firefighter session management: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BAPI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Parameters</w:t>
            </w:r>
          </w:p>
        </w:tc>
      </w:tr>
      <w:tr>
        <w:tc>
          <w:tcPr>
            <w:tcW w:type="dxa" w:w="2880"/>
          </w:tcPr>
          <w:p>
            <w:r/>
            <w:r>
              <w:t>Lock user account (pre-FF)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SUSR_USER_LOCK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BNAME</w:t>
            </w:r>
            <w:r>
              <w:t xml:space="preserve"> (username)</w:t>
            </w:r>
          </w:p>
        </w:tc>
      </w:tr>
      <w:tr>
        <w:tc>
          <w:tcPr>
            <w:tcW w:type="dxa" w:w="2880"/>
          </w:tcPr>
          <w:p>
            <w:r/>
            <w:r>
              <w:t>Assign firefighter role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BAPI_USER_ACTGROUPS_ASSIGN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USERNAME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ACTIVITYGROUPS</w:t>
            </w:r>
            <w:r>
              <w:t xml:space="preserve"> table</w:t>
            </w:r>
          </w:p>
        </w:tc>
      </w:tr>
      <w:tr>
        <w:tc>
          <w:tcPr>
            <w:tcW w:type="dxa" w:w="2880"/>
          </w:tcPr>
          <w:p>
            <w:r/>
            <w:r>
              <w:t>Unlock firefighter account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SUSR_USER_UNLOCK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BNAME</w:t>
            </w:r>
            <w:r/>
          </w:p>
        </w:tc>
      </w:tr>
      <w:tr>
        <w:tc>
          <w:tcPr>
            <w:tcW w:type="dxa" w:w="2880"/>
          </w:tcPr>
          <w:p>
            <w:r/>
            <w:r>
              <w:t>Remove firefighter role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BAPI_USER_ACTGROUPS_ASSIGN</w:t>
            </w:r>
            <w:r/>
          </w:p>
        </w:tc>
        <w:tc>
          <w:tcPr>
            <w:tcW w:type="dxa" w:w="2880"/>
          </w:tcPr>
          <w:p>
            <w:r/>
            <w:r>
              <w:t xml:space="preserve">Remove from </w:t>
            </w:r>
            <w:r>
              <w:rPr>
                <w:rFonts w:ascii="Consolas" w:hAnsi="Consolas"/>
                <w:color w:val="1A1A2E"/>
                <w:sz w:val="18"/>
              </w:rPr>
              <w:t>ACTIVITYGROUPS</w:t>
            </w:r>
            <w:r/>
          </w:p>
        </w:tc>
      </w:tr>
      <w:tr>
        <w:tc>
          <w:tcPr>
            <w:tcW w:type="dxa" w:w="2880"/>
          </w:tcPr>
          <w:p>
            <w:r/>
            <w:r>
              <w:t>Re-lock account post-session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SUSR_USER_LOCK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BNAME</w:t>
            </w:r>
            <w:r/>
          </w:p>
        </w:tc>
      </w:tr>
    </w:tbl>
    <w:p/>
    <w:p>
      <w:r/>
      <w:r>
        <w:rPr>
          <w:b/>
        </w:rPr>
        <w:t>Firefighter flow:</w:t>
      </w:r>
      <w:r/>
    </w:p>
    <w:p>
      <w:pPr>
        <w:pStyle w:val="ListNumber"/>
      </w:pPr>
      <w:r>
        <w:t>Approver approves firefighter request in GovernexPlus.</w:t>
      </w:r>
    </w:p>
    <w:p>
      <w:pPr>
        <w:pStyle w:val="ListNumber"/>
      </w:pPr>
      <w:r>
        <w:t>GovernexPlus assigns the firefighter role to the SAP user via RFC.</w:t>
      </w:r>
    </w:p>
    <w:p>
      <w:pPr>
        <w:pStyle w:val="ListNumber"/>
      </w:pPr>
      <w:r>
        <w:t>User performs their work in SAP (session recorded via SM20).</w:t>
      </w:r>
    </w:p>
    <w:p>
      <w:pPr>
        <w:pStyle w:val="ListNumber"/>
      </w:pPr>
      <w:r>
        <w:t>Session expires or user manually ends the session.</w:t>
      </w:r>
    </w:p>
    <w:p>
      <w:pPr>
        <w:pStyle w:val="ListNumber"/>
      </w:pPr>
      <w:r>
        <w:t>GovernexPlus removes the firefighter role via RFC.</w:t>
      </w:r>
    </w:p>
    <w:p>
      <w:pPr>
        <w:pStyle w:val="ListNumber"/>
      </w:pPr>
      <w:r>
        <w:t>SM20 activity during the session window is captured and stored.</w:t>
      </w:r>
    </w:p>
    <w:p>
      <w:pPr>
        <w:pStyle w:val="ListNumber"/>
      </w:pPr>
      <w:r>
        <w:t>Reviewer reviews the session activity log within the configured SLA.</w:t>
      </w:r>
    </w:p>
    <w:p>
      <w:pPr>
        <w:pStyle w:val="Heading3"/>
      </w:pPr>
      <w:r>
        <w:t>7.2 Password Reset</w:t>
      </w:r>
    </w:p>
    <w:p>
      <w:r>
        <w:t>Emergency password resets during firefighter sessions are supported via: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result = conn.call(</w:t>
        <w:br/>
      </w:r>
      <w:r>
        <w:rPr>
          <w:rFonts w:ascii="Consolas" w:hAnsi="Consolas"/>
          <w:color w:val="333333"/>
          <w:sz w:val="18"/>
        </w:rPr>
        <w:t xml:space="preserve">    "SUSR_USER_CHANGE_PASSWORD",</w:t>
        <w:br/>
      </w:r>
      <w:r>
        <w:rPr>
          <w:rFonts w:ascii="Consolas" w:hAnsi="Consolas"/>
          <w:color w:val="333333"/>
          <w:sz w:val="18"/>
        </w:rPr>
        <w:t xml:space="preserve">    BNAME=username,</w:t>
        <w:br/>
      </w:r>
      <w:r>
        <w:rPr>
          <w:rFonts w:ascii="Consolas" w:hAnsi="Consolas"/>
          <w:color w:val="333333"/>
          <w:sz w:val="18"/>
        </w:rPr>
        <w:t xml:space="preserve">    PASSWORD=new_password,</w:t>
        <w:br/>
      </w:r>
      <w:r>
        <w:rPr>
          <w:rFonts w:ascii="Consolas" w:hAnsi="Consolas"/>
          <w:color w:val="333333"/>
          <w:sz w:val="18"/>
        </w:rPr>
        <w:t xml:space="preserve">    NEW_PASSWORD=new_password,</w:t>
        <w:br/>
      </w:r>
      <w:r>
        <w:rPr>
          <w:rFonts w:ascii="Consolas" w:hAnsi="Consolas"/>
          <w:color w:val="333333"/>
          <w:sz w:val="18"/>
        </w:rPr>
        <w:t>)</w:t>
        <w:br/>
      </w:r>
    </w:p>
    <w:p>
      <w:r>
        <w:t xml:space="preserve">Passwords set via GovernexPlus firefighter reset are marked as </w:t>
      </w:r>
      <w:r>
        <w:rPr>
          <w:rFonts w:ascii="Consolas" w:hAnsi="Consolas"/>
          <w:color w:val="1A1A2E"/>
          <w:sz w:val="18"/>
        </w:rPr>
        <w:t>FORCE_CHANGE=X</w:t>
      </w:r>
      <w:r>
        <w:t xml:space="preserve"> — the user must change the password on next logon.</w:t>
      </w:r>
    </w:p>
    <w:p>
      <w:pPr>
        <w:pStyle w:val="Heading3"/>
      </w:pPr>
      <w:r>
        <w:t>7.3 Session Activity Capture</w:t>
      </w:r>
    </w:p>
    <w:p>
      <w:r>
        <w:t>During an active firefighter session, GovernexPlus polls SM20 every 5 minutes (configurable) to capture:</w:t>
      </w:r>
    </w:p>
    <w:p>
      <w:pPr>
        <w:pStyle w:val="ListBullet"/>
      </w:pPr>
      <w:r>
        <w:t>All transaction codes executed.</w:t>
      </w:r>
    </w:p>
    <w:p>
      <w:pPr>
        <w:pStyle w:val="ListBullet"/>
      </w:pPr>
      <w:r>
        <w:t>All authorization failures (potential probing).</w:t>
      </w:r>
    </w:p>
    <w:p>
      <w:pPr>
        <w:pStyle w:val="ListBullet"/>
      </w:pPr>
      <w:r>
        <w:t>Any sensitive object accesses (debug with replace, table views, user admin).</w:t>
      </w:r>
    </w:p>
    <w:p>
      <w:r>
        <w:t xml:space="preserve">This data is stored in </w:t>
      </w:r>
      <w:r>
        <w:rPr>
          <w:rFonts w:ascii="Consolas" w:hAnsi="Consolas"/>
          <w:color w:val="1A1A2E"/>
          <w:sz w:val="18"/>
        </w:rPr>
        <w:t>firefighter_session_activities</w:t>
      </w:r>
      <w:r>
        <w:t xml:space="preserve"> and presented to the reviewer in the session review UI with a timeline view.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8. Provisioning via RFC</w:t>
      </w:r>
    </w:p>
    <w:p>
      <w:pPr>
        <w:pStyle w:val="Heading3"/>
      </w:pPr>
      <w:r>
        <w:t>8.1 Role Assignment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result = conn.call(</w:t>
        <w:br/>
      </w:r>
      <w:r>
        <w:rPr>
          <w:rFonts w:ascii="Consolas" w:hAnsi="Consolas"/>
          <w:color w:val="333333"/>
          <w:sz w:val="18"/>
        </w:rPr>
        <w:t xml:space="preserve">    "BAPI_USER_ACTGROUPS_ASSIGN",</w:t>
        <w:br/>
      </w:r>
      <w:r>
        <w:rPr>
          <w:rFonts w:ascii="Consolas" w:hAnsi="Consolas"/>
          <w:color w:val="333333"/>
          <w:sz w:val="18"/>
        </w:rPr>
        <w:t xml:space="preserve">    USERNAME=username,</w:t>
        <w:br/>
      </w:r>
      <w:r>
        <w:rPr>
          <w:rFonts w:ascii="Consolas" w:hAnsi="Consolas"/>
          <w:color w:val="333333"/>
          <w:sz w:val="18"/>
        </w:rPr>
        <w:t xml:space="preserve">    ACTIVITYGROUPS=[</w:t>
        <w:br/>
      </w:r>
      <w:r>
        <w:rPr>
          <w:rFonts w:ascii="Consolas" w:hAnsi="Consolas"/>
          <w:color w:val="333333"/>
          <w:sz w:val="18"/>
        </w:rPr>
        <w:t xml:space="preserve">        {</w:t>
        <w:br/>
      </w:r>
      <w:r>
        <w:rPr>
          <w:rFonts w:ascii="Consolas" w:hAnsi="Consolas"/>
          <w:color w:val="333333"/>
          <w:sz w:val="18"/>
        </w:rPr>
        <w:t xml:space="preserve">            "AGR_NAME": role_name,</w:t>
        <w:br/>
      </w:r>
      <w:r>
        <w:rPr>
          <w:rFonts w:ascii="Consolas" w:hAnsi="Consolas"/>
          <w:color w:val="333333"/>
          <w:sz w:val="18"/>
        </w:rPr>
        <w:t xml:space="preserve">            "FROM_DAT": from_date,  # YYYYMMDD</w:t>
        <w:br/>
      </w:r>
      <w:r>
        <w:rPr>
          <w:rFonts w:ascii="Consolas" w:hAnsi="Consolas"/>
          <w:color w:val="333333"/>
          <w:sz w:val="18"/>
        </w:rPr>
        <w:t xml:space="preserve">            "TO_DAT": to_date,      # YYYYMMDD or "99991231"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t xml:space="preserve">    ],</w:t>
        <w:br/>
      </w:r>
      <w:r>
        <w:rPr>
          <w:rFonts w:ascii="Consolas" w:hAnsi="Consolas"/>
          <w:color w:val="333333"/>
          <w:sz w:val="18"/>
        </w:rPr>
        <w:t>)</w:t>
        <w:br/>
      </w:r>
    </w:p>
    <w:p>
      <w:r>
        <w:t xml:space="preserve">After role assignment, </w:t>
      </w:r>
      <w:r>
        <w:rPr>
          <w:rFonts w:ascii="Consolas" w:hAnsi="Consolas"/>
          <w:color w:val="1A1A2E"/>
          <w:sz w:val="18"/>
        </w:rPr>
        <w:t>BAPI_TRANSACTION_COMMIT</w:t>
      </w:r>
      <w:r>
        <w:t xml:space="preserve"> must be called to commit the change.</w:t>
      </w:r>
    </w:p>
    <w:p>
      <w:pPr>
        <w:pStyle w:val="Heading3"/>
      </w:pPr>
      <w:r>
        <w:t>8.2 Role Removal</w:t>
      </w:r>
    </w:p>
    <w:p>
      <w:r>
        <w:t>To remove specific roles while preserving others, GovernexPlus:</w:t>
      </w:r>
    </w:p>
    <w:p>
      <w:pPr>
        <w:pStyle w:val="ListNumber"/>
      </w:pPr>
      <w:r>
        <w:t xml:space="preserve">Fetches the current role assignment list via </w:t>
      </w:r>
      <w:r>
        <w:rPr>
          <w:rFonts w:ascii="Consolas" w:hAnsi="Consolas"/>
          <w:color w:val="1A1A2E"/>
          <w:sz w:val="18"/>
        </w:rPr>
        <w:t>BAPI_USER_GET_DETAIL</w:t>
      </w:r>
      <w:r>
        <w:t>.</w:t>
      </w:r>
    </w:p>
    <w:p>
      <w:pPr>
        <w:pStyle w:val="ListNumber"/>
      </w:pPr>
      <w:r>
        <w:t>Removes the target roles from the list.</w:t>
      </w:r>
    </w:p>
    <w:p>
      <w:pPr>
        <w:pStyle w:val="ListNumber"/>
      </w:pPr>
      <w:r>
        <w:t xml:space="preserve">Calls </w:t>
      </w:r>
      <w:r>
        <w:rPr>
          <w:rFonts w:ascii="Consolas" w:hAnsi="Consolas"/>
          <w:color w:val="1A1A2E"/>
          <w:sz w:val="18"/>
        </w:rPr>
        <w:t>BAPI_USER_ACTGROUPS_ASSIGN</w:t>
      </w:r>
      <w:r>
        <w:t xml:space="preserve"> with the modified list (SAP replaces the full assignment set).</w:t>
      </w:r>
    </w:p>
    <w:p>
      <w:pPr>
        <w:pStyle w:val="Heading3"/>
      </w:pPr>
      <w:r>
        <w:t>8.3 Provisioning Workflow Integration</w:t>
      </w:r>
    </w:p>
    <w:p>
      <w:r>
        <w:t>Role provisioning is triggered by the workflow engine upon final approval: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Access Request Approved</w:t>
        <w:br/>
      </w:r>
      <w:r>
        <w:rPr>
          <w:rFonts w:ascii="Consolas" w:hAnsi="Consolas"/>
          <w:color w:val="333333"/>
          <w:sz w:val="18"/>
        </w:rPr>
        <w:t xml:space="preserve">        │</w:t>
        <w:br/>
      </w:r>
      <w:r>
        <w:rPr>
          <w:rFonts w:ascii="Consolas" w:hAnsi="Consolas"/>
          <w:color w:val="333333"/>
          <w:sz w:val="18"/>
        </w:rPr>
        <w:t>core/workflow/orchestrator.py → "provision_access" action</w:t>
        <w:br/>
      </w:r>
      <w:r>
        <w:rPr>
          <w:rFonts w:ascii="Consolas" w:hAnsi="Consolas"/>
          <w:color w:val="333333"/>
          <w:sz w:val="18"/>
        </w:rPr>
        <w:t xml:space="preserve">        │</w:t>
        <w:br/>
      </w:r>
      <w:r>
        <w:rPr>
          <w:rFonts w:ascii="Consolas" w:hAnsi="Consolas"/>
          <w:color w:val="333333"/>
          <w:sz w:val="18"/>
        </w:rPr>
        <w:t>core/integrations/connectors.py → SAPConnector.assign_roles()</w:t>
        <w:br/>
      </w:r>
      <w:r>
        <w:rPr>
          <w:rFonts w:ascii="Consolas" w:hAnsi="Consolas"/>
          <w:color w:val="333333"/>
          <w:sz w:val="18"/>
        </w:rPr>
        <w:t xml:space="preserve">        │</w:t>
        <w:br/>
      </w:r>
      <w:r>
        <w:rPr>
          <w:rFonts w:ascii="Consolas" w:hAnsi="Consolas"/>
          <w:color w:val="333333"/>
          <w:sz w:val="18"/>
        </w:rPr>
        <w:t>pyrfc → BAPI_USER_ACTGROUPS_ASSIGN</w:t>
        <w:br/>
      </w:r>
      <w:r>
        <w:rPr>
          <w:rFonts w:ascii="Consolas" w:hAnsi="Consolas"/>
          <w:color w:val="333333"/>
          <w:sz w:val="18"/>
        </w:rPr>
        <w:t xml:space="preserve">        │</w:t>
        <w:br/>
      </w:r>
      <w:r>
        <w:rPr>
          <w:rFonts w:ascii="Consolas" w:hAnsi="Consolas"/>
          <w:color w:val="333333"/>
          <w:sz w:val="18"/>
        </w:rPr>
        <w:t>Audit log entry created</w:t>
        <w:br/>
      </w:r>
      <w:r>
        <w:rPr>
          <w:rFonts w:ascii="Consolas" w:hAnsi="Consolas"/>
          <w:color w:val="333333"/>
          <w:sz w:val="18"/>
        </w:rPr>
        <w:t xml:space="preserve">        │</w:t>
        <w:br/>
      </w:r>
      <w:r>
        <w:rPr>
          <w:rFonts w:ascii="Consolas" w:hAnsi="Consolas"/>
          <w:color w:val="333333"/>
          <w:sz w:val="18"/>
        </w:rPr>
        <w:t>Requester notification sent</w:t>
        <w:br/>
      </w:r>
    </w:p>
    <w:p>
      <w:r>
        <w:t xml:space="preserve">If the RFC call fails, the provisioning attempt is retried up to 3 times with exponential backoff. Persistent failures create a </w:t>
      </w:r>
      <w:r>
        <w:rPr>
          <w:rFonts w:ascii="Consolas" w:hAnsi="Consolas"/>
          <w:color w:val="1A1A2E"/>
          <w:sz w:val="18"/>
        </w:rPr>
        <w:t>PROVISIONING_FAILED</w:t>
      </w:r>
      <w:r>
        <w:t xml:space="preserve"> alert visible to the </w:t>
      </w:r>
      <w:r>
        <w:rPr>
          <w:rFonts w:ascii="Consolas" w:hAnsi="Consolas"/>
          <w:color w:val="1A1A2E"/>
          <w:sz w:val="18"/>
        </w:rPr>
        <w:t>security_admin</w:t>
      </w:r>
      <w:r>
        <w:t>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9. S/4HANA Specifics</w:t>
      </w:r>
    </w:p>
    <w:p>
      <w:pPr>
        <w:pStyle w:val="Heading3"/>
      </w:pPr>
      <w:r>
        <w:t>9.1 Business Partner (BP) Migration</w:t>
      </w:r>
    </w:p>
    <w:p>
      <w:r>
        <w:t>In S/4HANA, SAP has merged the Vendor (LFA1) and Customer (KNA1) master records into the Business Partner (BP) model. This affects SoD rules in the following ways:</w:t>
      </w:r>
    </w:p>
    <w:p>
      <w:pPr>
        <w:pStyle w:val="ListBullet"/>
      </w:pPr>
      <w:r>
        <w:t xml:space="preserve">Transaction codes for vendor/customer maintenance have changed: </w:t>
      </w:r>
      <w:r>
        <w:rPr>
          <w:rFonts w:ascii="Consolas" w:hAnsi="Consolas"/>
          <w:color w:val="1A1A2E"/>
          <w:sz w:val="18"/>
        </w:rPr>
        <w:t>FK01</w:t>
      </w:r>
      <w:r>
        <w:t>→</w:t>
      </w:r>
      <w:r>
        <w:rPr>
          <w:rFonts w:ascii="Consolas" w:hAnsi="Consolas"/>
          <w:color w:val="1A1A2E"/>
          <w:sz w:val="18"/>
        </w:rPr>
        <w:t>BP</w:t>
      </w:r>
      <w:r>
        <w:t xml:space="preserve">, </w:t>
      </w:r>
      <w:r>
        <w:rPr>
          <w:rFonts w:ascii="Consolas" w:hAnsi="Consolas"/>
          <w:color w:val="1A1A2E"/>
          <w:sz w:val="18"/>
        </w:rPr>
        <w:t>XK01</w:t>
      </w:r>
      <w:r>
        <w:t>→</w:t>
      </w:r>
      <w:r>
        <w:rPr>
          <w:rFonts w:ascii="Consolas" w:hAnsi="Consolas"/>
          <w:color w:val="1A1A2E"/>
          <w:sz w:val="18"/>
        </w:rPr>
        <w:t>BP</w:t>
      </w:r>
      <w:r>
        <w:t xml:space="preserve">, </w:t>
      </w:r>
      <w:r>
        <w:rPr>
          <w:rFonts w:ascii="Consolas" w:hAnsi="Consolas"/>
          <w:color w:val="1A1A2E"/>
          <w:sz w:val="18"/>
        </w:rPr>
        <w:t>FD01</w:t>
      </w:r>
      <w:r>
        <w:t>→</w:t>
      </w:r>
      <w:r>
        <w:rPr>
          <w:rFonts w:ascii="Consolas" w:hAnsi="Consolas"/>
          <w:color w:val="1A1A2E"/>
          <w:sz w:val="18"/>
        </w:rPr>
        <w:t>BP</w:t>
      </w:r>
      <w:r>
        <w:t>.</w:t>
      </w:r>
    </w:p>
    <w:p>
      <w:pPr>
        <w:pStyle w:val="ListBullet"/>
      </w:pPr>
      <w:r>
        <w:t>GovernexPlus maintains a tcode mapping table (</w:t>
      </w:r>
      <w:r>
        <w:rPr>
          <w:rFonts w:ascii="Consolas" w:hAnsi="Consolas"/>
          <w:color w:val="1A1A2E"/>
          <w:sz w:val="18"/>
        </w:rPr>
        <w:t>core/migration/tcode_mapping.py</w:t>
      </w:r>
      <w:r>
        <w:t>) that translates ECC tcodes to S/4HANA equivalents for SoD rule evaluation.</w:t>
      </w:r>
    </w:p>
    <w:p>
      <w:pPr>
        <w:pStyle w:val="ListBullet"/>
      </w:pPr>
      <w:r>
        <w:t xml:space="preserve">Rules referencing old vendor/customer tcodes are automatically re-evaluated against S/4HANA BP authorizations using the </w:t>
      </w:r>
      <w:r>
        <w:rPr>
          <w:rFonts w:ascii="Consolas" w:hAnsi="Consolas"/>
          <w:color w:val="1A1A2E"/>
          <w:sz w:val="18"/>
        </w:rPr>
        <w:t>F_BP_GUID</w:t>
      </w:r>
      <w:r>
        <w:t xml:space="preserve"> and </w:t>
      </w:r>
      <w:r>
        <w:rPr>
          <w:rFonts w:ascii="Consolas" w:hAnsi="Consolas"/>
          <w:color w:val="1A1A2E"/>
          <w:sz w:val="18"/>
        </w:rPr>
        <w:t>F_BUPA_RLT</w:t>
      </w:r>
      <w:r>
        <w:t xml:space="preserve"> authorization objects.</w:t>
      </w:r>
    </w:p>
    <w:p>
      <w:pPr>
        <w:pStyle w:val="Heading3"/>
      </w:pPr>
      <w:r>
        <w:t>9.2 Fiori App Catalog</w:t>
      </w:r>
    </w:p>
    <w:p>
      <w:r>
        <w:t xml:space="preserve">S/4HANA Fiori apps are controlled via </w:t>
      </w:r>
      <w:r>
        <w:rPr>
          <w:rFonts w:ascii="Consolas" w:hAnsi="Consolas"/>
          <w:color w:val="1A1A2E"/>
          <w:sz w:val="18"/>
        </w:rPr>
        <w:t>PFCG</w:t>
      </w:r>
      <w:r>
        <w:t xml:space="preserve"> roles and Fiori catalog/group assignments stored in the backend ABAP system. GovernexPlus extracts the Fiori app catalog from: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SSM_CUST</w:t>
            </w:r>
            <w:r/>
          </w:p>
        </w:tc>
        <w:tc>
          <w:tcPr>
            <w:tcW w:type="dxa" w:w="4320"/>
          </w:tcPr>
          <w:p>
            <w:r/>
            <w:r>
              <w:t>Fiori launchpad customizing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/UI2/CCDF</w:t>
            </w:r>
            <w:r/>
          </w:p>
        </w:tc>
        <w:tc>
          <w:tcPr>
            <w:tcW w:type="dxa" w:w="4320"/>
          </w:tcPr>
          <w:p>
            <w:r/>
            <w:r>
              <w:t>Catalog group and tile assignments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AGR_HIER</w:t>
            </w:r>
            <w:r/>
          </w:p>
        </w:tc>
        <w:tc>
          <w:tcPr>
            <w:tcW w:type="dxa" w:w="4320"/>
          </w:tcPr>
          <w:p>
            <w:r/>
            <w:r>
              <w:t>Role hierarchy for Fiori roles</w:t>
            </w:r>
          </w:p>
        </w:tc>
      </w:tr>
    </w:tbl>
    <w:p/>
    <w:p>
      <w:r>
        <w:t xml:space="preserve">Each Fiori app ID is mapped to the corresponding backend authorization objects, enabling SoD analysis at the app level (not just tcode level). This mapping is maintained in </w:t>
      </w:r>
      <w:r>
        <w:rPr>
          <w:rFonts w:ascii="Consolas" w:hAnsi="Consolas"/>
          <w:color w:val="1A1A2E"/>
          <w:sz w:val="18"/>
        </w:rPr>
        <w:t>core/fiori/app_mapping.py</w:t>
      </w:r>
      <w:r>
        <w:t>.</w:t>
      </w:r>
    </w:p>
    <w:p>
      <w:pPr>
        <w:pStyle w:val="Heading3"/>
      </w:pPr>
      <w:r>
        <w:t>9.3 Simplified Authorization Objects</w:t>
      </w:r>
    </w:p>
    <w:p>
      <w:r>
        <w:t>S/4HANA introduces simplified authorization checks for certain objects. GovernexPlus handles these via:</w:t>
      </w:r>
    </w:p>
    <w:p>
      <w:pPr>
        <w:pStyle w:val="ListBullet"/>
      </w:pPr>
      <w:r/>
      <w:r>
        <w:rPr>
          <w:b/>
        </w:rPr>
        <w:t>Central Finance (CFIN):</w:t>
      </w:r>
      <w:r>
        <w:t xml:space="preserve"> Authorization objects </w:t>
      </w:r>
      <w:r>
        <w:rPr>
          <w:rFonts w:ascii="Consolas" w:hAnsi="Consolas"/>
          <w:color w:val="1A1A2E"/>
          <w:sz w:val="18"/>
        </w:rPr>
        <w:t>F_BKPF_BUK</w:t>
      </w:r>
      <w:r>
        <w:t xml:space="preserve"> still apply; GL account objects are simplified.</w:t>
      </w:r>
    </w:p>
    <w:p>
      <w:pPr>
        <w:pStyle w:val="ListBullet"/>
      </w:pPr>
      <w:r/>
      <w:r>
        <w:rPr>
          <w:b/>
        </w:rPr>
        <w:t>Universal Journal (ACDOCA):</w:t>
      </w:r>
      <w:r>
        <w:t xml:space="preserve"> New authorization object </w:t>
      </w:r>
      <w:r>
        <w:rPr>
          <w:rFonts w:ascii="Consolas" w:hAnsi="Consolas"/>
          <w:color w:val="1A1A2E"/>
          <w:sz w:val="18"/>
        </w:rPr>
        <w:t>F_ACDOCA</w:t>
      </w:r>
      <w:r>
        <w:t xml:space="preserve"> for universal journal access.</w:t>
      </w:r>
    </w:p>
    <w:p>
      <w:pPr>
        <w:pStyle w:val="ListBullet"/>
      </w:pPr>
      <w:r/>
      <w:r>
        <w:rPr>
          <w:b/>
        </w:rPr>
        <w:t>Material Ledger:</w:t>
      </w:r>
      <w:r>
        <w:t xml:space="preserve"> </w:t>
      </w:r>
      <w:r>
        <w:rPr>
          <w:rFonts w:ascii="Consolas" w:hAnsi="Consolas"/>
          <w:color w:val="1A1A2E"/>
          <w:sz w:val="18"/>
        </w:rPr>
        <w:t>F_CKMLMVT</w:t>
      </w:r>
      <w:r>
        <w:t xml:space="preserve"> replaces some CO objects.</w:t>
      </w:r>
    </w:p>
    <w:p>
      <w:r>
        <w:t xml:space="preserve">The tcode-to-auth-object mapping in </w:t>
      </w:r>
      <w:r>
        <w:rPr>
          <w:rFonts w:ascii="Consolas" w:hAnsi="Consolas"/>
          <w:color w:val="1A1A2E"/>
          <w:sz w:val="18"/>
        </w:rPr>
        <w:t>core/rules/sod_ruleset.py</w:t>
      </w:r>
      <w:r>
        <w:t xml:space="preserve"> includes S/4HANA-specific entries for all rules where the authorization model differs from ECC.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10. Mock / Simulation Mode</w:t>
      </w:r>
    </w:p>
    <w:p>
      <w:pPr>
        <w:pStyle w:val="Heading3"/>
      </w:pPr>
      <w:r>
        <w:t>10.1 When to Use Mock Mode</w:t>
      </w:r>
    </w:p>
    <w:p>
      <w:r>
        <w:t>Mock mode (</w:t>
      </w:r>
      <w:r>
        <w:rPr>
          <w:rFonts w:ascii="Consolas" w:hAnsi="Consolas"/>
          <w:color w:val="1A1A2E"/>
          <w:sz w:val="18"/>
        </w:rPr>
        <w:t>SAP_USE_MOCK=true</w:t>
      </w:r>
      <w:r>
        <w:t>) is the default and is suitable for:</w:t>
      </w:r>
    </w:p>
    <w:p>
      <w:pPr>
        <w:pStyle w:val="ListBullet"/>
      </w:pPr>
      <w:r>
        <w:t>Development and CI/CD pipelines without SAP access.</w:t>
      </w:r>
    </w:p>
    <w:p>
      <w:pPr>
        <w:pStyle w:val="ListBullet"/>
      </w:pPr>
      <w:r>
        <w:t>Demo and evaluation deployments.</w:t>
      </w:r>
    </w:p>
    <w:p>
      <w:pPr>
        <w:pStyle w:val="ListBullet"/>
      </w:pPr>
      <w:r>
        <w:t>UAT testing of GovernexPlus features without a test SAP system.</w:t>
      </w:r>
    </w:p>
    <w:p>
      <w:pPr>
        <w:pStyle w:val="ListBullet"/>
      </w:pPr>
      <w:r>
        <w:t>Training environments.</w:t>
      </w:r>
    </w:p>
    <w:p>
      <w:pPr>
        <w:pStyle w:val="Heading3"/>
      </w:pPr>
      <w:r>
        <w:t>10.2 How the Mock Connector Works</w:t>
      </w:r>
    </w:p>
    <w:p>
      <w:r/>
      <w:r>
        <w:rPr>
          <w:rFonts w:ascii="Consolas" w:hAnsi="Consolas"/>
          <w:color w:val="1A1A2E"/>
          <w:sz w:val="18"/>
        </w:rPr>
        <w:t>connectors/sap/mock_connector.py</w:t>
      </w:r>
      <w:r>
        <w:t xml:space="preserve"> implements the same interface as the live RFC connector. It returns:</w:t>
      </w:r>
    </w:p>
    <w:p>
      <w:pPr>
        <w:pStyle w:val="ListBullet"/>
      </w:pPr>
      <w:r>
        <w:t>A set of 50 synthetic SAP users with realistic role assignments.</w:t>
      </w:r>
    </w:p>
    <w:p>
      <w:pPr>
        <w:pStyle w:val="ListBullet"/>
      </w:pPr>
      <w:r>
        <w:t>15 SAP roles covering common FI, MM, SD, HR, and Basis functions.</w:t>
      </w:r>
    </w:p>
    <w:p>
      <w:pPr>
        <w:pStyle w:val="ListBullet"/>
      </w:pPr>
      <w:r>
        <w:t>Authorization objects and values consistent with common SoD violations.</w:t>
      </w:r>
    </w:p>
    <w:p>
      <w:pPr>
        <w:pStyle w:val="ListBullet"/>
      </w:pPr>
      <w:r>
        <w:t>Simulated SM20 usage data for 90 days, with realistic usage patterns (80% of users use &lt;20% of their assigned tcodes).</w:t>
      </w:r>
    </w:p>
    <w:p>
      <w:pPr>
        <w:pStyle w:val="ListBullet"/>
      </w:pPr>
      <w:r>
        <w:t xml:space="preserve">Simulated provisioning responses (always succeeds unless </w:t>
      </w:r>
      <w:r>
        <w:rPr>
          <w:rFonts w:ascii="Consolas" w:hAnsi="Consolas"/>
          <w:color w:val="1A1A2E"/>
          <w:sz w:val="18"/>
        </w:rPr>
        <w:t>MOCK_PROVISIONING_FAIL_RATE</w:t>
      </w:r>
      <w:r>
        <w:t xml:space="preserve"> is set to a non-zero value).</w:t>
      </w:r>
    </w:p>
    <w:p>
      <w:pPr>
        <w:pStyle w:val="Heading3"/>
      </w:pPr>
      <w:r>
        <w:t>10.3 Mock Data Customization</w:t>
      </w:r>
    </w:p>
    <w:p>
      <w:r>
        <w:t xml:space="preserve">Custom mock data can be injected by placing JSON files in </w:t>
      </w:r>
      <w:r>
        <w:rPr>
          <w:rFonts w:ascii="Consolas" w:hAnsi="Consolas"/>
          <w:color w:val="1A1A2E"/>
          <w:sz w:val="18"/>
        </w:rPr>
        <w:t>connectors/sap/mock_data/</w:t>
      </w:r>
      <w:r>
        <w:t>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connectors/sap/mock_data/</w:t>
        <w:br/>
      </w:r>
      <w:r>
        <w:rPr>
          <w:rFonts w:ascii="Consolas" w:hAnsi="Consolas"/>
          <w:color w:val="333333"/>
          <w:sz w:val="18"/>
        </w:rPr>
        <w:t>├── users.json         # User master records</w:t>
        <w:br/>
      </w:r>
      <w:r>
        <w:rPr>
          <w:rFonts w:ascii="Consolas" w:hAnsi="Consolas"/>
          <w:color w:val="333333"/>
          <w:sz w:val="18"/>
        </w:rPr>
        <w:t>├── roles.json         # Role definitions</w:t>
        <w:br/>
      </w:r>
      <w:r>
        <w:rPr>
          <w:rFonts w:ascii="Consolas" w:hAnsi="Consolas"/>
          <w:color w:val="333333"/>
          <w:sz w:val="18"/>
        </w:rPr>
        <w:t>├── role_assignments.json  # User-to-role mappings</w:t>
        <w:br/>
      </w:r>
      <w:r>
        <w:rPr>
          <w:rFonts w:ascii="Consolas" w:hAnsi="Consolas"/>
          <w:color w:val="333333"/>
          <w:sz w:val="18"/>
        </w:rPr>
        <w:t>├── auth_values.json   # Authorization object values per role</w:t>
        <w:br/>
      </w:r>
      <w:r>
        <w:rPr>
          <w:rFonts w:ascii="Consolas" w:hAnsi="Consolas"/>
          <w:color w:val="333333"/>
          <w:sz w:val="18"/>
        </w:rPr>
        <w:t>└── usage.json         # SM20 usage simulation data</w:t>
        <w:br/>
      </w:r>
    </w:p>
    <w:p>
      <w:r>
        <w:t>The mock connector reads from these files at startup. This allows functional testers to build realistic violation scenarios without live SAP access.</w:t>
      </w:r>
    </w:p>
    <w:p>
      <w:pPr>
        <w:pStyle w:val="Heading3"/>
      </w:pPr>
      <w:r>
        <w:t>10.4 Switching from Mock to Live</w:t>
      </w:r>
    </w:p>
    <w:p>
      <w:pPr>
        <w:pStyle w:val="ListNumber"/>
      </w:pPr>
      <w:r>
        <w:t xml:space="preserve">Set </w:t>
      </w:r>
      <w:r>
        <w:rPr>
          <w:rFonts w:ascii="Consolas" w:hAnsi="Consolas"/>
          <w:color w:val="1A1A2E"/>
          <w:sz w:val="18"/>
        </w:rPr>
        <w:t>SAP_USE_MOCK=false</w:t>
      </w:r>
      <w:r>
        <w:t xml:space="preserve"> in the environment.</w:t>
      </w:r>
    </w:p>
    <w:p>
      <w:pPr>
        <w:pStyle w:val="ListNumber"/>
      </w:pPr>
      <w:r>
        <w:t xml:space="preserve">Set all </w:t>
      </w:r>
      <w:r>
        <w:rPr>
          <w:rFonts w:ascii="Consolas" w:hAnsi="Consolas"/>
          <w:color w:val="1A1A2E"/>
          <w:sz w:val="18"/>
        </w:rPr>
        <w:t>SAP_*</w:t>
      </w:r>
      <w:r>
        <w:t xml:space="preserve"> connection parameters.</w:t>
      </w:r>
    </w:p>
    <w:p>
      <w:pPr>
        <w:pStyle w:val="ListNumber"/>
      </w:pPr>
      <w:r>
        <w:t xml:space="preserve">Verify connectivity: </w:t>
      </w:r>
      <w:r>
        <w:rPr>
          <w:rFonts w:ascii="Consolas" w:hAnsi="Consolas"/>
          <w:color w:val="1A1A2E"/>
          <w:sz w:val="18"/>
        </w:rPr>
        <w:t>POST /api/v1/integrations/sap/test-connection</w:t>
      </w:r>
      <w:r>
        <w:t>.</w:t>
      </w:r>
    </w:p>
    <w:p>
      <w:pPr>
        <w:pStyle w:val="ListNumber"/>
      </w:pPr>
      <w:r>
        <w:t xml:space="preserve">Run an on-demand full sync: </w:t>
      </w:r>
      <w:r>
        <w:rPr>
          <w:rFonts w:ascii="Consolas" w:hAnsi="Consolas"/>
          <w:color w:val="1A1A2E"/>
          <w:sz w:val="18"/>
        </w:rPr>
        <w:t>POST /api/v1/integrations/sap/sync?type=full</w:t>
      </w:r>
      <w:r>
        <w:t>.</w:t>
      </w:r>
    </w:p>
    <w:p>
      <w:pPr>
        <w:pStyle w:val="ListNumber"/>
      </w:pPr>
      <w:r>
        <w:t>Verify user and role counts in the admin dashboard.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11. Azure AD Integration</w:t>
      </w:r>
    </w:p>
    <w:p>
      <w:pPr>
        <w:pStyle w:val="Heading3"/>
      </w:pPr>
      <w:r>
        <w:t>11.1 App Registration</w:t>
      </w:r>
    </w:p>
    <w:p>
      <w:r>
        <w:t>Create an Azure AD App Registration for GovernexPlus in the Azure Portal:</w:t>
      </w:r>
    </w:p>
    <w:p>
      <w:pPr>
        <w:pStyle w:val="ListNumber"/>
      </w:pPr>
      <w:r>
        <w:t>Navigate to Azure Active Directory → App registrations → New registration.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color w:val="1A1A2E"/>
          <w:sz w:val="18"/>
        </w:rPr>
        <w:t>GovernexPlus GRC</w:t>
      </w:r>
      <w:r>
        <w:t>.</w:t>
      </w:r>
    </w:p>
    <w:p>
      <w:pPr>
        <w:pStyle w:val="ListNumber"/>
      </w:pPr>
      <w:r>
        <w:t>Supported account types: Accounts in this organizational directory only.</w:t>
      </w:r>
    </w:p>
    <w:p>
      <w:pPr>
        <w:pStyle w:val="ListNumber"/>
      </w:pPr>
      <w:r>
        <w:t xml:space="preserve">Redirect URI: </w:t>
      </w:r>
      <w:r>
        <w:rPr>
          <w:rFonts w:ascii="Consolas" w:hAnsi="Consolas"/>
          <w:color w:val="1A1A2E"/>
          <w:sz w:val="18"/>
        </w:rPr>
        <w:t>https://your-governex-host/api/v1/auth/azure/callback</w:t>
      </w:r>
      <w:r>
        <w:t xml:space="preserve"> (for SSO, if enabled).</w:t>
      </w:r>
    </w:p>
    <w:p>
      <w:pPr>
        <w:pStyle w:val="ListNumber"/>
      </w:pPr>
      <w:r>
        <w:t xml:space="preserve">Note the </w:t>
      </w:r>
      <w:r>
        <w:rPr>
          <w:b/>
        </w:rPr>
        <w:t>Application (client) ID</w:t>
      </w:r>
      <w:r>
        <w:t xml:space="preserve"> and </w:t>
      </w:r>
      <w:r>
        <w:rPr>
          <w:b/>
        </w:rPr>
        <w:t>Directory (tenant) ID</w:t>
      </w:r>
      <w:r>
        <w:t>.</w:t>
      </w:r>
    </w:p>
    <w:p>
      <w:pPr>
        <w:pStyle w:val="ListNumber"/>
      </w:pPr>
      <w:r>
        <w:t>Under Certificates &amp; secrets → New client secret. Copy the value immediately.</w:t>
      </w:r>
    </w:p>
    <w:p>
      <w:pPr>
        <w:pStyle w:val="Heading3"/>
      </w:pPr>
      <w:r>
        <w:t>11.2 Graph API Permissions</w:t>
      </w:r>
    </w:p>
    <w:p>
      <w:r>
        <w:t>Add the following Microsoft Graph API application permissions (not delegated):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User.Read.All</w:t>
            </w:r>
            <w:r/>
          </w:p>
        </w:tc>
        <w:tc>
          <w:tcPr>
            <w:tcW w:type="dxa" w:w="2880"/>
          </w:tcPr>
          <w:p>
            <w:r/>
            <w:r>
              <w:t>Application</w:t>
            </w:r>
          </w:p>
        </w:tc>
        <w:tc>
          <w:tcPr>
            <w:tcW w:type="dxa" w:w="2880"/>
          </w:tcPr>
          <w:p>
            <w:r/>
            <w:r>
              <w:t>Read all user profiles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Group.Read.All</w:t>
            </w:r>
            <w:r/>
          </w:p>
        </w:tc>
        <w:tc>
          <w:tcPr>
            <w:tcW w:type="dxa" w:w="2880"/>
          </w:tcPr>
          <w:p>
            <w:r/>
            <w:r>
              <w:t>Application</w:t>
            </w:r>
          </w:p>
        </w:tc>
        <w:tc>
          <w:tcPr>
            <w:tcW w:type="dxa" w:w="2880"/>
          </w:tcPr>
          <w:p>
            <w:r/>
            <w:r>
              <w:t>Read group memberships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Directory.Read.All</w:t>
            </w:r>
            <w:r/>
          </w:p>
        </w:tc>
        <w:tc>
          <w:tcPr>
            <w:tcW w:type="dxa" w:w="2880"/>
          </w:tcPr>
          <w:p>
            <w:r/>
            <w:r>
              <w:t>Application</w:t>
            </w:r>
          </w:p>
        </w:tc>
        <w:tc>
          <w:tcPr>
            <w:tcW w:type="dxa" w:w="2880"/>
          </w:tcPr>
          <w:p>
            <w:r/>
            <w:r>
              <w:t>Read directory objects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AuditLog.Read.All</w:t>
            </w:r>
            <w:r/>
          </w:p>
        </w:tc>
        <w:tc>
          <w:tcPr>
            <w:tcW w:type="dxa" w:w="2880"/>
          </w:tcPr>
          <w:p>
            <w:r/>
            <w:r>
              <w:t>Application</w:t>
            </w:r>
          </w:p>
        </w:tc>
        <w:tc>
          <w:tcPr>
            <w:tcW w:type="dxa" w:w="2880"/>
          </w:tcPr>
          <w:p>
            <w:r/>
            <w:r>
              <w:t>Read Azure AD sign-in logs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UserAuthenticationMethod.Read.All</w:t>
            </w:r>
            <w:r/>
          </w:p>
        </w:tc>
        <w:tc>
          <w:tcPr>
            <w:tcW w:type="dxa" w:w="2880"/>
          </w:tcPr>
          <w:p>
            <w:r/>
            <w:r>
              <w:t>Application</w:t>
            </w:r>
          </w:p>
        </w:tc>
        <w:tc>
          <w:tcPr>
            <w:tcW w:type="dxa" w:w="2880"/>
          </w:tcPr>
          <w:p>
            <w:r/>
            <w:r>
              <w:t>Read MFA registration status</w:t>
            </w:r>
          </w:p>
        </w:tc>
      </w:tr>
    </w:tbl>
    <w:p/>
    <w:p>
      <w:r>
        <w:t>Grant admin consent for all permissions after adding them.</w:t>
      </w:r>
    </w:p>
    <w:p>
      <w:pPr>
        <w:pStyle w:val="Heading3"/>
      </w:pPr>
      <w:r>
        <w:t>11.3 User/Group Sync</w:t>
      </w:r>
    </w:p>
    <w:p>
      <w:r>
        <w:t xml:space="preserve">The Azure AD sync job runs on the schedule configured by </w:t>
      </w:r>
      <w:r>
        <w:rPr>
          <w:rFonts w:ascii="Consolas" w:hAnsi="Consolas"/>
          <w:color w:val="1A1A2E"/>
          <w:sz w:val="18"/>
        </w:rPr>
        <w:t>AZURE_SYNC_INTERVAL_HOURS</w:t>
      </w:r>
      <w:r>
        <w:t>. It:</w:t>
      </w:r>
    </w:p>
    <w:p>
      <w:pPr>
        <w:pStyle w:val="ListNumber"/>
      </w:pPr>
      <w:r>
        <w:t xml:space="preserve">Calls </w:t>
      </w:r>
      <w:r>
        <w:rPr>
          <w:rFonts w:ascii="Consolas" w:hAnsi="Consolas"/>
          <w:color w:val="1A1A2E"/>
          <w:sz w:val="18"/>
        </w:rPr>
        <w:t>GET /v1.0/users?$select=id,userPrincipalName,displayName,mail,department,jobTitle,accountEnabled,lastSignInDateTime</w:t>
      </w:r>
      <w:r>
        <w:t>.</w:t>
      </w:r>
    </w:p>
    <w:p>
      <w:pPr>
        <w:pStyle w:val="ListNumber"/>
      </w:pPr>
      <w:r>
        <w:t xml:space="preserve">For each user, calls </w:t>
      </w:r>
      <w:r>
        <w:rPr>
          <w:rFonts w:ascii="Consolas" w:hAnsi="Consolas"/>
          <w:color w:val="1A1A2E"/>
          <w:sz w:val="18"/>
        </w:rPr>
        <w:t>GET /v1.0/users/{id}/memberOf</w:t>
      </w:r>
      <w:r>
        <w:t xml:space="preserve"> to retrieve group memberships.</w:t>
      </w:r>
    </w:p>
    <w:p>
      <w:pPr>
        <w:pStyle w:val="ListNumber"/>
      </w:pPr>
      <w:r>
        <w:t>Maps Azure AD groups to GovernexPlus roles based on the group-to-role mapping table (</w:t>
      </w:r>
      <w:r>
        <w:rPr>
          <w:rFonts w:ascii="Consolas" w:hAnsi="Consolas"/>
          <w:color w:val="1A1A2E"/>
          <w:sz w:val="18"/>
        </w:rPr>
        <w:t>azure_group_role_mappings</w:t>
      </w:r>
      <w:r>
        <w:t>).</w:t>
      </w:r>
    </w:p>
    <w:p>
      <w:pPr>
        <w:pStyle w:val="ListNumber"/>
      </w:pPr>
      <w:r>
        <w:t xml:space="preserve">Resolves the SAP user ID via the </w:t>
      </w:r>
      <w:r>
        <w:rPr>
          <w:rFonts w:ascii="Consolas" w:hAnsi="Consolas"/>
          <w:color w:val="1A1A2E"/>
          <w:sz w:val="18"/>
        </w:rPr>
        <w:t>extensionAttribute1</w:t>
      </w:r>
      <w:r>
        <w:t xml:space="preserve"> field (configurable) or via </w:t>
      </w:r>
      <w:r>
        <w:rPr>
          <w:rFonts w:ascii="Consolas" w:hAnsi="Consolas"/>
          <w:color w:val="1A1A2E"/>
          <w:sz w:val="18"/>
        </w:rPr>
        <w:t>onPremisesSamAccountName</w:t>
      </w:r>
      <w:r>
        <w:t>.</w:t>
      </w:r>
    </w:p>
    <w:p>
      <w:pPr>
        <w:pStyle w:val="ListNumber"/>
      </w:pPr>
      <w:r>
        <w:t>Updates the GovernexPlus user profile with Azure AD attributes (department, job title, manager, MFA status).</w:t>
      </w:r>
    </w:p>
    <w:p>
      <w:r>
        <w:t>Group-to-role mapping configuration: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"azure_group_role_mappings": [</w:t>
        <w:br/>
      </w:r>
      <w:r>
        <w:rPr>
          <w:rFonts w:ascii="Consolas" w:hAnsi="Consolas"/>
          <w:color w:val="333333"/>
          <w:sz w:val="18"/>
        </w:rPr>
        <w:t xml:space="preserve">    {</w:t>
        <w:br/>
      </w:r>
      <w:r>
        <w:rPr>
          <w:rFonts w:ascii="Consolas" w:hAnsi="Consolas"/>
          <w:color w:val="333333"/>
          <w:sz w:val="18"/>
        </w:rPr>
        <w:t xml:space="preserve">      "azure_group_id": "aad-group-uuid-1",</w:t>
        <w:br/>
      </w:r>
      <w:r>
        <w:rPr>
          <w:rFonts w:ascii="Consolas" w:hAnsi="Consolas"/>
          <w:color w:val="333333"/>
          <w:sz w:val="18"/>
        </w:rPr>
        <w:t xml:space="preserve">      "azure_group_name": "GNX-SecurityAdmins",</w:t>
        <w:br/>
      </w:r>
      <w:r>
        <w:rPr>
          <w:rFonts w:ascii="Consolas" w:hAnsi="Consolas"/>
          <w:color w:val="333333"/>
          <w:sz w:val="18"/>
        </w:rPr>
        <w:t xml:space="preserve">      "governex_role": "security_admin"</w:t>
        <w:br/>
      </w:r>
      <w:r>
        <w:rPr>
          <w:rFonts w:ascii="Consolas" w:hAnsi="Consolas"/>
          <w:color w:val="333333"/>
          <w:sz w:val="18"/>
        </w:rPr>
        <w:t xml:space="preserve">    },</w:t>
        <w:br/>
      </w:r>
      <w:r>
        <w:rPr>
          <w:rFonts w:ascii="Consolas" w:hAnsi="Consolas"/>
          <w:color w:val="333333"/>
          <w:sz w:val="18"/>
        </w:rPr>
        <w:t xml:space="preserve">    {</w:t>
        <w:br/>
      </w:r>
      <w:r>
        <w:rPr>
          <w:rFonts w:ascii="Consolas" w:hAnsi="Consolas"/>
          <w:color w:val="333333"/>
          <w:sz w:val="18"/>
        </w:rPr>
        <w:t xml:space="preserve">      "azure_group_id": "aad-group-uuid-2",</w:t>
        <w:br/>
      </w:r>
      <w:r>
        <w:rPr>
          <w:rFonts w:ascii="Consolas" w:hAnsi="Consolas"/>
          <w:color w:val="333333"/>
          <w:sz w:val="18"/>
        </w:rPr>
        <w:t xml:space="preserve">      "azure_group_name": "GNX-RiskManagers",</w:t>
        <w:br/>
      </w:r>
      <w:r>
        <w:rPr>
          <w:rFonts w:ascii="Consolas" w:hAnsi="Consolas"/>
          <w:color w:val="333333"/>
          <w:sz w:val="18"/>
        </w:rPr>
        <w:t xml:space="preserve">      "governex_role": "risk_manager"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]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3"/>
      </w:pPr>
      <w:r>
        <w:t>11.4 Azure AD SSO (SAML / OIDC)</w:t>
      </w:r>
    </w:p>
    <w:p>
      <w:r>
        <w:t>GovernexPlus supports Azure AD SSO via OpenID Connect. When configured, users are redirected to the Azure AD login page and returned to GovernexPlus with a JWT that maps their Azure AD claims to GovernexPlus roles.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AZURE_SSO_ENABLED=true</w:t>
        <w:br/>
      </w:r>
      <w:r>
        <w:rPr>
          <w:rFonts w:ascii="Consolas" w:hAnsi="Consolas"/>
          <w:color w:val="333333"/>
          <w:sz w:val="18"/>
        </w:rPr>
        <w:t>AZURE_SSO_CLIENT_ID=&lt;app-client-id&gt;</w:t>
        <w:br/>
      </w:r>
      <w:r>
        <w:rPr>
          <w:rFonts w:ascii="Consolas" w:hAnsi="Consolas"/>
          <w:color w:val="333333"/>
          <w:sz w:val="18"/>
        </w:rPr>
        <w:t>AZURE_SSO_CLIENT_SECRET=&lt;client-secret&gt;</w:t>
        <w:br/>
      </w:r>
      <w:r>
        <w:rPr>
          <w:rFonts w:ascii="Consolas" w:hAnsi="Consolas"/>
          <w:color w:val="333333"/>
          <w:sz w:val="18"/>
        </w:rPr>
        <w:t>AZURE_SSO_TENANT_ID=&lt;directory-tenant-id&gt;</w:t>
        <w:br/>
      </w:r>
      <w:r>
        <w:rPr>
          <w:rFonts w:ascii="Consolas" w:hAnsi="Consolas"/>
          <w:color w:val="333333"/>
          <w:sz w:val="18"/>
        </w:rPr>
        <w:t>AZURE_SSO_REDIRECT_URI=https://grc.acme.com/api/v1/auth/azure/callback</w:t>
        <w:br/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12. Workday &amp; SuccessFactors Integration</w:t>
      </w:r>
    </w:p>
    <w:p>
      <w:pPr>
        <w:pStyle w:val="Heading3"/>
      </w:pPr>
      <w:r>
        <w:t>12.1 Workday Setup</w:t>
      </w:r>
    </w:p>
    <w:p>
      <w:r>
        <w:t>GovernexPlus connects to Workday via the Workday REST API or RaaS (Report-as-a-Service) endpoints. An Integration System User (ISU) is required.</w:t>
      </w:r>
    </w:p>
    <w:p>
      <w:r/>
      <w:r>
        <w:rPr>
          <w:b/>
        </w:rPr>
        <w:t>Create ISU in Workday:</w:t>
      </w:r>
      <w:r/>
    </w:p>
    <w:p>
      <w:pPr>
        <w:pStyle w:val="ListNumber"/>
      </w:pPr>
      <w:r>
        <w:t>Navigate to Create Integration System User.</w:t>
      </w:r>
    </w:p>
    <w:p>
      <w:pPr>
        <w:pStyle w:val="ListNumber"/>
      </w:pPr>
      <w:r>
        <w:t>Assign the ISU to an Integration System Security Group with the following domain security policies:</w:t>
      </w:r>
    </w:p>
    <w:p>
      <w:r>
        <w:t xml:space="preserve">   - Worker Data: All Workers (View)</w:t>
      </w:r>
    </w:p>
    <w:p>
      <w:r>
        <w:t xml:space="preserve">   - Staffing (View)</w:t>
      </w:r>
    </w:p>
    <w:p>
      <w:r>
        <w:t xml:space="preserve">   - Job and Position (View)</w:t>
      </w:r>
    </w:p>
    <w:p>
      <w:r>
        <w:t xml:space="preserve">   - Organization and Roles (View)</w:t>
      </w:r>
    </w:p>
    <w:p>
      <w:r/>
      <w:r>
        <w:rPr>
          <w:b/>
        </w:rPr>
        <w:t>Workday API configuration: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WORKDAY_API_URL=https://wd2-impl-services1.workday.com/ccx/service/acme/Human_Resources/v42.0</w:t>
        <w:br/>
      </w:r>
      <w:r>
        <w:rPr>
          <w:rFonts w:ascii="Consolas" w:hAnsi="Consolas"/>
          <w:color w:val="333333"/>
          <w:sz w:val="18"/>
        </w:rPr>
        <w:t>WORKDAY_USERNAME=ISU_GNX@acme</w:t>
        <w:br/>
      </w:r>
      <w:r>
        <w:rPr>
          <w:rFonts w:ascii="Consolas" w:hAnsi="Consolas"/>
          <w:color w:val="333333"/>
          <w:sz w:val="18"/>
        </w:rPr>
        <w:t>WORKDAY_PASSWORD=SecretPassword</w:t>
        <w:br/>
      </w:r>
      <w:r>
        <w:rPr>
          <w:rFonts w:ascii="Consolas" w:hAnsi="Consolas"/>
          <w:color w:val="333333"/>
          <w:sz w:val="18"/>
        </w:rPr>
        <w:t>WORKDAY_TENANT=acme</w:t>
        <w:br/>
      </w:r>
    </w:p>
    <w:p>
      <w:pPr>
        <w:pStyle w:val="Heading3"/>
      </w:pPr>
      <w:r>
        <w:t>12.2 JML Event Processing — Workday</w:t>
      </w:r>
    </w:p>
    <w:p>
      <w:r>
        <w:t>GovernexPlus polls the Workday API for Joiner, Mover, Leaver events: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Event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Workday Trigger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GovernexPlus Action</w:t>
            </w:r>
          </w:p>
        </w:tc>
      </w:tr>
      <w:tr>
        <w:tc>
          <w:tcPr>
            <w:tcW w:type="dxa" w:w="2880"/>
          </w:tcPr>
          <w:p>
            <w:r/>
            <w:r>
              <w:t>Joiner (Hire)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Hire</w:t>
            </w:r>
            <w:r>
              <w:t xml:space="preserve"> business process completion</w:t>
            </w:r>
          </w:p>
        </w:tc>
        <w:tc>
          <w:tcPr>
            <w:tcW w:type="dxa" w:w="2880"/>
          </w:tcPr>
          <w:p>
            <w:r/>
            <w:r>
              <w:t>Create user profile, trigger provisioning workflow</w:t>
            </w:r>
          </w:p>
        </w:tc>
      </w:tr>
      <w:tr>
        <w:tc>
          <w:tcPr>
            <w:tcW w:type="dxa" w:w="2880"/>
          </w:tcPr>
          <w:p>
            <w:r/>
            <w:r>
              <w:t>Mover (Transfer)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Transfer</w:t>
            </w:r>
            <w:r>
              <w:t xml:space="preserve"> or </w:t>
            </w:r>
            <w:r>
              <w:rPr>
                <w:rFonts w:ascii="Consolas" w:hAnsi="Consolas"/>
                <w:color w:val="1A1A2E"/>
                <w:sz w:val="18"/>
              </w:rPr>
              <w:t>Change Job</w:t>
            </w:r>
            <w:r>
              <w:t xml:space="preserve"> completion</w:t>
            </w:r>
          </w:p>
        </w:tc>
        <w:tc>
          <w:tcPr>
            <w:tcW w:type="dxa" w:w="2880"/>
          </w:tcPr>
          <w:p>
            <w:r/>
            <w:r>
              <w:t>Update department/role, re-evaluate SoD, trigger access review</w:t>
            </w:r>
          </w:p>
        </w:tc>
      </w:tr>
      <w:tr>
        <w:tc>
          <w:tcPr>
            <w:tcW w:type="dxa" w:w="2880"/>
          </w:tcPr>
          <w:p>
            <w:r/>
            <w:r>
              <w:t>Mover (Promotion)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Promote Employee</w:t>
            </w:r>
            <w:r>
              <w:t xml:space="preserve"> completion</w:t>
            </w:r>
          </w:p>
        </w:tc>
        <w:tc>
          <w:tcPr>
            <w:tcW w:type="dxa" w:w="2880"/>
          </w:tcPr>
          <w:p>
            <w:r/>
            <w:r>
              <w:t>Update job title, evaluate role changes</w:t>
            </w:r>
          </w:p>
        </w:tc>
      </w:tr>
      <w:tr>
        <w:tc>
          <w:tcPr>
            <w:tcW w:type="dxa" w:w="2880"/>
          </w:tcPr>
          <w:p>
            <w:r/>
            <w:r>
              <w:t>Leaver (Terminate)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Terminate Employee</w:t>
            </w:r>
            <w:r>
              <w:t xml:space="preserve"> completion</w:t>
            </w:r>
          </w:p>
        </w:tc>
        <w:tc>
          <w:tcPr>
            <w:tcW w:type="dxa" w:w="2880"/>
          </w:tcPr>
          <w:p>
            <w:r/>
            <w:r>
              <w:t>Trigger immediate access revocation workflow</w:t>
            </w:r>
          </w:p>
        </w:tc>
      </w:tr>
      <w:tr>
        <w:tc>
          <w:tcPr>
            <w:tcW w:type="dxa" w:w="2880"/>
          </w:tcPr>
          <w:p>
            <w:r/>
            <w:r>
              <w:t>Leaver (Resignation)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End Employment</w:t>
            </w:r>
            <w:r>
              <w:t xml:space="preserve"> completion</w:t>
            </w:r>
          </w:p>
        </w:tc>
        <w:tc>
          <w:tcPr>
            <w:tcW w:type="dxa" w:w="2880"/>
          </w:tcPr>
          <w:p>
            <w:r/>
            <w:r>
              <w:t>As above, with configurable grace period</w:t>
            </w:r>
          </w:p>
        </w:tc>
      </w:tr>
      <w:tr>
        <w:tc>
          <w:tcPr>
            <w:tcW w:type="dxa" w:w="2880"/>
          </w:tcPr>
          <w:p>
            <w:r/>
            <w:r>
              <w:t>Leave of Absence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Place on Leave</w:t>
            </w:r>
            <w:r>
              <w:t xml:space="preserve"> completion</w:t>
            </w:r>
          </w:p>
        </w:tc>
        <w:tc>
          <w:tcPr>
            <w:tcW w:type="dxa" w:w="2880"/>
          </w:tcPr>
          <w:p>
            <w:r/>
            <w:r>
              <w:t>Optionally suspend (not terminate) SAP access</w:t>
            </w:r>
          </w:p>
        </w:tc>
      </w:tr>
    </w:tbl>
    <w:p/>
    <w:p>
      <w:r>
        <w:t xml:space="preserve">The Workday sync job polls for change events using the </w:t>
      </w:r>
      <w:r>
        <w:rPr>
          <w:rFonts w:ascii="Consolas" w:hAnsi="Consolas"/>
          <w:color w:val="1A1A2E"/>
          <w:sz w:val="18"/>
        </w:rPr>
        <w:t>Changed_Workers</w:t>
      </w:r>
      <w:r>
        <w:t xml:space="preserve"> RaaS report with an </w:t>
      </w:r>
      <w:r>
        <w:rPr>
          <w:rFonts w:ascii="Consolas" w:hAnsi="Consolas"/>
          <w:color w:val="1A1A2E"/>
          <w:sz w:val="18"/>
        </w:rPr>
        <w:t>Effective_From</w:t>
      </w:r>
      <w:r>
        <w:t xml:space="preserve"> filter set to the last sync timestamp.</w:t>
      </w:r>
    </w:p>
    <w:p>
      <w:pPr>
        <w:pStyle w:val="Heading3"/>
      </w:pPr>
      <w:r>
        <w:t>12.3 SuccessFactors Setup</w:t>
      </w:r>
    </w:p>
    <w:p>
      <w:r>
        <w:t>GovernexPlus connects to SAP SuccessFactors via the OData V2 API.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SF_API_URL=https://api4.successfactors.com</w:t>
        <w:br/>
      </w:r>
      <w:r>
        <w:rPr>
          <w:rFonts w:ascii="Consolas" w:hAnsi="Consolas"/>
          <w:color w:val="333333"/>
          <w:sz w:val="18"/>
        </w:rPr>
        <w:t>SF_COMPANY_ID=ACME</w:t>
        <w:br/>
      </w:r>
      <w:r>
        <w:rPr>
          <w:rFonts w:ascii="Consolas" w:hAnsi="Consolas"/>
          <w:color w:val="333333"/>
          <w:sz w:val="18"/>
        </w:rPr>
        <w:t>SF_USERNAME=sfadmin@ACME</w:t>
        <w:br/>
      </w:r>
      <w:r>
        <w:rPr>
          <w:rFonts w:ascii="Consolas" w:hAnsi="Consolas"/>
          <w:color w:val="333333"/>
          <w:sz w:val="18"/>
        </w:rPr>
        <w:t>SF_API_KEY=base64encodedpassword</w:t>
        <w:br/>
      </w:r>
    </w:p>
    <w:p>
      <w:r/>
      <w:r>
        <w:rPr>
          <w:b/>
        </w:rPr>
        <w:t>Entities consumed: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OData Entity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User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userId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username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email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firstName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lastName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department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jobTitle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manager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status</w:t>
            </w:r>
            <w:r/>
          </w:p>
        </w:tc>
        <w:tc>
          <w:tcPr>
            <w:tcW w:type="dxa" w:w="2880"/>
          </w:tcPr>
          <w:p>
            <w:r/>
            <w:r>
              <w:t>User profile sync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EmpJob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userId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startDate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endDate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jobCode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companyId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costCenter</w:t>
            </w:r>
            <w:r/>
          </w:p>
        </w:tc>
        <w:tc>
          <w:tcPr>
            <w:tcW w:type="dxa" w:w="2880"/>
          </w:tcPr>
          <w:p>
            <w:r/>
            <w:r>
              <w:t>Employment record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EmpEmployment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userId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originalStartDate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lastDateWorked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terminationDate</w:t>
            </w:r>
            <w:r/>
          </w:p>
        </w:tc>
        <w:tc>
          <w:tcPr>
            <w:tcW w:type="dxa" w:w="2880"/>
          </w:tcPr>
          <w:p>
            <w:r/>
            <w:r>
              <w:t>JML status</w:t>
            </w:r>
          </w:p>
        </w:tc>
      </w:tr>
    </w:tbl>
    <w:p/>
    <w:p>
      <w:pPr>
        <w:pStyle w:val="Heading3"/>
      </w:pPr>
      <w:r>
        <w:t>12.4 JML Event Processing — SuccessFactors</w:t>
      </w:r>
    </w:p>
    <w:p>
      <w:r>
        <w:t xml:space="preserve">SuccessFactors JML events are detected by polling </w:t>
      </w:r>
      <w:r>
        <w:rPr>
          <w:rFonts w:ascii="Consolas" w:hAnsi="Consolas"/>
          <w:color w:val="1A1A2E"/>
          <w:sz w:val="18"/>
        </w:rPr>
        <w:t>EmpEmployment</w:t>
      </w:r>
      <w:r>
        <w:t xml:space="preserve"> with a filter on </w:t>
      </w:r>
      <w:r>
        <w:rPr>
          <w:rFonts w:ascii="Consolas" w:hAnsi="Consolas"/>
          <w:color w:val="1A1A2E"/>
          <w:sz w:val="18"/>
        </w:rPr>
        <w:t>lastModifiedDateTime &gt;= last_sync</w:t>
      </w:r>
      <w:r>
        <w:t>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GET /odata/v2/EmpEmployment?$filter=lastModifiedDateTime ge datetime'2026-09-05T02:00:00'</w:t>
        <w:br/>
      </w:r>
      <w:r>
        <w:rPr>
          <w:rFonts w:ascii="Consolas" w:hAnsi="Consolas"/>
          <w:color w:val="333333"/>
          <w:sz w:val="18"/>
        </w:rPr>
        <w:t xml:space="preserve">    &amp;$select=userId,originalStartDate,lastDateWorked,terminationDate</w:t>
        <w:br/>
      </w:r>
      <w:r>
        <w:rPr>
          <w:rFonts w:ascii="Consolas" w:hAnsi="Consolas"/>
          <w:color w:val="333333"/>
          <w:sz w:val="18"/>
        </w:rPr>
        <w:t xml:space="preserve">    &amp;$format=json</w:t>
        <w:br/>
      </w:r>
    </w:p>
    <w:p>
      <w:r>
        <w:t xml:space="preserve">The connector maps </w:t>
      </w:r>
      <w:r>
        <w:rPr>
          <w:rFonts w:ascii="Consolas" w:hAnsi="Consolas"/>
          <w:color w:val="1A1A2E"/>
          <w:sz w:val="18"/>
        </w:rPr>
        <w:t>terminationDate</w:t>
      </w:r>
      <w:r>
        <w:t xml:space="preserve"> being set to a Leaver event, and </w:t>
      </w:r>
      <w:r>
        <w:rPr>
          <w:rFonts w:ascii="Consolas" w:hAnsi="Consolas"/>
          <w:color w:val="1A1A2E"/>
          <w:sz w:val="18"/>
        </w:rPr>
        <w:t>originalStartDate</w:t>
      </w:r>
      <w:r>
        <w:t xml:space="preserve"> being a future date relative to the last sync to a Joiner event. Transfer/Mover events are detected via changes in </w:t>
      </w:r>
      <w:r>
        <w:rPr>
          <w:rFonts w:ascii="Consolas" w:hAnsi="Consolas"/>
          <w:color w:val="1A1A2E"/>
          <w:sz w:val="18"/>
        </w:rPr>
        <w:t>companyId</w:t>
      </w:r>
      <w:r>
        <w:t xml:space="preserve"> or </w:t>
      </w:r>
      <w:r>
        <w:rPr>
          <w:rFonts w:ascii="Consolas" w:hAnsi="Consolas"/>
          <w:color w:val="1A1A2E"/>
          <w:sz w:val="18"/>
        </w:rPr>
        <w:t>jobCode</w:t>
      </w:r>
      <w:r>
        <w:t>.</w:t>
      </w:r>
    </w:p>
    <w:p>
      <w:r>
        <w:rPr>
          <w:color w:val="CCCCCC"/>
        </w:rPr>
        <w:t>____________________________________________________________</w:t>
      </w:r>
    </w:p>
    <w:p>
      <w:r/>
      <w:r>
        <w:rPr>
          <w:i/>
        </w:rPr>
        <w:t>For deployment configuration, see the [Deployment &amp; Operations Guide](./12-Deployment-Operations-Guide.md). For environment variable reference, see the [Configuration Reference Guide](./09-Configuration-Reference-Guide.md).</w:t>
      </w:r>
      <w:r/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C2D6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2D6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C2D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C2D6B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0C2D6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