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Aptos Display" w:hAnsi="Aptos Display"/>
          <w:b/>
          <w:color w:val="000000"/>
          <w:sz w:val="50"/>
        </w:rPr>
        <w:t>Application Screen Inventory</w:t>
      </w:r>
    </w:p>
    <w:p>
      <w:pPr>
        <w:spacing w:after="280"/>
      </w:pPr>
      <w:r>
        <w:rPr>
          <w:rFonts w:ascii="Aptos" w:hAnsi="Aptos"/>
          <w:b w:val="0"/>
          <w:color w:val="5B6573"/>
          <w:sz w:val="22"/>
        </w:rPr>
        <w:t>Full pages and interactive popup views</w:t>
      </w:r>
    </w:p>
    <w:p>
      <w:pPr>
        <w:spacing w:after="200"/>
      </w:pPr>
      <w:r>
        <w:rPr>
          <w:rFonts w:ascii="Aptos" w:hAnsi="Aptos"/>
          <w:b/>
          <w:color w:val="222222"/>
          <w:sz w:val="21"/>
        </w:rPr>
        <w:t xml:space="preserve">Summary. </w:t>
      </w:r>
      <w:r>
        <w:rPr>
          <w:rFonts w:ascii="Aptos" w:hAnsi="Aptos"/>
          <w:b w:val="0"/>
          <w:color w:val="222222"/>
          <w:sz w:val="21"/>
        </w:rPr>
        <w:t>The current application contains approximately 58 distinct user-facing views when both routed screens and meaningful popup or modal views are counted. This inventory is grouped by view type and treats duplicate URL aliases as one screen.</w:t>
      </w:r>
    </w:p>
    <w:p>
      <w:pPr>
        <w:pStyle w:val="Heading1"/>
      </w:pPr>
      <w:r>
        <w:t>Screen count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1800"/>
        <w:gridCol w:w="2880"/>
      </w:tblGrid>
      <w:tr>
        <w:trPr>
          <w:tblHeader w:val="true"/>
        </w:trPr>
        <w:tc>
          <w:tcPr>
            <w:tcW w:type="dxa" w:w="50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View type</w:t>
            </w:r>
          </w:p>
        </w:tc>
        <w:tc>
          <w:tcPr>
            <w:tcW w:type="dxa" w:w="18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Counting rule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21"/>
              </w:rPr>
              <w:t>Full-page screens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22222"/>
                <w:sz w:val="21"/>
              </w:rPr>
              <w:t>33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21"/>
              </w:rPr>
              <w:t>Unique routed screen components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21"/>
              </w:rPr>
              <w:t>Popup and modal screens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22222"/>
                <w:sz w:val="21"/>
              </w:rPr>
              <w:t>25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21"/>
              </w:rPr>
              <w:t>Meaningful interactive overlays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22222"/>
                <w:sz w:val="21"/>
              </w:rPr>
              <w:t>Total application views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21"/>
              </w:rPr>
              <w:t>58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222222"/>
                <w:sz w:val="21"/>
              </w:rPr>
              <w:t>Full pages plus popup/modal views</w:t>
            </w:r>
          </w:p>
        </w:tc>
      </w:tr>
    </w:tbl>
    <w:p>
      <w:pPr>
        <w:pStyle w:val="Heading1"/>
      </w:pPr>
      <w:r>
        <w:t>Role coverage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48"/>
        <w:gridCol w:w="7272"/>
      </w:tblGrid>
      <w:tr>
        <w:trPr>
          <w:tblHeader w:val="true"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72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Main screen areas represented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22222"/>
                <w:sz w:val="20"/>
              </w:rPr>
              <w:t>Super Admin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Dashboard, institution management, global content, reports, curriculum, mappings, and administration tools.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/>
                <w:color w:val="222222"/>
                <w:sz w:val="20"/>
              </w:rPr>
              <w:t>Admin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Dashboard, trainee and instructor management, batches, courses, content access, volumes, and institution operations.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222222"/>
                <w:sz w:val="20"/>
              </w:rPr>
              <w:t>Instructor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Dashboard, assigned courses, batches, learning content, volume tools, schedules, and instructional workflows.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/>
                <w:color w:val="222222"/>
                <w:sz w:val="20"/>
              </w:rPr>
              <w:t>Trainee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color w:val="222222"/>
                <w:sz w:val="20"/>
              </w:rPr>
              <w:t>Dashboard, assigned learning, progress, course content, assessments, VR space, and result or score views.</w:t>
            </w:r>
          </w:p>
        </w:tc>
      </w:tr>
    </w:tbl>
    <w:p>
      <w:pPr>
        <w:pStyle w:val="Heading1"/>
      </w:pPr>
      <w:r>
        <w:t>Popup and modal categories included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Profile and password-recovery views.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Trainee and instructor editing or batch-assignment views.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Course, batch, curriculum, module, and resource creation forms.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Institution creation and editing views.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Upload, volume, assignment, and content-access views.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Score, attempt-history, quiz, question, and completion-result views.</w:t>
      </w:r>
    </w:p>
    <w:p>
      <w:pPr>
        <w:pStyle w:val="Heading1"/>
      </w:pPr>
      <w:r>
        <w:t>Counting notes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Filters, dropdowns, tabs, tooltips, confirmation toasts, and small inline controls are not counted as screens.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The two certificate URL spellings and the two learning URL spellings point to the same screen components and are counted once.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22222"/>
          <w:sz w:val="21"/>
        </w:rPr>
        <w:t>The total is an interface inventory, not a count of every possible data state or every popup instance opened for each individual record.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B7280"/>
        <w:sz w:val="17"/>
      </w:rPr>
      <w:t>Application screen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