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A5F578B" wp14:textId="77777777">
      <w:pPr>
        <w:pStyle w:val="Title"/>
      </w:pPr>
      <w:r>
        <w:rPr>
          <w:rFonts w:ascii="Calibri" w:hAnsi="Calibri" w:eastAsia="Calibri" w:cs="Calibri"/>
        </w:rPr>
        <w:t xml:space="preserve">AI-Powered Business Rule Transformation for MDM</w:t>
      </w:r>
    </w:p>
    <w:p xmlns:wp14="http://schemas.microsoft.com/office/word/2010/wordml" w14:paraId="09355E5D" wp14:textId="77777777">
      <w:pPr>
        <w:spacing w:after="100"/>
      </w:pPr>
      <w:r>
        <w:rPr>
          <w:rFonts w:ascii="Calibri" w:hAnsi="Calibri" w:eastAsia="Calibri" w:cs="Calibri"/>
          <w:i/>
          <w:iCs/>
          <w:color w:val="44546A"/>
          <w:sz w:val="26"/>
          <w:szCs w:val="26"/>
        </w:rPr>
        <w:t xml:space="preserve">Synthetic Ground Truth Dataset Preparation Strategy for RAG-Based Rule Conversion</w:t>
      </w:r>
    </w:p>
    <w:p xmlns:wp14="http://schemas.microsoft.com/office/word/2010/wordml" w14:paraId="35861F3F" wp14:textId="77777777">
      <w:pPr>
        <w:spacing w:after="500"/>
      </w:pPr>
      <w:r>
        <w:rPr>
          <w:rFonts w:ascii="Calibri" w:hAnsi="Calibri" w:eastAsia="Calibri" w:cs="Calibri"/>
          <w:color w:val="808080"/>
          <w:sz w:val="20"/>
          <w:szCs w:val="20"/>
        </w:rPr>
        <w:t xml:space="preserve">Thesis Working Section — Data Preparation Phase</w:t>
      </w:r>
    </w:p>
    <w:sdt>
      <w:sdtPr>
        <w:id w:val="1216557178"/>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672A6659" wp14:textId="77777777">
          <w:r>
            <w:fldChar w:fldCharType="end"/>
          </w:r>
        </w:p>
      </w:sdtContent>
    </w:sdt>
    <w:p xmlns:wp14="http://schemas.microsoft.com/office/word/2010/wordml" w14:paraId="0A37501D" wp14:textId="77777777">
      <w:r>
        <w:br w:type="page"/>
      </w:r>
    </w:p>
    <w:p xmlns:wp14="http://schemas.microsoft.com/office/word/2010/wordml" w14:paraId="4BCE5E55" wp14:textId="77777777">
      <w:pPr>
        <w:pStyle w:val="Heading1"/>
        <w:spacing w:before="420" w:after="200"/>
      </w:pPr>
      <w:r>
        <w:rPr>
          <w:rFonts w:ascii="Calibri" w:hAnsi="Calibri" w:eastAsia="Calibri" w:cs="Calibri"/>
        </w:rPr>
        <w:t xml:space="preserve">1. Introduction, Research Problem and Motivation</w:t>
      </w:r>
    </w:p>
    <w:p xmlns:wp14="http://schemas.microsoft.com/office/word/2010/wordml" w14:paraId="446135F6" wp14:textId="77777777">
      <w:pPr>
        <w:spacing w:after="160" w:line="300" w:lineRule="auto"/>
      </w:pPr>
      <w:r w:rsidRPr="1E10A4DF" w:rsidR="1E10A4DF">
        <w:rPr>
          <w:rFonts w:ascii="Calibri" w:hAnsi="Calibri" w:eastAsia="Calibri" w:cs="Calibri"/>
          <w:sz w:val="22"/>
          <w:szCs w:val="22"/>
          <w:lang w:val="en-US"/>
        </w:rPr>
        <w:t>A recurring and expensive challenge in enterprise Master Data Management (MDM) modernization programs is the migration of business rules from one platform to another. Retail and CPG organizations typically accumulate several thousand rules inside their Product Information Management (PIM), governance, validation, calculation and content-generation layers over many years. These rules are almost always written in a proprietary, platform-specific scripting notation, and their logic is rarely documented outside the rule engine itself. When an organization decides to move to a new MDM platform, this large body of undocumented, hand-written logic becomes one of the single largest sources of project risk, effort and delay, because every rule has to be read, understood and manually re-implemented by a human expert.</w:t>
      </w:r>
    </w:p>
    <w:p xmlns:wp14="http://schemas.microsoft.com/office/word/2010/wordml" w14:paraId="6397076D" wp14:textId="77777777">
      <w:pPr>
        <w:spacing w:after="160" w:line="300" w:lineRule="auto"/>
      </w:pPr>
      <w:r w:rsidRPr="1E10A4DF" w:rsidR="1E10A4DF">
        <w:rPr>
          <w:rFonts w:ascii="Calibri" w:hAnsi="Calibri" w:eastAsia="Calibri" w:cs="Calibri"/>
          <w:sz w:val="22"/>
          <w:szCs w:val="22"/>
          <w:lang w:val="en-US"/>
        </w:rPr>
        <w:t>The broader research this thesis is built around proposes an AI-powered transformation approach: an intelligent system capable of reading a source business rule and generating an accurate, implementation-ready representation of the same logic for a target system, using Retrieval-Augmented Generation (RAG) supported by a Large Language Model (LLM). Before such a system can be designed, tuned or evaluated, it needs something to learn from and be measured against. That is the purpose of the phase documented in this section: the construction of a synthetic, curated, ground-truth dataset of source-rule-to-target-JSON pairs that is large enough, varied enough and faithful enough to support both model development and rigorous academic evaluation.</w:t>
      </w:r>
    </w:p>
    <w:p xmlns:wp14="http://schemas.microsoft.com/office/word/2010/wordml" w14:paraId="1EEE1F79" wp14:textId="77777777">
      <w:pPr>
        <w:spacing w:after="160" w:line="300"/>
      </w:pPr>
      <w:r>
        <w:rPr>
          <w:rFonts w:ascii="Calibri" w:hAnsi="Calibri" w:eastAsia="Calibri" w:cs="Calibri"/>
          <w:sz w:val="22"/>
          <w:szCs w:val="22"/>
        </w:rPr>
        <w:t xml:space="preserve">This dataset is not a simple lookup table of examples. It is intended to become the backbone of the entire experimental pipeline: it will be embedded into a vector database, retrieved through similarity search during inference, used to few-shot prompt the LLM, and finally used to score the system's own output during the test phase using held-out examples the model has never seen. Because of this central role, the way the dataset is constructed, categorized and represented has a direct and material effect on how well the eventual RAG solution will perform, and this is why the data preparation phase deserved careful methodological treatment rather than a quick mechanical extraction.</w:t>
      </w:r>
    </w:p>
    <w:p xmlns:wp14="http://schemas.microsoft.com/office/word/2010/wordml" w14:paraId="75E52264" wp14:textId="77777777">
      <w:pPr>
        <w:pStyle w:val="Heading1"/>
        <w:spacing w:before="420" w:after="200"/>
      </w:pPr>
      <w:r>
        <w:rPr>
          <w:rFonts w:ascii="Calibri" w:hAnsi="Calibri" w:eastAsia="Calibri" w:cs="Calibri"/>
        </w:rPr>
        <w:t xml:space="preserve">2. Data Preparation Strategy</w:t>
      </w:r>
    </w:p>
    <w:p xmlns:wp14="http://schemas.microsoft.com/office/word/2010/wordml" w14:paraId="244299ED" wp14:textId="77777777">
      <w:pPr>
        <w:spacing w:after="160" w:line="300" w:lineRule="auto"/>
      </w:pPr>
      <w:r w:rsidRPr="1E10A4DF" w:rsidR="1E10A4DF">
        <w:rPr>
          <w:rFonts w:ascii="Calibri" w:hAnsi="Calibri" w:eastAsia="Calibri" w:cs="Calibri"/>
          <w:sz w:val="22"/>
          <w:szCs w:val="22"/>
          <w:lang w:val="en-US"/>
        </w:rPr>
        <w:t>The dataset is built directly from a real workbook of production business rules rather than from invented examples, so that the eventual model learns patterns that genuinely exist in enterprise rule engines rather than patterns a human author imagined. Two sheets of the source workbook are used, and deliberately only these two, because between them they contain everything needed to understand both the raw logic of a rule and its structural, human-authored intent.</w:t>
      </w:r>
    </w:p>
    <w:p xmlns:wp14="http://schemas.microsoft.com/office/word/2010/wordml" w14:paraId="0798FF52" wp14:textId="77777777">
      <w:pPr>
        <w:pStyle w:val="Heading2"/>
        <w:spacing w:before="300" w:after="140"/>
      </w:pPr>
      <w:r>
        <w:rPr>
          <w:rFonts w:ascii="Calibri" w:hAnsi="Calibri" w:eastAsia="Calibri" w:cs="Calibri"/>
        </w:rPr>
        <w:t xml:space="preserve">2.1 What is extracted, and why only these two sheets</w:t>
      </w:r>
    </w:p>
    <w:p xmlns:wp14="http://schemas.microsoft.com/office/word/2010/wordml" w14:paraId="218132BB" wp14:textId="77777777">
      <w:pPr>
        <w:spacing w:after="160" w:line="300" w:lineRule="auto"/>
      </w:pPr>
      <w:r w:rsidRPr="1E10A4DF" w:rsidR="1E10A4DF">
        <w:rPr>
          <w:rFonts w:ascii="Calibri" w:hAnsi="Calibri" w:eastAsia="Calibri" w:cs="Calibri"/>
          <w:sz w:val="22"/>
          <w:szCs w:val="22"/>
          <w:lang w:val="en-US"/>
        </w:rPr>
        <w:t xml:space="preserve">The </w:t>
      </w:r>
      <w:r w:rsidRPr="1E10A4DF" w:rsidR="1E10A4DF">
        <w:rPr>
          <w:rFonts w:ascii="Calibri" w:hAnsi="Calibri" w:eastAsia="Calibri" w:cs="Calibri"/>
          <w:b w:val="1"/>
          <w:bCs w:val="1"/>
          <w:sz w:val="22"/>
          <w:szCs w:val="22"/>
          <w:lang w:val="en-US"/>
        </w:rPr>
        <w:t>S1 – Business Rules</w:t>
      </w:r>
      <w:r w:rsidRPr="1E10A4DF" w:rsidR="1E10A4DF">
        <w:rPr>
          <w:rFonts w:ascii="Calibri" w:hAnsi="Calibri" w:eastAsia="Calibri" w:cs="Calibri"/>
          <w:sz w:val="22"/>
          <w:szCs w:val="22"/>
          <w:lang w:val="en-US"/>
        </w:rPr>
        <w:t xml:space="preserve"> sheet is the primary source of truth. It stores, for every rule in the platform, the rule's name, its declared type (for example ContentGenerationConcatenation, ContentGenerationComplex, or Governance), its publication status, its target attribute and locale, and — most importantly — its full native rule definition exactly as written by the business analyst who authored it. This native definition is the actual program: a short piece of proprietary script containing variable assignments, nested conditional logic, string concatenation and calls to platform functions such as AttributeValue, ValidateEmptyAttributes, Concat and Getuomvalue.</w:t>
      </w:r>
    </w:p>
    <w:p xmlns:wp14="http://schemas.microsoft.com/office/word/2010/wordml" w14:paraId="64023619" wp14:textId="77777777">
      <w:pPr>
        <w:spacing w:after="160" w:line="300" w:lineRule="auto"/>
      </w:pPr>
      <w:r w:rsidRPr="1E10A4DF" w:rsidR="1E10A4DF">
        <w:rPr>
          <w:rFonts w:ascii="Calibri" w:hAnsi="Calibri" w:eastAsia="Calibri" w:cs="Calibri"/>
          <w:sz w:val="22"/>
          <w:szCs w:val="22"/>
          <w:lang w:val="en-US"/>
        </w:rPr>
        <w:t xml:space="preserve">The </w:t>
      </w:r>
      <w:r w:rsidRPr="1E10A4DF" w:rsidR="1E10A4DF">
        <w:rPr>
          <w:rFonts w:ascii="Calibri" w:hAnsi="Calibri" w:eastAsia="Calibri" w:cs="Calibri"/>
          <w:b w:val="1"/>
          <w:bCs w:val="1"/>
          <w:sz w:val="22"/>
          <w:szCs w:val="22"/>
          <w:lang w:val="en-US"/>
        </w:rPr>
        <w:t>S6 – DDG CG Rule Definition</w:t>
      </w:r>
      <w:r w:rsidRPr="1E10A4DF" w:rsidR="1E10A4DF">
        <w:rPr>
          <w:rFonts w:ascii="Calibri" w:hAnsi="Calibri" w:eastAsia="Calibri" w:cs="Calibri"/>
          <w:sz w:val="22"/>
          <w:szCs w:val="22"/>
          <w:lang w:val="en-US"/>
        </w:rPr>
        <w:t xml:space="preserve"> sheet is a secondary, structural view that the source platform maintains for a subset of concatenation-style rules. Rather than script, it lists — attribute by attribute — the exact order in which each attribute is inserted into the output, along with its prefix text, suffix text, the separator placed before the attribute name, whether the attribute name itself should be printed, whether the fragment should be skipped when the source value is blank, and whether a unit of measure should be appended. This sheet does not replace the logic in S1; it supplements it, because it exposes formatting intent (ordering, punctuation, unit handling) that is sometimes difficult to reconstruct purely by parsing the script text in S1. Wherever a rule name in S1 has a matching set of rows in S6, that structural definition is attached to the record as corroborating evidence.</w:t>
      </w:r>
    </w:p>
    <w:p xmlns:wp14="http://schemas.microsoft.com/office/word/2010/wordml" w14:paraId="4AEFB8AA" wp14:textId="77777777">
      <w:pPr>
        <w:spacing w:after="160" w:line="300"/>
      </w:pPr>
      <w:r>
        <w:rPr>
          <w:rFonts w:ascii="Calibri" w:hAnsi="Calibri" w:eastAsia="Calibri" w:cs="Calibri"/>
          <w:sz w:val="22"/>
          <w:szCs w:val="22"/>
        </w:rPr>
        <w:t xml:space="preserve">No other sheet in the workbook (business conditions, dynamic governance sorting, system messages, group context, and so on) is used at this stage, since the objective of this phase is strictly the source-rule-to-target-JSON conversion problem, not the surrounding workflow or governance configuration.</w:t>
      </w:r>
    </w:p>
    <w:p xmlns:wp14="http://schemas.microsoft.com/office/word/2010/wordml" w14:paraId="6F478D93" wp14:textId="77777777">
      <w:pPr>
        <w:pStyle w:val="Heading2"/>
        <w:spacing w:before="300" w:after="140"/>
      </w:pPr>
      <w:r>
        <w:rPr>
          <w:rFonts w:ascii="Calibri" w:hAnsi="Calibri" w:eastAsia="Calibri" w:cs="Calibri"/>
        </w:rPr>
        <w:t xml:space="preserve">2.2 Categorizing rules by business purpose</w:t>
      </w:r>
    </w:p>
    <w:p xmlns:wp14="http://schemas.microsoft.com/office/word/2010/wordml" w14:paraId="306D444F" wp14:textId="77777777">
      <w:pPr>
        <w:spacing w:after="160" w:line="300" w:lineRule="auto"/>
      </w:pPr>
      <w:r w:rsidRPr="1E10A4DF" w:rsidR="1E10A4DF">
        <w:rPr>
          <w:rFonts w:ascii="Calibri" w:hAnsi="Calibri" w:eastAsia="Calibri" w:cs="Calibri"/>
          <w:sz w:val="22"/>
          <w:szCs w:val="22"/>
          <w:lang w:val="en-US"/>
        </w:rPr>
        <w:t>Every rule in the extract is assigned to exactly one of seven categories, chosen because between them they describe the complete range of behavior observed in the source platform: Validation Rules, Derivation Rules, Transformation Rules, Calculation Rules, Publication Rules, Country-Specific Rules and Category-Specific Rules. The category is not taken from a flag in the source system; it is inferred from the actual content of the rule — the functions it calls, the comparisons it performs, the locale it targets, and the nature of its target attribute. For example, a rule that calls AddError or AddAttributeError to enforce a mandatory field is classified as a Validation Rule; a rule that calls GetConvertedUoMValue to change a unit of measure is classified as a Calculation Rule; a rule whose target locale is not the default en_GB, or whose logic explicitly checks a country or market token, is classified as a Country-Specific Rule; and a rule built primarily around Concat and conditional string assembly is classified as a Transformation Rule. This categorization gives the eventual RAG system a first, coarse retrieval signal — when a new rule arrives for conversion, the system can narrow its search to structurally similar examples before attempting a detailed match.</w:t>
      </w:r>
    </w:p>
    <w:p xmlns:wp14="http://schemas.microsoft.com/office/word/2010/wordml" w14:paraId="06C5313A" wp14:textId="77777777">
      <w:pPr>
        <w:pStyle w:val="Heading2"/>
        <w:spacing w:before="300" w:after="140"/>
      </w:pPr>
      <w:r>
        <w:rPr>
          <w:rFonts w:ascii="Calibri" w:hAnsi="Calibri" w:eastAsia="Calibri" w:cs="Calibri"/>
        </w:rPr>
        <w:t xml:space="preserve">2.3 Grading rules by complexity</w:t>
      </w:r>
    </w:p>
    <w:p xmlns:wp14="http://schemas.microsoft.com/office/word/2010/wordml" w14:paraId="10ADF6CF" wp14:textId="77777777">
      <w:pPr>
        <w:spacing w:after="160" w:line="300" w:lineRule="auto"/>
      </w:pPr>
      <w:r w:rsidRPr="1E10A4DF" w:rsidR="1E10A4DF">
        <w:rPr>
          <w:rFonts w:ascii="Calibri" w:hAnsi="Calibri" w:eastAsia="Calibri" w:cs="Calibri"/>
          <w:sz w:val="22"/>
          <w:szCs w:val="22"/>
          <w:lang w:val="en-US"/>
        </w:rPr>
        <w:t>Alongside category, every rule is graded as Simple, Medium or Complex, and this grading is earned mathematically rather than guessed. Each rule is first parsed into a small ordered program (this parsing step is explained fully in Section 3), and from that parsed program several objective signals are counted: the number of distinct variables that are assigned and then reused, the number of function calls, the number of comparison and logical operators, and the nesting depth of the expression tree. These signals are combined into a single complexity score. Rules with very few of these signals — typically a single attribute check feeding a single output — fall naturally into the Simple band. Rules that build several conditional fragments and concatenate them fall into the Medium band. Rules that reassign the same variable multiple times, apply chains of exclusion logic, or are explicitly authored with a name ending in "COMPLEX" (a convention the source business analysts themselves use for the hardest rules) are placed in the Complex band. This scoring approach means the label is a property of what the rule actually does, not of how it happened to be named or flagged in the source system, although the source system's own "COMPLEX" naming convention is treated as a strong corroborating signal and is never allowed to be downgraded to Simple.</w:t>
      </w:r>
    </w:p>
    <w:p xmlns:wp14="http://schemas.microsoft.com/office/word/2010/wordml" w14:paraId="10A3B16F" wp14:textId="77777777">
      <w:pPr>
        <w:spacing w:after="160" w:line="300" w:lineRule="auto"/>
      </w:pPr>
      <w:r w:rsidRPr="1E10A4DF" w:rsidR="1E10A4DF">
        <w:rPr>
          <w:rFonts w:ascii="Calibri" w:hAnsi="Calibri" w:eastAsia="Calibri" w:cs="Calibri"/>
          <w:sz w:val="22"/>
          <w:szCs w:val="22"/>
          <w:lang w:val="en-US"/>
        </w:rPr>
        <w:t>The finished dataset is deliberately balanced to a 40% Simple, 40% Medium, 20% Complex distribution. This mirrors, in miniature, the shape of real rule inventories — most rules are genuinely simple, a substantial middle band does moderate conditional work, and a smaller but disproportionately important group carries the hardest, most business-critical logic — while still guaranteeing that the model sees enough hard examples to learn from them, since a naturally sampled inventory would under-represent the Complex band relative to its practical importance.</w:t>
      </w:r>
    </w:p>
    <w:p xmlns:wp14="http://schemas.microsoft.com/office/word/2010/wordml" w14:paraId="0D48B985" wp14:textId="77777777">
      <w:pPr>
        <w:pStyle w:val="Heading2"/>
        <w:spacing w:before="300" w:after="140"/>
      </w:pPr>
      <w:r>
        <w:rPr>
          <w:rFonts w:ascii="Calibri" w:hAnsi="Calibri" w:eastAsia="Calibri" w:cs="Calibri"/>
        </w:rPr>
        <w:t xml:space="preserve">2.4 Ground truth and metadata carried per rule</w:t>
      </w:r>
    </w:p>
    <w:p xmlns:wp14="http://schemas.microsoft.com/office/word/2010/wordml" w14:paraId="32F84B30" wp14:textId="77777777">
      <w:pPr>
        <w:spacing w:after="160" w:line="300"/>
      </w:pPr>
      <w:r>
        <w:rPr>
          <w:rFonts w:ascii="Calibri" w:hAnsi="Calibri" w:eastAsia="Calibri" w:cs="Calibri"/>
          <w:sz w:val="22"/>
          <w:szCs w:val="22"/>
        </w:rPr>
        <w:t xml:space="preserve">Every one of the 700 records in the dataset is a complete, self-contained training example. It stores a synthetic rule identifier, the original source rule identifier and name (so any record can always be traced back to its origin in the workbook), the rule's category and complexity, its source system label, its target attribute and locale, the list of attributes it references, whether a matching S6 structural definition was found and used, and — the centerpiece of the record — the Expected Target JSON, which is the ground-truth machine-readable representation of the rule's logic. The design of that JSON, and why it evolved from a simple flat structure into a full ordered-program representation, is the subject of Section 3.</w:t>
      </w:r>
    </w:p>
    <w:p xmlns:wp14="http://schemas.microsoft.com/office/word/2010/wordml" w14:paraId="39617ED9" wp14:textId="77777777">
      <w:pPr>
        <w:pStyle w:val="Heading2"/>
        <w:spacing w:before="300" w:after="140"/>
      </w:pPr>
      <w:r>
        <w:rPr>
          <w:rFonts w:ascii="Calibri" w:hAnsi="Calibri" w:eastAsia="Calibri" w:cs="Calibri"/>
        </w:rPr>
        <w:t xml:space="preserve">2.5 Splitting the dataset for machine learning discipline</w:t>
      </w:r>
    </w:p>
    <w:p xmlns:wp14="http://schemas.microsoft.com/office/word/2010/wordml" w14:paraId="22798DCA" wp14:textId="77777777">
      <w:pPr>
        <w:spacing w:after="160" w:line="300" w:lineRule="auto"/>
      </w:pPr>
      <w:r w:rsidRPr="1E10A4DF" w:rsidR="1E10A4DF">
        <w:rPr>
          <w:rFonts w:ascii="Calibri" w:hAnsi="Calibri" w:eastAsia="Calibri" w:cs="Calibri"/>
          <w:sz w:val="22"/>
          <w:szCs w:val="22"/>
          <w:lang w:val="en-US"/>
        </w:rPr>
        <w:t>Finally, every record is tagged with a split label — Train, Validation or Test — in a 70:15:15 ratio. This split is stratified by category and complexity, so that each of the seven categories and all three complexity bands are represented proportionally in all three splits rather than, for instance, all the Complex examples accidentally ending up in Test. The Train partition is what will populate the vector database and supply the few-shot examples the RAG retriever surfaces at inference time. The Validation partition is reserved for tuning prompts, chunking strategy and retrieval parameters during development. The Test partition is never touched during development at all; it exists purely to produce an honest, final measurement of how well the finished system converts rules it has never encountered, which is essential for the dataset to support a credible academic evaluation rather than an optimistic, self-fulfilling one.</w:t>
      </w:r>
    </w:p>
    <w:p xmlns:wp14="http://schemas.microsoft.com/office/word/2010/wordml" w14:paraId="7674AA09" wp14:textId="77777777">
      <w:pPr>
        <w:pStyle w:val="Heading1"/>
        <w:spacing w:before="420" w:after="200"/>
      </w:pPr>
      <w:r>
        <w:rPr>
          <w:rFonts w:ascii="Calibri" w:hAnsi="Calibri" w:eastAsia="Calibri" w:cs="Calibri"/>
        </w:rPr>
        <w:t xml:space="preserve">3. From Flat Mapping to a Logic-Preserving JSON Design</w:t>
      </w:r>
    </w:p>
    <w:p xmlns:wp14="http://schemas.microsoft.com/office/word/2010/wordml" w14:paraId="2139BF3D" wp14:textId="77777777">
      <w:pPr>
        <w:spacing w:after="160" w:line="300"/>
      </w:pPr>
      <w:r>
        <w:rPr>
          <w:rFonts w:ascii="Calibri" w:hAnsi="Calibri" w:eastAsia="Calibri" w:cs="Calibri"/>
          <w:sz w:val="22"/>
          <w:szCs w:val="22"/>
        </w:rPr>
        <w:t xml:space="preserve">The single most important design decision in this entire data preparation phase concerns the shape of the Expected Target JSON itself, and it is worth explaining in some depth because it changed materially over the course of building the dataset, and the reasoning behind that change is itself a research contribution worth including in the thesis.</w:t>
      </w:r>
    </w:p>
    <w:p xmlns:wp14="http://schemas.microsoft.com/office/word/2010/wordml" w14:paraId="29DD93C5" wp14:textId="77777777">
      <w:pPr>
        <w:pStyle w:val="Heading2"/>
        <w:spacing w:before="300" w:after="140"/>
      </w:pPr>
      <w:r>
        <w:rPr>
          <w:rFonts w:ascii="Calibri" w:hAnsi="Calibri" w:eastAsia="Calibri" w:cs="Calibri"/>
        </w:rPr>
        <w:t xml:space="preserve">3.1 Why the first, simpler design was not sufficient</w:t>
      </w:r>
    </w:p>
    <w:p xmlns:wp14="http://schemas.microsoft.com/office/word/2010/wordml" w14:paraId="073052BF" wp14:textId="77777777">
      <w:pPr>
        <w:spacing w:after="160" w:line="300" w:lineRule="auto"/>
      </w:pPr>
      <w:r w:rsidRPr="1E10A4DF" w:rsidR="1E10A4DF">
        <w:rPr>
          <w:rFonts w:ascii="Calibri" w:hAnsi="Calibri" w:eastAsia="Calibri" w:cs="Calibri"/>
          <w:sz w:val="22"/>
          <w:szCs w:val="22"/>
          <w:lang w:val="en-US"/>
        </w:rPr>
        <w:t>The initial, intuitive approach represented every rule the way many rule-engine textbooks describe rules in general: as a short list of conditions, followed by a short list of actions, in the spirit of</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E10A4DF" w14:paraId="4E0E34F0" wp14:textId="77777777">
        <w:tc>
          <w:tcPr>
            <w:tcW w:w="9360" w:type="dxa"/>
            <w:tcBorders>
              <w:top w:val="single" w:color="D0D0D0" w:sz="4"/>
              <w:left w:val="single" w:color="D0D0D0" w:sz="4"/>
              <w:bottom w:val="single" w:color="D0D0D0" w:sz="4"/>
              <w:right w:val="single" w:color="D0D0D0" w:sz="4"/>
            </w:tcBorders>
            <w:shd w:val="clear" w:color="auto" w:fill="F4F4F4"/>
            <w:tcMar>
              <w:top w:w="140" w:type="dxa"/>
              <w:left w:w="200" w:type="dxa"/>
              <w:bottom w:w="140" w:type="dxa"/>
              <w:right w:w="200" w:type="dxa"/>
            </w:tcMar>
          </w:tcPr>
          <w:p w14:paraId="668EF8AE" wp14:textId="77777777">
            <w:pPr>
              <w:spacing w:after="0" w:line="260"/>
            </w:pPr>
            <w:r>
              <w:rPr>
                <w:rFonts w:ascii="Consolas" w:hAnsi="Consolas" w:eastAsia="Consolas" w:cs="Consolas"/>
                <w:color w:val="1F3864"/>
                <w:sz w:val="19"/>
                <w:szCs w:val="19"/>
              </w:rPr>
              <w:t xml:space="preserve">{</w:t>
            </w:r>
          </w:p>
          <w:p w14:paraId="79CE3346" wp14:textId="77777777">
            <w:pPr>
              <w:spacing w:after="0" w:line="260" w:lineRule="auto"/>
            </w:pPr>
            <w:r w:rsidRPr="1E10A4DF" w:rsidR="1E10A4DF">
              <w:rPr>
                <w:rFonts w:ascii="Consolas" w:hAnsi="Consolas" w:eastAsia="Consolas" w:cs="Consolas"/>
                <w:color w:val="1F3864"/>
                <w:sz w:val="19"/>
                <w:szCs w:val="19"/>
                <w:lang w:val="en-GB"/>
              </w:rPr>
              <w:t xml:space="preserve">  "ruleType": "Transformation",</w:t>
            </w:r>
          </w:p>
          <w:p w14:paraId="73C5E566" wp14:textId="77777777">
            <w:pPr>
              <w:spacing w:after="0" w:line="260" w:lineRule="auto"/>
            </w:pPr>
            <w:r w:rsidRPr="1E10A4DF" w:rsidR="1E10A4DF">
              <w:rPr>
                <w:rFonts w:ascii="Consolas" w:hAnsi="Consolas" w:eastAsia="Consolas" w:cs="Consolas"/>
                <w:color w:val="1F3864"/>
                <w:sz w:val="19"/>
                <w:szCs w:val="19"/>
                <w:lang w:val="en-GB"/>
              </w:rPr>
              <w:t xml:space="preserve">  "conditions": [ { "operator": "notEmpty", "attribute": "Tech_Fittings &amp; fixings included" } ],</w:t>
            </w:r>
          </w:p>
          <w:p w14:paraId="4293D623" wp14:textId="77777777">
            <w:pPr>
              <w:spacing w:after="0" w:line="260" w:lineRule="auto"/>
            </w:pPr>
            <w:r w:rsidRPr="1E10A4DF" w:rsidR="1E10A4DF">
              <w:rPr>
                <w:rFonts w:ascii="Consolas" w:hAnsi="Consolas" w:eastAsia="Consolas" w:cs="Consolas"/>
                <w:color w:val="1F3864"/>
                <w:sz w:val="19"/>
                <w:szCs w:val="19"/>
                <w:lang w:val="en-GB"/>
              </w:rPr>
              <w:t xml:space="preserve">  "actions": [ { "operator": "transform", "targetAttribute": "Bullet Point 03" } ]</w:t>
            </w:r>
          </w:p>
          <w:p w14:paraId="2239F6FF" wp14:textId="77777777">
            <w:pPr>
              <w:spacing w:after="0" w:line="260"/>
            </w:pPr>
            <w:r>
              <w:rPr>
                <w:rFonts w:ascii="Consolas" w:hAnsi="Consolas" w:eastAsia="Consolas" w:cs="Consolas"/>
                <w:color w:val="1F3864"/>
                <w:sz w:val="19"/>
                <w:szCs w:val="19"/>
              </w:rPr>
              <w:t xml:space="preserve">}</w:t>
            </w:r>
          </w:p>
        </w:tc>
      </w:tr>
    </w:tbl>
    <w:p xmlns:wp14="http://schemas.microsoft.com/office/word/2010/wordml" w14:paraId="7DB6F3A3" wp14:textId="77777777">
      <w:pPr>
        <w:spacing w:after="160" w:line="300"/>
      </w:pPr>
      <w:r>
        <w:rPr>
          <w:rFonts w:ascii="Calibri" w:hAnsi="Calibri" w:eastAsia="Calibri" w:cs="Calibri"/>
          <w:sz w:val="22"/>
          <w:szCs w:val="22"/>
        </w:rPr>
        <w:t xml:space="preserve">This works well for the small minority of rules that genuinely are a single check feeding a single output. However, manual review of the Complex-band rules — for example a household cleaners description rule that builds and progressively filters more than a dozen intermediate variables before a final concatenation, or a simple-looking downlight bullet-point rule that quietly reassigns a variable twice to strip out one specific excluded phrase — showed that this flat structure silently discarded the parts of the logic that actually mattered. It could record </w:t>
      </w:r>
      <w:r>
        <w:rPr>
          <w:rFonts w:ascii="Calibri" w:hAnsi="Calibri" w:eastAsia="Calibri" w:cs="Calibri"/>
          <w:i/>
          <w:iCs/>
          <w:sz w:val="22"/>
          <w:szCs w:val="22"/>
        </w:rPr>
        <w:t xml:space="preserve">that</w:t>
      </w:r>
      <w:r>
        <w:rPr>
          <w:rFonts w:ascii="Calibri" w:hAnsi="Calibri" w:eastAsia="Calibri" w:cs="Calibri"/>
          <w:sz w:val="22"/>
          <w:szCs w:val="22"/>
        </w:rPr>
        <w:t xml:space="preserve"> an attribute was checked for emptiness, but not </w:t>
      </w:r>
      <w:r>
        <w:rPr>
          <w:rFonts w:ascii="Calibri" w:hAnsi="Calibri" w:eastAsia="Calibri" w:cs="Calibri"/>
          <w:i/>
          <w:iCs/>
          <w:sz w:val="22"/>
          <w:szCs w:val="22"/>
        </w:rPr>
        <w:t xml:space="preserve">what happened next</w:t>
      </w:r>
      <w:r>
        <w:rPr>
          <w:rFonts w:ascii="Calibri" w:hAnsi="Calibri" w:eastAsia="Calibri" w:cs="Calibri"/>
          <w:sz w:val="22"/>
          <w:szCs w:val="22"/>
        </w:rPr>
        <w:t xml:space="preserve">, not the order operations occurred in, not the fact that a value was computed and then conditionally overwritten, and not the exact literal strings being compared against or substituted in. A target system consuming this flattened JSON would produce an output that only superficially resembled the source rule's behavior, which is precisely the failure mode this dataset exists to prevent.</w:t>
      </w:r>
    </w:p>
    <w:p xmlns:wp14="http://schemas.microsoft.com/office/word/2010/wordml" w14:paraId="377F315E" wp14:textId="77777777">
      <w:pPr>
        <w:pStyle w:val="Heading2"/>
        <w:spacing w:before="300" w:after="140"/>
      </w:pPr>
      <w:r>
        <w:rPr>
          <w:rFonts w:ascii="Calibri" w:hAnsi="Calibri" w:eastAsia="Calibri" w:cs="Calibri"/>
        </w:rPr>
        <w:t xml:space="preserve">3.2 The guiding design principle</w:t>
      </w:r>
    </w:p>
    <w:p xmlns:wp14="http://schemas.microsoft.com/office/word/2010/wordml" w14:paraId="30BE8AE1" wp14:textId="77777777">
      <w:pPr>
        <w:spacing w:after="160" w:line="300" w:lineRule="auto"/>
      </w:pPr>
      <w:r w:rsidRPr="1E10A4DF" w:rsidR="1E10A4DF">
        <w:rPr>
          <w:rFonts w:ascii="Calibri" w:hAnsi="Calibri" w:eastAsia="Calibri" w:cs="Calibri"/>
          <w:sz w:val="22"/>
          <w:szCs w:val="22"/>
          <w:lang w:val="en-US"/>
        </w:rPr>
        <w:t xml:space="preserve">The governing principle adopted from that point onward was: </w:t>
      </w:r>
      <w:r w:rsidRPr="1E10A4DF" w:rsidR="1E10A4DF">
        <w:rPr>
          <w:rFonts w:ascii="Calibri" w:hAnsi="Calibri" w:eastAsia="Calibri" w:cs="Calibri"/>
          <w:b w:val="1"/>
          <w:bCs w:val="1"/>
          <w:sz w:val="22"/>
          <w:szCs w:val="22"/>
          <w:lang w:val="en-US"/>
        </w:rPr>
        <w:t>the JSON must represent the program, not merely the outcome the program tends to produce.</w:t>
      </w:r>
      <w:r w:rsidRPr="1E10A4DF" w:rsidR="1E10A4DF">
        <w:rPr>
          <w:rFonts w:ascii="Calibri" w:hAnsi="Calibri" w:eastAsia="Calibri" w:cs="Calibri"/>
          <w:sz w:val="22"/>
          <w:szCs w:val="22"/>
          <w:lang w:val="en-US"/>
        </w:rPr>
        <w:t xml:space="preserve"> In practice this means treating each source rule definition the way a compiler treats a small piece of source code — parsing it into a structured, ordered sequence of statements and expressions that can, in principle, be executed by a target interpreter to reproduce the exact original behavior, rather than merely summarizing what the rule is generally understood to do.</w:t>
      </w:r>
    </w:p>
    <w:p xmlns:wp14="http://schemas.microsoft.com/office/word/2010/wordml" w14:paraId="5028AFAA" wp14:textId="77777777">
      <w:pPr>
        <w:pStyle w:val="Heading2"/>
        <w:spacing w:before="300" w:after="140"/>
      </w:pPr>
      <w:r>
        <w:rPr>
          <w:rFonts w:ascii="Calibri" w:hAnsi="Calibri" w:eastAsia="Calibri" w:cs="Calibri"/>
        </w:rPr>
        <w:t xml:space="preserve">3.3 The ordered-program execution model</w:t>
      </w:r>
    </w:p>
    <w:p xmlns:wp14="http://schemas.microsoft.com/office/word/2010/wordml" w14:paraId="76FBDBE2" wp14:textId="77777777">
      <w:pPr>
        <w:spacing w:after="160" w:line="300" w:lineRule="auto"/>
      </w:pPr>
      <w:r w:rsidRPr="1E10A4DF" w:rsidR="1E10A4DF">
        <w:rPr>
          <w:rFonts w:ascii="Calibri" w:hAnsi="Calibri" w:eastAsia="Calibri" w:cs="Calibri"/>
          <w:sz w:val="22"/>
          <w:szCs w:val="22"/>
          <w:lang w:val="en-US"/>
        </w:rPr>
        <w:t xml:space="preserve">Each rule's Expected Target JSON now carries an executionModel block whose mode is an orderedProgram: a numbered list of statements that must be evaluated strictly in sequence, exactly mirroring the order in which the original script performs its assignments. Two kinds of statement are distinguished. An assign statement corresponds to a variable being given a value — the JSON equivalent of writing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10B3860" wp14:textId="77777777">
        <w:tc>
          <w:tcPr>
            <w:tcW w:w="9360" w:type="dxa"/>
            <w:tcBorders>
              <w:top w:val="single" w:color="D0D0D0" w:sz="4"/>
              <w:left w:val="single" w:color="D0D0D0" w:sz="4"/>
              <w:bottom w:val="single" w:color="D0D0D0" w:sz="4"/>
              <w:right w:val="single" w:color="D0D0D0" w:sz="4"/>
            </w:tcBorders>
            <w:shd w:val="clear" w:fill="F4F4F4"/>
            <w:tcMar>
              <w:top w:w="140" w:type="dxa"/>
              <w:left w:w="200" w:type="dxa"/>
              <w:bottom w:w="140" w:type="dxa"/>
              <w:right w:w="200" w:type="dxa"/>
            </w:tcMar>
          </w:tcPr>
          <w:p w14:paraId="3B5A42F5" wp14:textId="77777777">
            <w:pPr>
              <w:spacing w:after="0" w:line="260"/>
            </w:pPr>
            <w:r>
              <w:rPr>
                <w:rFonts w:ascii="Consolas" w:hAnsi="Consolas" w:eastAsia="Consolas" w:cs="Consolas"/>
                <w:color w:val="1F3864"/>
                <w:sz w:val="19"/>
                <w:szCs w:val="19"/>
              </w:rPr>
              <w:t xml:space="preserve">let fragrance = ...;</w:t>
            </w:r>
          </w:p>
        </w:tc>
      </w:tr>
    </w:tbl>
    <w:p xmlns:wp14="http://schemas.microsoft.com/office/word/2010/wordml" w14:paraId="4C3BED3C" wp14:textId="77777777">
      <w:pPr>
        <w:spacing w:after="160" w:line="300"/>
      </w:pPr>
      <w:r>
        <w:rPr>
          <w:rFonts w:ascii="Calibri" w:hAnsi="Calibri" w:eastAsia="Calibri" w:cs="Calibri"/>
          <w:sz w:val="22"/>
          <w:szCs w:val="22"/>
        </w:rPr>
        <w:t xml:space="preserve">in a conventional programming language. An evaluate statement corresponds to the final expression whose result becomes the rule's actual output, equivalent to a closing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E10A4DF" w14:paraId="71907B5A" wp14:textId="77777777">
        <w:tc>
          <w:tcPr>
            <w:tcW w:w="9360" w:type="dxa"/>
            <w:tcBorders>
              <w:top w:val="single" w:color="D0D0D0" w:sz="4"/>
              <w:left w:val="single" w:color="D0D0D0" w:sz="4"/>
              <w:bottom w:val="single" w:color="D0D0D0" w:sz="4"/>
              <w:right w:val="single" w:color="D0D0D0" w:sz="4"/>
            </w:tcBorders>
            <w:shd w:val="clear" w:color="auto" w:fill="F4F4F4"/>
            <w:tcMar>
              <w:top w:w="140" w:type="dxa"/>
              <w:left w:w="200" w:type="dxa"/>
              <w:bottom w:w="140" w:type="dxa"/>
              <w:right w:w="200" w:type="dxa"/>
            </w:tcMar>
          </w:tcPr>
          <w:p w14:paraId="06B83CDA" wp14:textId="77777777">
            <w:pPr>
              <w:spacing w:after="0" w:line="260" w:lineRule="auto"/>
            </w:pPr>
            <w:r w:rsidRPr="1E10A4DF" w:rsidR="1E10A4DF">
              <w:rPr>
                <w:rFonts w:ascii="Consolas" w:hAnsi="Consolas" w:eastAsia="Consolas" w:cs="Consolas"/>
                <w:color w:val="1F3864"/>
                <w:sz w:val="19"/>
                <w:szCs w:val="19"/>
                <w:lang w:val="en-GB"/>
              </w:rPr>
              <w:t>return Concat(...);</w:t>
            </w:r>
          </w:p>
        </w:tc>
      </w:tr>
    </w:tbl>
    <w:p xmlns:wp14="http://schemas.microsoft.com/office/word/2010/wordml" w14:paraId="4AC98E6A" wp14:textId="77777777">
      <w:pPr>
        <w:spacing w:after="160" w:line="300" w:lineRule="auto"/>
      </w:pPr>
      <w:r w:rsidRPr="1E10A4DF" w:rsidR="1E10A4DF">
        <w:rPr>
          <w:rFonts w:ascii="Calibri" w:hAnsi="Calibri" w:eastAsia="Calibri" w:cs="Calibri"/>
          <w:sz w:val="22"/>
          <w:szCs w:val="22"/>
          <w:lang w:val="en-US"/>
        </w:rPr>
        <w:t>This distinction matters because a real rule frequently reassigns the same variable several times — first populating it from a source attribute, then conditionally blanking it out if it equals one particular excluded phrase, sometimes doing this five or six times in succession for a single variable — and only the final evaluate statement actually produces what gets written to the target attribute. Recording the statements as an ordered list, each carrying its own sequence number, is what allows a downstream interpreter to know unambiguously what must happen first, second and last.</w:t>
      </w:r>
    </w:p>
    <w:p xmlns:wp14="http://schemas.microsoft.com/office/word/2010/wordml" w14:paraId="5EA71845" wp14:textId="77777777">
      <w:pPr>
        <w:pStyle w:val="Heading2"/>
        <w:spacing w:before="300" w:after="140"/>
      </w:pPr>
      <w:r>
        <w:rPr>
          <w:rFonts w:ascii="Calibri" w:hAnsi="Calibri" w:eastAsia="Calibri" w:cs="Calibri"/>
        </w:rPr>
        <w:t xml:space="preserve">3.4 Representing expressions as a small abstract syntax tree</w:t>
      </w:r>
    </w:p>
    <w:p xmlns:wp14="http://schemas.microsoft.com/office/word/2010/wordml" w14:paraId="3CB32426" wp14:textId="77777777">
      <w:pPr>
        <w:spacing w:after="160" w:line="300" w:lineRule="auto"/>
      </w:pPr>
      <w:r w:rsidRPr="1E10A4DF" w:rsidR="1E10A4DF">
        <w:rPr>
          <w:rFonts w:ascii="Calibri" w:hAnsi="Calibri" w:eastAsia="Calibri" w:cs="Calibri"/>
          <w:sz w:val="22"/>
          <w:szCs w:val="22"/>
          <w:lang w:val="en-US"/>
        </w:rPr>
        <w:t>Within each statement, the actual expression being assigned or evaluated is not stored as raw text but as a small abstract syntax tree (AST) — the same technique compilers use internally to represent code before executing it. Four node types cover everything observed across hundreds of source rules:</w:t>
      </w:r>
    </w:p>
    <w:p xmlns:wp14="http://schemas.microsoft.com/office/word/2010/wordml" w14:paraId="103FC33C" wp14:textId="77777777">
      <w:pPr>
        <w:pStyle w:val="ListParagraph"/>
        <w:numPr>
          <w:ilvl w:val="0"/>
          <w:numId w:val="2"/>
        </w:numPr>
        <w:spacing w:after="100" w:line="300" w:lineRule="auto"/>
        <w:rPr/>
      </w:pPr>
      <w:r w:rsidRPr="1E10A4DF" w:rsidR="1E10A4DF">
        <w:rPr>
          <w:rFonts w:ascii="Calibri" w:hAnsi="Calibri" w:eastAsia="Calibri" w:cs="Calibri"/>
          <w:sz w:val="22"/>
          <w:szCs w:val="22"/>
          <w:lang w:val="en-US"/>
        </w:rPr>
        <w:t>literal — a fixed piece of text, number or boolean written directly into the rule, for example the string "Guarantee - " or the number 0.</w:t>
      </w:r>
    </w:p>
    <w:p xmlns:wp14="http://schemas.microsoft.com/office/word/2010/wordml" w14:paraId="3EB4299B" wp14:textId="77777777">
      <w:pPr>
        <w:pStyle w:val="ListParagraph"/>
        <w:numPr>
          <w:ilvl w:val="0"/>
          <w:numId w:val="2"/>
        </w:numPr>
        <w:spacing w:after="100" w:line="300" w:lineRule="auto"/>
        <w:rPr/>
      </w:pPr>
      <w:r w:rsidRPr="1E10A4DF" w:rsidR="1E10A4DF">
        <w:rPr>
          <w:rFonts w:ascii="Calibri" w:hAnsi="Calibri" w:eastAsia="Calibri" w:cs="Calibri"/>
          <w:sz w:val="22"/>
          <w:szCs w:val="22"/>
          <w:lang w:val="en-US"/>
        </w:rPr>
        <w:t>reference — a named variable being read, for example the value currently held in fragrance.</w:t>
      </w:r>
    </w:p>
    <w:p xmlns:wp14="http://schemas.microsoft.com/office/word/2010/wordml" w14:paraId="0CE2BACD" wp14:textId="77777777">
      <w:pPr>
        <w:pStyle w:val="ListParagraph"/>
        <w:numPr>
          <w:ilvl w:val="0"/>
          <w:numId w:val="2"/>
        </w:numPr>
        <w:spacing w:after="100" w:line="300" w:lineRule="auto"/>
        <w:rPr/>
      </w:pPr>
      <w:r w:rsidRPr="1E10A4DF" w:rsidR="1E10A4DF">
        <w:rPr>
          <w:rFonts w:ascii="Calibri" w:hAnsi="Calibri" w:eastAsia="Calibri" w:cs="Calibri"/>
          <w:sz w:val="22"/>
          <w:szCs w:val="22"/>
          <w:lang w:val="en-US"/>
        </w:rPr>
        <w:t>call — an invocation of a platform function such as AttributeValue, ValidateEmptyAttributes, Concat or Getuomvalue, together with its arguments.</w:t>
      </w:r>
    </w:p>
    <w:p xmlns:wp14="http://schemas.microsoft.com/office/word/2010/wordml" w14:paraId="2F5E843B" wp14:textId="77777777">
      <w:pPr>
        <w:pStyle w:val="ListParagraph"/>
        <w:numPr>
          <w:ilvl w:val="0"/>
          <w:numId w:val="2"/>
        </w:numPr>
        <w:spacing w:after="100" w:line="300" w:lineRule="auto"/>
        <w:rPr/>
      </w:pPr>
      <w:r w:rsidRPr="1E10A4DF" w:rsidR="1E10A4DF">
        <w:rPr>
          <w:rFonts w:ascii="Calibri" w:hAnsi="Calibri" w:eastAsia="Calibri" w:cs="Calibri"/>
          <w:sz w:val="22"/>
          <w:szCs w:val="22"/>
          <w:lang w:val="en-US"/>
        </w:rPr>
        <w:t>conditional — the JSON equivalent of an if/else branch, storing a condition, a then-expression and an else-expression, used to represent every IIF found in the source language.</w:t>
      </w:r>
    </w:p>
    <w:p xmlns:wp14="http://schemas.microsoft.com/office/word/2010/wordml" w14:paraId="6F6F7415" wp14:textId="77777777">
      <w:pPr>
        <w:pStyle w:val="ListParagraph"/>
        <w:numPr>
          <w:ilvl w:val="0"/>
          <w:numId w:val="2"/>
        </w:numPr>
        <w:spacing w:after="100" w:line="300" w:lineRule="auto"/>
        <w:rPr/>
      </w:pPr>
      <w:r w:rsidRPr="1E10A4DF" w:rsidR="1E10A4DF">
        <w:rPr>
          <w:rFonts w:ascii="Calibri" w:hAnsi="Calibri" w:eastAsia="Calibri" w:cs="Calibri"/>
          <w:sz w:val="22"/>
          <w:szCs w:val="22"/>
          <w:lang w:val="en-US"/>
        </w:rPr>
        <w:t>binary — a comparison or logical operation such as equals, AND or OR, joining a left and a right expression.</w:t>
      </w:r>
    </w:p>
    <w:p xmlns:wp14="http://schemas.microsoft.com/office/word/2010/wordml" w14:paraId="12CDC90D" wp14:textId="77777777">
      <w:pPr>
        <w:spacing w:after="160" w:line="300"/>
      </w:pPr>
      <w:r>
        <w:rPr>
          <w:rFonts w:ascii="Calibri" w:hAnsi="Calibri" w:eastAsia="Calibri" w:cs="Calibri"/>
          <w:sz w:val="22"/>
          <w:szCs w:val="22"/>
        </w:rPr>
        <w:t xml:space="preserve">Because every one of these node types can itself contain another node of any type, the structure naturally nests to whatever depth the original rule requires, which is exactly why it can represent both a one-line Simple rule and a sixty-statement Complex rule using the same small vocabulary.</w:t>
      </w:r>
    </w:p>
    <w:p xmlns:wp14="http://schemas.microsoft.com/office/word/2010/wordml" w14:paraId="24BBE6C4" wp14:textId="77777777">
      <w:pPr>
        <w:pStyle w:val="Heading2"/>
        <w:spacing w:before="300" w:after="140"/>
      </w:pPr>
      <w:r>
        <w:rPr>
          <w:rFonts w:ascii="Calibri" w:hAnsi="Calibri" w:eastAsia="Calibri" w:cs="Calibri"/>
        </w:rPr>
        <w:t xml:space="preserve">3.5 A complete worked example</w:t>
      </w:r>
    </w:p>
    <w:p xmlns:wp14="http://schemas.microsoft.com/office/word/2010/wordml" w14:paraId="3FD37EBF" wp14:textId="77777777">
      <w:pPr>
        <w:spacing w:after="160" w:line="300"/>
      </w:pPr>
      <w:r>
        <w:rPr>
          <w:rFonts w:ascii="Calibri" w:hAnsi="Calibri" w:eastAsia="Calibri" w:cs="Calibri"/>
          <w:sz w:val="22"/>
          <w:szCs w:val="22"/>
        </w:rPr>
        <w:t xml:space="preserve">The clearest way to see why this matters is to trace one real rule end-to-end. The source rule Org_PIM_11361_Fire-RatedDownlights_Bullets_03 (marked COMPLEX by its own authors) reads, in the native source language: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E10A4DF" w14:paraId="7465A374" wp14:textId="77777777">
        <w:tc>
          <w:tcPr>
            <w:tcW w:w="9360" w:type="dxa"/>
            <w:tcBorders>
              <w:top w:val="single" w:color="D0D0D0" w:sz="4"/>
              <w:left w:val="single" w:color="D0D0D0" w:sz="4"/>
              <w:bottom w:val="single" w:color="D0D0D0" w:sz="4"/>
              <w:right w:val="single" w:color="D0D0D0" w:sz="4"/>
            </w:tcBorders>
            <w:shd w:val="clear" w:color="auto" w:fill="F4F4F4"/>
            <w:tcMar>
              <w:top w:w="140" w:type="dxa"/>
              <w:left w:w="200" w:type="dxa"/>
              <w:bottom w:w="140" w:type="dxa"/>
              <w:right w:w="200" w:type="dxa"/>
            </w:tcMar>
          </w:tcPr>
          <w:p w14:paraId="41F785E8" wp14:textId="77777777">
            <w:pPr>
              <w:spacing w:after="0" w:line="260" w:lineRule="auto"/>
            </w:pPr>
            <w:r w:rsidRPr="1E10A4DF" w:rsidR="1E10A4DF">
              <w:rPr>
                <w:rFonts w:ascii="Consolas" w:hAnsi="Consolas" w:eastAsia="Consolas" w:cs="Consolas"/>
                <w:color w:val="1F3864"/>
                <w:sz w:val="19"/>
                <w:szCs w:val="19"/>
                <w:lang w:val="en-GB"/>
              </w:rPr>
              <w:t>a := IIF[ValidateEmptyAttributes["Tech_Fittings &amp; fixings included",IGNORESOURCEFLAG],"",</w:t>
            </w:r>
          </w:p>
          <w:p w14:paraId="5BC3381E" wp14:textId="77777777">
            <w:pPr>
              <w:spacing w:after="0" w:line="260" w:lineRule="auto"/>
            </w:pPr>
            <w:r w:rsidRPr="1E10A4DF" w:rsidR="1E10A4DF">
              <w:rPr>
                <w:rFonts w:ascii="Consolas" w:hAnsi="Consolas" w:eastAsia="Consolas" w:cs="Consolas"/>
                <w:color w:val="1F3864"/>
                <w:sz w:val="19"/>
                <w:szCs w:val="19"/>
                <w:lang w:val="en-GB"/>
              </w:rPr>
              <w:t xml:space="preserve">  AttributeValue["Tech_Fittings &amp; fixings included"]</w:t>
            </w:r>
          </w:p>
          <w:p w14:paraId="61283731" wp14:textId="77777777">
            <w:pPr>
              <w:spacing w:after="0" w:line="260"/>
            </w:pPr>
            <w:r>
              <w:rPr>
                <w:rFonts w:ascii="Consolas" w:hAnsi="Consolas" w:eastAsia="Consolas" w:cs="Consolas"/>
                <w:color w:val="1F3864"/>
                <w:sz w:val="19"/>
                <w:szCs w:val="19"/>
              </w:rPr>
              <w:t xml:space="preserve">];</w:t>
            </w:r>
          </w:p>
          <w:p w14:paraId="6C9F7142" wp14:textId="77777777">
            <w:pPr>
              <w:spacing w:after="0" w:line="260" w:lineRule="auto"/>
            </w:pPr>
            <w:r w:rsidRPr="1E10A4DF" w:rsidR="1E10A4DF">
              <w:rPr>
                <w:rFonts w:ascii="Consolas" w:hAnsi="Consolas" w:eastAsia="Consolas" w:cs="Consolas"/>
                <w:color w:val="1F3864"/>
                <w:sz w:val="19"/>
                <w:szCs w:val="19"/>
                <w:lang w:val="en-GB"/>
              </w:rPr>
              <w:t>a := IIF[a="Fittings &amp; fixings not required","",a];</w:t>
            </w:r>
          </w:p>
          <w:p w14:paraId="29D6B04F" wp14:textId="77777777">
            <w:pPr>
              <w:spacing w:after="0" w:line="260"/>
            </w:pPr>
            <w:r>
              <w:rPr>
                <w:rFonts w:ascii="Consolas" w:hAnsi="Consolas" w:eastAsia="Consolas" w:cs="Consolas"/>
                <w:color w:val="1F3864"/>
                <w:sz w:val="19"/>
                <w:szCs w:val="19"/>
              </w:rPr>
              <w:t xml:space="preserve"> </w:t>
            </w:r>
          </w:p>
          <w:p w14:paraId="6BABBECF" wp14:textId="77777777">
            <w:pPr>
              <w:spacing w:after="0" w:line="260" w:lineRule="auto"/>
            </w:pPr>
            <w:r w:rsidRPr="1E10A4DF" w:rsidR="1E10A4DF">
              <w:rPr>
                <w:rFonts w:ascii="Consolas" w:hAnsi="Consolas" w:eastAsia="Consolas" w:cs="Consolas"/>
                <w:color w:val="1F3864"/>
                <w:sz w:val="19"/>
                <w:szCs w:val="19"/>
                <w:lang w:val="en-GB"/>
              </w:rPr>
              <w:t>Concat[a,""]</w:t>
            </w:r>
          </w:p>
        </w:tc>
      </w:tr>
    </w:tbl>
    <w:p xmlns:wp14="http://schemas.microsoft.com/office/word/2010/wordml" w14:paraId="3159BA7A" wp14:textId="77777777">
      <w:pPr>
        <w:spacing w:after="160" w:line="300" w:lineRule="auto"/>
      </w:pPr>
      <w:r w:rsidRPr="1E10A4DF" w:rsidR="1E10A4DF">
        <w:rPr>
          <w:rFonts w:ascii="Calibri" w:hAnsi="Calibri" w:eastAsia="Calibri" w:cs="Calibri"/>
          <w:sz w:val="22"/>
          <w:szCs w:val="22"/>
          <w:lang w:val="en-US"/>
        </w:rPr>
        <w:t>In plain language this rule says: read the fitting-and-fixings attribute, but only if it actually has a value; then, having read it, check whether that value happens to be the specific placeholder text "Fittings &amp; fixings not required", and if so, blank it out instead of printing it; whatever is left becomes the bullet point text. This is a small but genuinely stateful piece of logic — the second line's behavior depends entirely on the result of the first line — and the target platform must reproduce both steps in that exact order to behave correctly.</w:t>
      </w:r>
    </w:p>
    <w:p xmlns:wp14="http://schemas.microsoft.com/office/word/2010/wordml" w14:paraId="6C87F88D" wp14:textId="77777777">
      <w:pPr>
        <w:spacing w:after="160" w:line="300"/>
      </w:pPr>
      <w:r>
        <w:rPr>
          <w:rFonts w:ascii="Calibri" w:hAnsi="Calibri" w:eastAsia="Calibri" w:cs="Calibri"/>
          <w:sz w:val="22"/>
          <w:szCs w:val="22"/>
        </w:rPr>
        <w:t xml:space="preserve">The dataset represents this as three ordered statements. Expressed here in a shortened, human-readable form for clarity (the actual stored JSON is the full node structure described above):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E10A4DF" w14:paraId="7697789B" wp14:textId="77777777">
        <w:tc>
          <w:tcPr>
            <w:tcW w:w="9360" w:type="dxa"/>
            <w:tcBorders>
              <w:top w:val="single" w:color="D0D0D0" w:sz="4"/>
              <w:left w:val="single" w:color="D0D0D0" w:sz="4"/>
              <w:bottom w:val="single" w:color="D0D0D0" w:sz="4"/>
              <w:right w:val="single" w:color="D0D0D0" w:sz="4"/>
            </w:tcBorders>
            <w:shd w:val="clear" w:color="auto" w:fill="F4F4F4"/>
            <w:tcMar>
              <w:top w:w="140" w:type="dxa"/>
              <w:left w:w="200" w:type="dxa"/>
              <w:bottom w:w="140" w:type="dxa"/>
              <w:right w:w="200" w:type="dxa"/>
            </w:tcMar>
          </w:tcPr>
          <w:p w14:paraId="73547A23" wp14:textId="77777777">
            <w:pPr>
              <w:spacing w:after="0" w:line="260" w:lineRule="auto"/>
            </w:pPr>
            <w:r w:rsidRPr="1E10A4DF" w:rsidR="1E10A4DF">
              <w:rPr>
                <w:rFonts w:ascii="Consolas" w:hAnsi="Consolas" w:eastAsia="Consolas" w:cs="Consolas"/>
                <w:color w:val="1F3864"/>
                <w:sz w:val="19"/>
                <w:szCs w:val="19"/>
                <w:lang w:val="en-GB"/>
              </w:rPr>
              <w:t>sequence 1  assign a  =  conditional(</w:t>
            </w:r>
          </w:p>
          <w:p w14:paraId="5B12CB5E" wp14:textId="77777777">
            <w:pPr>
              <w:spacing w:after="0" w:line="260" w:lineRule="auto"/>
            </w:pPr>
            <w:r w:rsidRPr="1E10A4DF" w:rsidR="1E10A4DF">
              <w:rPr>
                <w:rFonts w:ascii="Consolas" w:hAnsi="Consolas" w:eastAsia="Consolas" w:cs="Consolas"/>
                <w:color w:val="1F3864"/>
                <w:sz w:val="19"/>
                <w:szCs w:val="19"/>
                <w:lang w:val="en-GB"/>
              </w:rPr>
              <w:t xml:space="preserve">               condition: call ValidateEmptyAttributes("Tech_Fittings &amp; fixings included", IGNORESOURCEFLAG)</w:t>
            </w:r>
          </w:p>
          <w:p w14:paraId="30581D27" wp14:textId="77777777">
            <w:pPr>
              <w:spacing w:after="0" w:line="260"/>
            </w:pPr>
            <w:r>
              <w:rPr>
                <w:rFonts w:ascii="Consolas" w:hAnsi="Consolas" w:eastAsia="Consolas" w:cs="Consolas"/>
                <w:color w:val="1F3864"/>
                <w:sz w:val="19"/>
                <w:szCs w:val="19"/>
              </w:rPr>
              <w:t xml:space="preserve">               then:      literal ""</w:t>
            </w:r>
          </w:p>
          <w:p w14:paraId="333B42E2" wp14:textId="77777777">
            <w:pPr>
              <w:spacing w:after="0" w:line="260" w:lineRule="auto"/>
            </w:pPr>
            <w:r w:rsidRPr="1E10A4DF" w:rsidR="1E10A4DF">
              <w:rPr>
                <w:rFonts w:ascii="Consolas" w:hAnsi="Consolas" w:eastAsia="Consolas" w:cs="Consolas"/>
                <w:color w:val="1F3864"/>
                <w:sz w:val="19"/>
                <w:szCs w:val="19"/>
                <w:lang w:val="en-GB"/>
              </w:rPr>
              <w:t xml:space="preserve">               else:      call AttributeValue("Tech_Fittings &amp; fixings included") )</w:t>
            </w:r>
          </w:p>
          <w:p w14:paraId="0A6959E7" wp14:textId="77777777">
            <w:pPr>
              <w:spacing w:after="0" w:line="260"/>
            </w:pPr>
            <w:r>
              <w:rPr>
                <w:rFonts w:ascii="Consolas" w:hAnsi="Consolas" w:eastAsia="Consolas" w:cs="Consolas"/>
                <w:color w:val="1F3864"/>
                <w:sz w:val="19"/>
                <w:szCs w:val="19"/>
              </w:rPr>
              <w:t xml:space="preserve"> </w:t>
            </w:r>
          </w:p>
          <w:p w14:paraId="68E03B71" wp14:textId="77777777">
            <w:pPr>
              <w:spacing w:after="0" w:line="260" w:lineRule="auto"/>
            </w:pPr>
            <w:r w:rsidRPr="1E10A4DF" w:rsidR="1E10A4DF">
              <w:rPr>
                <w:rFonts w:ascii="Consolas" w:hAnsi="Consolas" w:eastAsia="Consolas" w:cs="Consolas"/>
                <w:color w:val="1F3864"/>
                <w:sz w:val="19"/>
                <w:szCs w:val="19"/>
                <w:lang w:val="en-GB"/>
              </w:rPr>
              <w:t>sequence 2  assign a  =  conditional(</w:t>
            </w:r>
          </w:p>
          <w:p w14:paraId="62CEDD6C" wp14:textId="77777777">
            <w:pPr>
              <w:spacing w:after="0" w:line="260" w:lineRule="auto"/>
            </w:pPr>
            <w:r w:rsidRPr="1E10A4DF" w:rsidR="1E10A4DF">
              <w:rPr>
                <w:rFonts w:ascii="Consolas" w:hAnsi="Consolas" w:eastAsia="Consolas" w:cs="Consolas"/>
                <w:color w:val="1F3864"/>
                <w:sz w:val="19"/>
                <w:szCs w:val="19"/>
                <w:lang w:val="en-GB"/>
              </w:rPr>
              <w:t xml:space="preserve">               condition: binary( reference a  =  literal "Fittings &amp; fixings not required" )</w:t>
            </w:r>
          </w:p>
          <w:p w14:paraId="0709749F" wp14:textId="77777777">
            <w:pPr>
              <w:spacing w:after="0" w:line="260"/>
            </w:pPr>
            <w:r>
              <w:rPr>
                <w:rFonts w:ascii="Consolas" w:hAnsi="Consolas" w:eastAsia="Consolas" w:cs="Consolas"/>
                <w:color w:val="1F3864"/>
                <w:sz w:val="19"/>
                <w:szCs w:val="19"/>
              </w:rPr>
              <w:t xml:space="preserve">               then:      literal ""</w:t>
            </w:r>
          </w:p>
          <w:p w14:paraId="15B22F5F" wp14:textId="77777777">
            <w:pPr>
              <w:spacing w:after="0" w:line="260" w:lineRule="auto"/>
            </w:pPr>
            <w:r w:rsidRPr="1E10A4DF" w:rsidR="1E10A4DF">
              <w:rPr>
                <w:rFonts w:ascii="Consolas" w:hAnsi="Consolas" w:eastAsia="Consolas" w:cs="Consolas"/>
                <w:color w:val="1F3864"/>
                <w:sz w:val="19"/>
                <w:szCs w:val="19"/>
                <w:lang w:val="en-GB"/>
              </w:rPr>
              <w:t xml:space="preserve">               else:      reference a )</w:t>
            </w:r>
          </w:p>
          <w:p w14:paraId="100C5B58" wp14:textId="77777777">
            <w:pPr>
              <w:spacing w:after="0" w:line="260"/>
            </w:pPr>
            <w:r>
              <w:rPr>
                <w:rFonts w:ascii="Consolas" w:hAnsi="Consolas" w:eastAsia="Consolas" w:cs="Consolas"/>
                <w:color w:val="1F3864"/>
                <w:sz w:val="19"/>
                <w:szCs w:val="19"/>
              </w:rPr>
              <w:t xml:space="preserve"> </w:t>
            </w:r>
          </w:p>
          <w:p w14:paraId="0FCA6F50" wp14:textId="77777777">
            <w:pPr>
              <w:spacing w:after="0" w:line="260" w:lineRule="auto"/>
            </w:pPr>
            <w:r w:rsidRPr="1E10A4DF" w:rsidR="1E10A4DF">
              <w:rPr>
                <w:rFonts w:ascii="Consolas" w:hAnsi="Consolas" w:eastAsia="Consolas" w:cs="Consolas"/>
                <w:color w:val="1F3864"/>
                <w:sz w:val="19"/>
                <w:szCs w:val="19"/>
                <w:lang w:val="en-GB"/>
              </w:rPr>
              <w:t>sequence 3  evaluate    =  call Concat( reference a, literal "" )</w:t>
            </w:r>
          </w:p>
        </w:tc>
      </w:tr>
    </w:tbl>
    <w:p xmlns:wp14="http://schemas.microsoft.com/office/word/2010/wordml" w14:paraId="7ACD111F" wp14:textId="77777777">
      <w:pPr>
        <w:spacing w:after="160" w:line="300"/>
      </w:pPr>
      <w:r>
        <w:rPr>
          <w:rFonts w:ascii="Calibri" w:hAnsi="Calibri" w:eastAsia="Calibri" w:cs="Calibri"/>
          <w:sz w:val="22"/>
          <w:szCs w:val="22"/>
        </w:rPr>
        <w:t xml:space="preserve">Reading this back, a target interpreter — or, at inference time, the LLM being asked to generate an equivalent rule in the target platform's own language — can now see unambiguously that there are exactly two decisions to make and in what order to make them, and it can see the precise literal string that triggers suppression. None of that survived in the earlier flat conditions/actions design, and recovering it is what makes this representation fit for the stated long-term goal: a target system, or an AI model standing in for one, that can consume the JSON and correctly implement the same rule from scratch.</w:t>
      </w:r>
    </w:p>
    <w:p xmlns:wp14="http://schemas.microsoft.com/office/word/2010/wordml" w14:paraId="465E3B20" wp14:textId="77777777">
      <w:pPr>
        <w:pStyle w:val="Heading2"/>
        <w:spacing w:before="300" w:after="140"/>
      </w:pPr>
      <w:r w:rsidRPr="1E10A4DF" w:rsidR="1E10A4DF">
        <w:rPr>
          <w:rFonts w:ascii="Calibri" w:hAnsi="Calibri" w:eastAsia="Calibri" w:cs="Calibri"/>
          <w:lang w:val="en-US"/>
        </w:rPr>
        <w:t>3.6 Handling very large rules</w:t>
      </w:r>
    </w:p>
    <w:p xmlns:wp14="http://schemas.microsoft.com/office/word/2010/wordml" w14:paraId="60969D6A" wp14:textId="77777777">
      <w:pPr>
        <w:spacing w:after="160" w:line="300" w:lineRule="auto"/>
      </w:pPr>
      <w:r w:rsidRPr="1E10A4DF" w:rsidR="1E10A4DF">
        <w:rPr>
          <w:rFonts w:ascii="Calibri" w:hAnsi="Calibri" w:eastAsia="Calibri" w:cs="Calibri"/>
          <w:sz w:val="22"/>
          <w:szCs w:val="22"/>
          <w:lang w:val="en-US"/>
        </w:rPr>
        <w:t>A small number of the most elaborate description-building rules — one example builds a household cleaner's description out of more than sixty sequential statements, progressively cleaning brand, fragrance, anti-bacterial claims and surface-suitability text before a final assembly — produce an execution model that is large simply because the original rule itself is large. In every such case the full statement-by-statement structure is preserved rather than truncated or summarized, because truncating the hardest rules would defeat the purpose of including them at all. Where an individual JSON payload would otherwise exceed a spreadsheet cell's storage limit, the rule's raw source text is instead referenced by a checksum rather than duplicated verbatim inside the JSON (since the exact same text is already stored in full in the adjacent Source Rule Definition column), which keeps the record well within limits without losing or altering any part of the parsed logic itself.</w:t>
      </w:r>
    </w:p>
    <w:p xmlns:wp14="http://schemas.microsoft.com/office/word/2010/wordml" w14:paraId="15834719" wp14:textId="77777777">
      <w:pPr>
        <w:pStyle w:val="Heading1"/>
        <w:spacing w:before="420" w:after="200"/>
      </w:pPr>
      <w:r>
        <w:rPr>
          <w:rFonts w:ascii="Calibri" w:hAnsi="Calibri" w:eastAsia="Calibri" w:cs="Calibri"/>
        </w:rPr>
        <w:t xml:space="preserve">4. Why This Design Enables the RAG-Based Transformation Solution, and Recommended Next Steps</w:t>
      </w:r>
    </w:p>
    <w:p xmlns:wp14="http://schemas.microsoft.com/office/word/2010/wordml" w14:paraId="0F9441F9" wp14:textId="77777777">
      <w:pPr>
        <w:spacing w:after="160" w:line="300" w:lineRule="auto"/>
      </w:pPr>
      <w:r w:rsidRPr="1E10A4DF" w:rsidR="1E10A4DF">
        <w:rPr>
          <w:rFonts w:ascii="Calibri" w:hAnsi="Calibri" w:eastAsia="Calibri" w:cs="Calibri"/>
          <w:sz w:val="22"/>
          <w:szCs w:val="22"/>
          <w:lang w:val="en-US"/>
        </w:rPr>
        <w:t>The reason this level of care in data preparation matters is that a Retrieval-Augmented Generation system is only ever as good as the examples it retrieves and the patterns those examples demonstrate. If the ground truth in the vector store had continued to describe rules using the shallow conditions/actions form, the model being built on top of it would, at best, learn to guess plausible-looking JSON skeletons without ever learning the actual computational patterns — sequential reassignment, conditional suppression of specific literal values, nested branching, unit-of-measure handling — that make source rules behave the way they do. By instead storing an ordered, typed, faithfully parsed program for every example, the retrieval step can surface genuinely analogous logic (for example, another rule that also blanks a variable when it equals a specific excluded phrase), and the LLM has a much stronger structural pattern to imitate when it is asked to transform a brand-new, previously unseen source rule.</w:t>
      </w:r>
    </w:p>
    <w:p xmlns:wp14="http://schemas.microsoft.com/office/word/2010/wordml" w14:paraId="02D5C74F" wp14:textId="77777777">
      <w:pPr>
        <w:spacing w:after="160" w:line="300"/>
      </w:pPr>
      <w:r>
        <w:rPr>
          <w:rFonts w:ascii="Calibri" w:hAnsi="Calibri" w:eastAsia="Calibri" w:cs="Calibri"/>
          <w:sz w:val="22"/>
          <w:szCs w:val="22"/>
        </w:rPr>
        <w:t xml:space="preserve">With the dataset now complete and logic-preserving, the practical next steps toward the working RAG solution are:</w:t>
      </w:r>
    </w:p>
    <w:p xmlns:wp14="http://schemas.microsoft.com/office/word/2010/wordml" w14:paraId="344A3701" wp14:textId="77777777">
      <w:pPr>
        <w:pStyle w:val="ListParagraph"/>
        <w:numPr>
          <w:ilvl w:val="0"/>
          <w:numId w:val="2"/>
        </w:numPr>
        <w:spacing w:after="100" w:line="300"/>
      </w:pPr>
      <w:r>
        <w:rPr>
          <w:rFonts w:ascii="Calibri" w:hAnsi="Calibri" w:eastAsia="Calibri" w:cs="Calibri"/>
          <w:sz w:val="22"/>
          <w:szCs w:val="22"/>
        </w:rPr>
        <w:t xml:space="preserve">Define a formal, versioned JSON schema (a canonical "Rule Transformation Ontology") that fixes the exact vocabulary of statement types, node types and functions introduced in Section 3, so that every future rule — including ones outside this initial 700-record set — is guaranteed to be representable without further redesign.</w:t>
      </w:r>
    </w:p>
    <w:p xmlns:wp14="http://schemas.microsoft.com/office/word/2010/wordml" w14:paraId="0D45D9D4" wp14:textId="77777777">
      <w:pPr>
        <w:pStyle w:val="ListParagraph"/>
        <w:numPr>
          <w:ilvl w:val="0"/>
          <w:numId w:val="2"/>
        </w:numPr>
        <w:spacing w:after="100" w:line="300" w:lineRule="auto"/>
        <w:rPr/>
      </w:pPr>
      <w:r w:rsidRPr="1E10A4DF" w:rsidR="1E10A4DF">
        <w:rPr>
          <w:rFonts w:ascii="Calibri" w:hAnsi="Calibri" w:eastAsia="Calibri" w:cs="Calibri"/>
          <w:sz w:val="22"/>
          <w:szCs w:val="22"/>
          <w:lang w:val="en-US"/>
        </w:rPr>
        <w:t>Chunk and embed the Train partition, most naturally at the level of one rule per chunk (source definition, category, complexity and JSON together), and load the resulting vectors into a store such as ChromaDB.</w:t>
      </w:r>
    </w:p>
    <w:p xmlns:wp14="http://schemas.microsoft.com/office/word/2010/wordml" w14:paraId="198B605B" wp14:textId="77777777">
      <w:pPr>
        <w:pStyle w:val="ListParagraph"/>
        <w:numPr>
          <w:ilvl w:val="0"/>
          <w:numId w:val="2"/>
        </w:numPr>
        <w:spacing w:after="100" w:line="300"/>
      </w:pPr>
      <w:r>
        <w:rPr>
          <w:rFonts w:ascii="Calibri" w:hAnsi="Calibri" w:eastAsia="Calibri" w:cs="Calibri"/>
          <w:sz w:val="22"/>
          <w:szCs w:val="22"/>
        </w:rPr>
        <w:t xml:space="preserve">Build the retrieval step so that, given a new source rule, the system first narrows by category and complexity signals and then performs semantic similarity search within that narrowed set, before assembling a small number of the closest matches as few-shot context.</w:t>
      </w:r>
    </w:p>
    <w:p xmlns:wp14="http://schemas.microsoft.com/office/word/2010/wordml" w14:paraId="3A21B454" wp14:textId="77777777">
      <w:pPr>
        <w:pStyle w:val="ListParagraph"/>
        <w:numPr>
          <w:ilvl w:val="0"/>
          <w:numId w:val="2"/>
        </w:numPr>
        <w:spacing w:after="100" w:line="300" w:lineRule="auto"/>
        <w:rPr/>
      </w:pPr>
      <w:r w:rsidRPr="1E10A4DF" w:rsidR="1E10A4DF">
        <w:rPr>
          <w:rFonts w:ascii="Calibri" w:hAnsi="Calibri" w:eastAsia="Calibri" w:cs="Calibri"/>
          <w:sz w:val="22"/>
          <w:szCs w:val="22"/>
          <w:lang w:val="en-US"/>
        </w:rPr>
        <w:t>Prompt-engineer the generation step so the LLM is instructed to produce output that conforms to the ordered-program schema, and validate every generated JSON both structurally (does it parse, does every referenced variable get assigned before use) and semantically (does it preserve the same literals, comparisons and function calls present in the source).</w:t>
      </w:r>
    </w:p>
    <w:p xmlns:wp14="http://schemas.microsoft.com/office/word/2010/wordml" w14:paraId="39C1C546" wp14:textId="77777777">
      <w:pPr>
        <w:pStyle w:val="ListParagraph"/>
        <w:numPr>
          <w:ilvl w:val="0"/>
          <w:numId w:val="2"/>
        </w:numPr>
        <w:spacing w:after="100" w:line="300"/>
      </w:pPr>
      <w:r>
        <w:rPr>
          <w:rFonts w:ascii="Calibri" w:hAnsi="Calibri" w:eastAsia="Calibri" w:cs="Calibri"/>
          <w:sz w:val="22"/>
          <w:szCs w:val="22"/>
        </w:rPr>
        <w:t xml:space="preserve">Use the Validation partition to tune retrieval depth, chunking and prompt structure, then run a single, final, untouched pass over the Test partition to report objective accuracy — ideally measuring both exact-structure match and a looser functional-equivalence score, since two syntactically different JSON trees can still describe an identical program.</w:t>
      </w:r>
    </w:p>
    <w:p xmlns:wp14="http://schemas.microsoft.com/office/word/2010/wordml" w14:paraId="3A4AA423" wp14:textId="77777777">
      <w:pPr>
        <w:pStyle w:val="ListParagraph"/>
        <w:numPr>
          <w:ilvl w:val="0"/>
          <w:numId w:val="2"/>
        </w:numPr>
        <w:spacing w:after="100" w:line="300"/>
      </w:pPr>
      <w:r>
        <w:rPr>
          <w:rFonts w:ascii="Calibri" w:hAnsi="Calibri" w:eastAsia="Calibri" w:cs="Calibri"/>
          <w:sz w:val="22"/>
          <w:szCs w:val="22"/>
        </w:rPr>
        <w:t xml:space="preserve">Feed disagreements found during Test evaluation back into the category and complexity taxonomy, since any rule pattern the model consistently fails on is itself evidence that the taxonomy or the schema needs a further refinement before the solution can be considered ready for a production pilot.</w:t>
      </w:r>
    </w:p>
    <w:p xmlns:wp14="http://schemas.microsoft.com/office/word/2010/wordml" w14:paraId="55320344" wp14:textId="77777777">
      <w:pPr>
        <w:spacing w:after="160" w:line="300" w:lineRule="auto"/>
      </w:pPr>
      <w:r w:rsidRPr="1E10A4DF" w:rsidR="1E10A4DF">
        <w:rPr>
          <w:rFonts w:ascii="Calibri" w:hAnsi="Calibri" w:eastAsia="Calibri" w:cs="Calibri"/>
          <w:sz w:val="22"/>
          <w:szCs w:val="22"/>
          <w:lang w:val="en-US"/>
        </w:rPr>
        <w:t>Framed this way, the data preparation phase is not a preliminary chore that precedes the "real" research; it is where the central research claim of the thesis is first made concrete — that source business rules can be losslessly translated into a structured, model-consumable form — and everything that follows in the RAG architecture exists to exploit exactly that property.</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rFonts w:ascii="Calibri" w:hAnsi="Calibri" w:eastAsia="Calibri" w:cs="Calibri"/>
        <w:color w:val="808080"/>
        <w:sz w:val="18"/>
        <w:szCs w:val="18"/>
      </w:rPr>
      <w:t xml:space="preserve">Page </w:t>
    </w:r>
    <w:r>
      <w:rPr>
        <w:rFonts w:ascii="Calibri" w:hAnsi="Calibri" w:eastAsia="Calibri" w:cs="Calibri"/>
        <w:color w:val="808080"/>
        <w:sz w:val="18"/>
        <w:szCs w:val="18"/>
      </w:rPr>
      <w:fldChar w:fldCharType="begin"/>
    </w:r>
    <w:r>
      <w:rPr>
        <w:rFonts w:ascii="Calibri" w:hAnsi="Calibri" w:eastAsia="Calibri" w:cs="Calibri"/>
        <w:color w:val="808080"/>
        <w:sz w:val="18"/>
        <w:szCs w:val="18"/>
      </w:rPr>
      <w:instrText xml:space="preserve">PAGE</w:instrText>
    </w:r>
    <w:r>
      <w:rPr>
        <w:rFonts w:ascii="Calibri" w:hAnsi="Calibri" w:eastAsia="Calibri" w:cs="Calibri"/>
        <w:color w:val="808080"/>
        <w:sz w:val="18"/>
        <w:szCs w:val="18"/>
      </w:rPr>
      <w:fldChar w:fldCharType="separate"/>
    </w:r>
    <w:r>
      <w:rPr>
        <w:rFonts w:ascii="Calibri" w:hAnsi="Calibri" w:eastAsia="Calibri" w:cs="Calibri"/>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3449E58" wp14:textId="77777777">
    <w:pPr>
      <w:jc w:val="right"/>
    </w:pPr>
    <w:r>
      <w:rPr>
        <w:rFonts w:ascii="Calibri" w:hAnsi="Calibri" w:eastAsia="Calibri" w:cs="Calibri"/>
        <w:color w:val="808080"/>
        <w:sz w:val="16"/>
        <w:szCs w:val="16"/>
      </w:rPr>
      <w:t xml:space="preserve">AI-Powered Business Rule Transformation for MDM — Synthetic Data Preparation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92e126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e25c1e7"/>
    <w:multiLevelType w:val="hybridMultilevel"/>
    <w:lvl w:ilvl="0" w15:tentative="1">
      <w:start w:val="1"/>
      <w:numFmt w:val="bullet"/>
      <w:lvlText w:val="•"/>
      <w:lvlJc w:val="left"/>
      <w:pPr>
        <w:ind w:left="560" w:hanging="280"/>
      </w:p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B8E9674"/>
  <w15:docId w15:val="{51FF42E2-CB44-431C-B499-8282ADF752C5}"/>
  <w:rsids>
    <w:rsidRoot w:val="1E10A4DF"/>
    <w:rsid w:val="1E10A4D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0"/>
    <w:basedOn w:val="Normal"/>
    <w:next w:val="Normal"/>
    <w:qFormat/>
    <w:pPr>
      <w:spacing w:before="0" w:after="160"/>
      <w:jc w:val="left"/>
    </w:pPr>
    <w:rPr>
      <w:rFonts w:ascii="Calibri" w:hAnsi="Calibri" w:eastAsia="Calibri" w:cs="Calibri"/>
      <w:b/>
      <w:bCs/>
      <w:color w:val="17365D"/>
      <w:sz w:val="44"/>
      <w:szCs w:val="44"/>
    </w:rPr>
  </w:style>
  <w:style w:type="paragraph" w:styleId="Heading1">
    <w:name w:val="heading 10"/>
    <w:basedOn w:val="Normal"/>
    <w:next w:val="Normal"/>
    <w:qFormat/>
    <w:pPr>
      <w:pBdr>
        <w:bottom w:val="single" w:color="17365D" w:sz="6" w:space="6"/>
      </w:pBdr>
      <w:spacing w:before="420" w:after="200"/>
      <w:outlineLvl w:val="0"/>
    </w:pPr>
    <w:rPr>
      <w:rFonts w:ascii="Calibri" w:hAnsi="Calibri" w:eastAsia="Calibri" w:cs="Calibri"/>
      <w:b/>
      <w:bCs/>
      <w:color w:val="17365D"/>
      <w:sz w:val="30"/>
      <w:szCs w:val="30"/>
    </w:rPr>
  </w:style>
  <w:style w:type="paragraph" w:styleId="Heading2">
    <w:name w:val="heading 20"/>
    <w:basedOn w:val="Normal"/>
    <w:next w:val="Normal"/>
    <w:qFormat/>
    <w:pPr>
      <w:spacing w:before="300" w:after="140"/>
      <w:outlineLvl w:val="1"/>
    </w:pPr>
    <w:rPr>
      <w:rFonts w:ascii="Calibri" w:hAnsi="Calibri" w:eastAsia="Calibri" w:cs="Calibri"/>
      <w:b/>
      <w:bCs/>
      <w:color w:val="2E5395"/>
      <w:sz w:val="25"/>
      <w:szCs w:val="25"/>
    </w:rPr>
  </w:style>
  <w:style w:type="paragraph" w:styleId="Heading3">
    <w:name w:val="heading 30"/>
    <w:basedOn w:val="Normal"/>
    <w:next w:val="Normal"/>
    <w:qFormat/>
    <w:pPr>
      <w:spacing w:before="220" w:after="120"/>
      <w:outlineLvl w:val="2"/>
    </w:pPr>
    <w:rPr>
      <w:rFonts w:ascii="Calibri" w:hAnsi="Calibri" w:eastAsia="Calibri" w:cs="Calibri"/>
      <w:b/>
      <w:bCs/>
      <w:i w:val="false"/>
      <w:iCs w:val="false"/>
      <w:color w:val="44546A"/>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PRASANTA BHATTACHARJEE</dc:creator>
  <lastModifiedBy>PRASANTA BHATTACHARJEE</lastModifiedBy>
  <revision>2</revision>
  <dcterms:created xsi:type="dcterms:W3CDTF">2026-09-12T18:09:54.3185667Z</dcterms:created>
  <dcterms:modified xsi:type="dcterms:W3CDTF">2026-09-12T18:11:16.2896714Z</dcterms:modified>
</coreProperties>
</file>

<file path=docProps/custom.xml><?xml version="1.0" encoding="utf-8"?>
<Properties xmlns="http://schemas.openxmlformats.org/officeDocument/2006/custom-properties" xmlns:vt="http://schemas.openxmlformats.org/officeDocument/2006/docPropsVTypes"/>
</file>