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Verdana" w:cs="Verdana" w:eastAsia="Verdana" w:hAnsi="Verdana"/>
          <w:b w:val="1"/>
          <w:sz w:val="34"/>
          <w:szCs w:val="34"/>
        </w:rPr>
      </w:pPr>
      <w:bookmarkStart w:colFirst="0" w:colLast="0" w:name="_51yy3frov4a4" w:id="0"/>
      <w:bookmarkEnd w:id="0"/>
      <w:r w:rsidDel="00000000" w:rsidR="00000000" w:rsidRPr="00000000">
        <w:rPr>
          <w:rFonts w:ascii="Verdana" w:cs="Verdana" w:eastAsia="Verdana" w:hAnsi="Verdana"/>
          <w:b w:val="1"/>
          <w:sz w:val="34"/>
          <w:szCs w:val="34"/>
          <w:rtl w:val="0"/>
        </w:rPr>
        <w:t xml:space="preserve">Customer360 Data Pipeline: From Raw to Insights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vcq3fswrl58z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Customer360 Data Pipeline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an end-to-end ETL solution built on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Platform (GCP)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that processes customer-related data from raw ingestion to business-ready insights. The pipeline extracts data from multiple sources, applies necessary transformations in three distinct layers (Bronze, Silver, and Gold), and loads the transformed data into BigQuery for analysis.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This solution is designed to: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Ingest raw data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from CSV files.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Clean, enrich, and validate data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in the Silver layer.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Aggregate and curate data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business insights in the Gold layer.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Orchestrate the workflow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Cloud Composer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ho3c3exyg0dg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Architecture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pipeline follows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Lakehouse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architecture pattern, which consists of three layers: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Bronze Layer (Raw Data)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Ingest raw customer transaction and profile data into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Storage (GCS)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Silver Layer (Transformed Data)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Apache Beam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Dataflow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to clean, enrich, and validate the data. This layer processes and prepares data for analytics.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Gold Layer (Aggregated Insights)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Transform data into analytical views in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BigQuery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providing aggregated and business-ready datasets.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1qv4ow4hhyze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Input Datasets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 Transactions (</w:t>
      </w:r>
      <w:r w:rsidDel="00000000" w:rsidR="00000000" w:rsidRPr="00000000">
        <w:rPr>
          <w:rFonts w:ascii="Verdana" w:cs="Verdana" w:eastAsia="Verdana" w:hAnsi="Verdana"/>
          <w:b w:val="1"/>
          <w:color w:val="188038"/>
          <w:rtl w:val="0"/>
        </w:rPr>
        <w:t xml:space="preserve">customer_transactions.csv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Fields: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transaction_id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customer_id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transaction_date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amount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category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 Profiles (</w:t>
      </w:r>
      <w:r w:rsidDel="00000000" w:rsidR="00000000" w:rsidRPr="00000000">
        <w:rPr>
          <w:rFonts w:ascii="Verdana" w:cs="Verdana" w:eastAsia="Verdana" w:hAnsi="Verdana"/>
          <w:b w:val="1"/>
          <w:color w:val="188038"/>
          <w:rtl w:val="0"/>
        </w:rPr>
        <w:t xml:space="preserve">customer_profiles.csv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Fields: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customer_id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signup_date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4wyrqm6yov8b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ETL Pipeline Stages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5y3uttqal2w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1. Bronze Layer (Raw Data Storage)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Purpose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Ingest raw CSV files into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Storage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 below location: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Bucket name: customer360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File_path: bronze_layer/&lt;date&gt;/&lt;dataset_name&gt;/&lt;file_nm&gt;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5r8duqvvvos8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2. Silver Layer (Data Transformation)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Purpose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Clean, validate, and enrich data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Apache Beam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Dataflow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Transformations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Remove duplicates.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Clean invalid or missing values.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Enrich with additional calculated fields such as: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is_large_transaction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transactions &gt; $1000.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year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month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day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for easier aggregation.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Standardize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category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values.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 clean data to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BigQuery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Python Script:</w:t>
      </w:r>
      <w:r w:rsidDel="00000000" w:rsidR="00000000" w:rsidRPr="00000000">
        <w:rPr>
          <w:rFonts w:ascii="Verdana" w:cs="Verdana" w:eastAsia="Verdana" w:hAnsi="Verdana"/>
          <w:b w:val="1"/>
          <w:color w:val="188038"/>
          <w:rtl w:val="0"/>
        </w:rPr>
        <w:t xml:space="preserve">[Pyspark|Dataflow]</w:t>
        <w:br w:type="textWrapping"/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script performs the following: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Reads raw data from GCS.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Applies transformations: validation, cleaning, and enrichment.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Removes duplicates.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Writes transformed data into BigQuery.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Key transformations include: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amount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validation (e.g., values exceeding $1M or less than 0 are discarded).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Standardization of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category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and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email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Derivation of fields like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year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month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and </w:t>
      </w:r>
      <w:r w:rsidDel="00000000" w:rsidR="00000000" w:rsidRPr="00000000">
        <w:rPr>
          <w:rFonts w:ascii="Verdana" w:cs="Verdana" w:eastAsia="Verdana" w:hAnsi="Verdana"/>
          <w:color w:val="188038"/>
          <w:rtl w:val="0"/>
        </w:rPr>
        <w:t xml:space="preserve">is_large_transaction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Verdana" w:cs="Verdana" w:eastAsia="Verdana" w:hAnsi="Verdana"/>
          <w:b w:val="1"/>
          <w:color w:val="000000"/>
          <w:sz w:val="22"/>
          <w:szCs w:val="22"/>
        </w:rPr>
      </w:pPr>
      <w:bookmarkStart w:colFirst="0" w:colLast="0" w:name="_qvxxswyc2hb5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3. Gold Layer (Aggregated Data)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Purpose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Perform business-level aggregations and generate curated datasets for analysis.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Aggregations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Total Spending Per Customer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Aggregates transaction amounts by customer.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Top Categories by Spending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Identifies the most popular categories based on spending.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 Profile with Spending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Merges profile and transaction data to summarize customer spending.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crzqjpm6e8vu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Orchestration with Cloud Composer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entire ETL pipeline is orchestrated using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Cloud Composer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 which manages task dependencies and ensures the smooth execution of the pipeline. The DAG (Directed Acyclic Graph) defined in Cloud Composer triggers the various tasks in sequence: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Ingest Data to Bronze Layer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Upload CSV files to GCS.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Run Dataflow Job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Execute the Dataflow job to process and clean data into the Silver layer.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Execute BigQuery SQL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Perform aggregation queries to produce Gold layer datasets.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4844rscjixa5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Technology Stack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Platform (GCP)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Storage (GCS)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Storage for raw CSV files (Bronze layer).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Google Cloud Dataflow (Apache Beam)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Data transformation and processing (Silver layer).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BigQuery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Data storage and querying for transformed and aggregated datasets (Silver and Gold layers).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Cloud Composer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Orchestration of ETL jobs and dependencies.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vycixc8x3p1k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Key Benefits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Scalability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The solution scales with growing data, leveraging GCP's serverless services.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Data Quality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Multiple transformations ensure data is clean, enriched, and ready for analysis.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Flexibility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The pipeline supports different types of input data and transformation rules.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Real-time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The solution can be modified to support real-time streaming data as well.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m6cuvwnkxvsk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Customer360 Data Pipeline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a robust, scalable, and flexible ETL solution that provides clean, aggregated, and business-ready insights. This architecture ensures that raw data from multiple sources is transformed into a valuable resource for analytics, enabling data-driven decision-making across the organization.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Let me know if you'd like to add more details or any changes to this documentation!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