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2F4F4"/>
            <w:tcMar>
              <w:top w:w="180" w:type="dxa"/>
              <w:bottom w:w="180" w:type="dxa"/>
              <w:left w:w="220" w:type="dxa"/>
              <w:right w:w="220" w:type="dxa"/>
            </w:tcMar>
          </w:tcPr>
          <w:p>
            <w:r>
              <w:rPr>
                <w:b/>
                <w:color w:val="0F4C81"/>
                <w:sz w:val="20"/>
              </w:rPr>
              <w:t>VIT BHOPAL UNIVERSITY</w:t>
              <w:br/>
            </w:r>
            <w:r>
              <w:rPr>
                <w:color w:val="2C3E50"/>
                <w:sz w:val="20"/>
              </w:rPr>
              <w:t>Student Name: Prashant Raj   |   Registration No: 24BCE11371</w:t>
              <w:br/>
            </w:r>
            <w:r>
              <w:rPr>
                <w:i/>
                <w:color w:val="2980B9"/>
                <w:sz w:val="19"/>
              </w:rPr>
              <w:t>Project Implementation: TalentBridge Smart Placement &amp; Recruitment Infrastructure</w:t>
            </w:r>
          </w:p>
        </w:tc>
      </w:tr>
    </w:tbl>
    <w:p>
      <w:pPr>
        <w:spacing w:before="480" w:after="120"/>
      </w:pPr>
      <w:r>
        <w:rPr>
          <w:b/>
          <w:color w:val="0F4C81"/>
          <w:sz w:val="44"/>
        </w:rPr>
        <w:t>TalentBridge: Smart Placement Platform</w:t>
      </w:r>
    </w:p>
    <w:p>
      <w:pPr>
        <w:spacing w:after="320"/>
      </w:pPr>
      <w:r>
        <w:rPr>
          <w:sz w:val="21"/>
        </w:rPr>
        <w:t>TalentBridge is an enterprise-tier Spring Boot backend system built over MongoDB to coordinate multi-entity campus recruitment pipelines. It maps relational document entities, enforces strict constraints via Spring Data REST endpoints, and provides analytics.</w:t>
      </w:r>
    </w:p>
    <w:p>
      <w:pPr>
        <w:spacing w:after="320"/>
      </w:pPr>
      <w:r>
        <w:rPr>
          <w:color w:val="7F8C8D"/>
        </w:rPr>
        <w:t>――――――――――――――――――――――――――――――――――――――――――――――――――――――</w:t>
      </w:r>
    </w:p>
    <w:p>
      <w:pPr>
        <w:keepNext/>
      </w:pPr>
      <w:r>
        <w:rPr>
          <w:b/>
          <w:color w:val="0F4C81"/>
          <w:sz w:val="28"/>
        </w:rPr>
        <w:t>1. Platform Technology Stack</w:t>
      </w:r>
    </w:p>
    <w:tbl>
      <w:tblPr>
        <w:tblStyle w:val="TableGrid"/>
        <w:tblW w:type="auto" w:w="0"/>
        <w:tblLook w:firstColumn="1" w:firstRow="1" w:lastColumn="0" w:lastRow="0" w:noHBand="0" w:noVBand="1" w:val="04A0"/>
      </w:tblPr>
      <w:tblGrid>
        <w:gridCol w:w="4680"/>
        <w:gridCol w:w="4680"/>
      </w:tblGrid>
      <w:tr>
        <w:tc>
          <w:tcPr>
            <w:tcW w:type="dxa" w:w="4680"/>
            <w:shd w:fill="0F4C81"/>
            <w:tcMar>
              <w:top w:w="100" w:type="dxa"/>
              <w:bottom w:w="100" w:type="dxa"/>
              <w:left w:w="120" w:type="dxa"/>
              <w:right w:w="120" w:type="dxa"/>
            </w:tcMar>
          </w:tcPr>
          <w:p>
            <w:r>
              <w:rPr>
                <w:b/>
                <w:color w:val="FFFFFF"/>
                <w:sz w:val="20"/>
              </w:rPr>
              <w:t>Core Component</w:t>
            </w:r>
          </w:p>
        </w:tc>
        <w:tc>
          <w:tcPr>
            <w:tcW w:type="dxa" w:w="4680"/>
            <w:shd w:fill="0F4C81"/>
            <w:tcMar>
              <w:top w:w="100" w:type="dxa"/>
              <w:bottom w:w="100" w:type="dxa"/>
              <w:left w:w="120" w:type="dxa"/>
              <w:right w:w="120" w:type="dxa"/>
            </w:tcMar>
          </w:tcPr>
          <w:p>
            <w:r>
              <w:rPr>
                <w:b/>
                <w:color w:val="FFFFFF"/>
                <w:sz w:val="20"/>
              </w:rPr>
              <w:t>Implementation Specification Details</w:t>
            </w:r>
          </w:p>
        </w:tc>
      </w:tr>
      <w:tr>
        <w:tc>
          <w:tcPr>
            <w:tcW w:type="dxa" w:w="4680"/>
            <w:tcMar>
              <w:top w:w="80" w:type="dxa"/>
              <w:bottom w:w="80" w:type="dxa"/>
              <w:left w:w="100" w:type="dxa"/>
              <w:right w:w="100" w:type="dxa"/>
            </w:tcMar>
          </w:tcPr>
          <w:p>
            <w:r>
              <w:rPr>
                <w:b/>
                <w:sz w:val="19"/>
              </w:rPr>
              <w:t>Framework Core</w:t>
            </w:r>
          </w:p>
        </w:tc>
        <w:tc>
          <w:tcPr>
            <w:tcW w:type="dxa" w:w="4680"/>
            <w:tcMar>
              <w:top w:w="80" w:type="dxa"/>
              <w:bottom w:w="80" w:type="dxa"/>
              <w:left w:w="100" w:type="dxa"/>
              <w:right w:w="100" w:type="dxa"/>
            </w:tcMar>
          </w:tcPr>
          <w:p>
            <w:r>
              <w:rPr>
                <w:sz w:val="19"/>
              </w:rPr>
              <w:t>Spring Boot v3.2.4 (Java 17 RESTful Micro-architecture Architecture)</w:t>
            </w:r>
          </w:p>
        </w:tc>
      </w:tr>
      <w:tr>
        <w:tc>
          <w:tcPr>
            <w:tcW w:type="dxa" w:w="4680"/>
            <w:tcMar>
              <w:top w:w="80" w:type="dxa"/>
              <w:bottom w:w="80" w:type="dxa"/>
              <w:left w:w="100" w:type="dxa"/>
              <w:right w:w="100" w:type="dxa"/>
            </w:tcMar>
            <w:shd w:fill="F8F9FA"/>
          </w:tcPr>
          <w:p>
            <w:r>
              <w:rPr>
                <w:b/>
                <w:sz w:val="19"/>
              </w:rPr>
              <w:t>Database Layer</w:t>
            </w:r>
          </w:p>
        </w:tc>
        <w:tc>
          <w:tcPr>
            <w:tcW w:type="dxa" w:w="4680"/>
            <w:tcMar>
              <w:top w:w="80" w:type="dxa"/>
              <w:bottom w:w="80" w:type="dxa"/>
              <w:left w:w="100" w:type="dxa"/>
              <w:right w:w="100" w:type="dxa"/>
            </w:tcMar>
            <w:shd w:fill="F8F9FA"/>
          </w:tcPr>
          <w:p>
            <w:r>
              <w:rPr>
                <w:sz w:val="19"/>
              </w:rPr>
              <w:t>MongoDB Community Server v7.0 (NoSQL JSON BSON Node Cluster)</w:t>
            </w:r>
          </w:p>
        </w:tc>
      </w:tr>
      <w:tr>
        <w:tc>
          <w:tcPr>
            <w:tcW w:type="dxa" w:w="4680"/>
            <w:tcMar>
              <w:top w:w="80" w:type="dxa"/>
              <w:bottom w:w="80" w:type="dxa"/>
              <w:left w:w="100" w:type="dxa"/>
              <w:right w:w="100" w:type="dxa"/>
            </w:tcMar>
          </w:tcPr>
          <w:p>
            <w:r>
              <w:rPr>
                <w:b/>
                <w:sz w:val="19"/>
              </w:rPr>
              <w:t>Testing Engine</w:t>
            </w:r>
          </w:p>
        </w:tc>
        <w:tc>
          <w:tcPr>
            <w:tcW w:type="dxa" w:w="4680"/>
            <w:tcMar>
              <w:top w:w="80" w:type="dxa"/>
              <w:bottom w:w="80" w:type="dxa"/>
              <w:left w:w="100" w:type="dxa"/>
              <w:right w:w="100" w:type="dxa"/>
            </w:tcMar>
          </w:tcPr>
          <w:p>
            <w:r>
              <w:rPr>
                <w:sz w:val="19"/>
              </w:rPr>
              <w:t>Postman API Client Client Suite Framework Execution Environment</w:t>
            </w:r>
          </w:p>
        </w:tc>
      </w:tr>
      <w:tr>
        <w:tc>
          <w:tcPr>
            <w:tcW w:type="dxa" w:w="4680"/>
            <w:tcMar>
              <w:top w:w="80" w:type="dxa"/>
              <w:bottom w:w="80" w:type="dxa"/>
              <w:left w:w="100" w:type="dxa"/>
              <w:right w:w="100" w:type="dxa"/>
            </w:tcMar>
            <w:shd w:fill="F8F9FA"/>
          </w:tcPr>
          <w:p>
            <w:r>
              <w:rPr>
                <w:b/>
                <w:sz w:val="19"/>
              </w:rPr>
              <w:t>Documentation</w:t>
            </w:r>
          </w:p>
        </w:tc>
        <w:tc>
          <w:tcPr>
            <w:tcW w:type="dxa" w:w="4680"/>
            <w:tcMar>
              <w:top w:w="80" w:type="dxa"/>
              <w:bottom w:w="80" w:type="dxa"/>
              <w:left w:w="100" w:type="dxa"/>
              <w:right w:w="100" w:type="dxa"/>
            </w:tcMar>
            <w:shd w:fill="F8F9FA"/>
          </w:tcPr>
          <w:p>
            <w:r>
              <w:rPr>
                <w:sz w:val="19"/>
              </w:rPr>
              <w:t>Swagger OpenAPI 3.0 Integrated Interactive Discovery Endpoint Layout</w:t>
            </w:r>
          </w:p>
        </w:tc>
      </w:tr>
      <w:tr>
        <w:tc>
          <w:tcPr>
            <w:tcW w:type="dxa" w:w="4680"/>
            <w:tcMar>
              <w:top w:w="80" w:type="dxa"/>
              <w:bottom w:w="80" w:type="dxa"/>
              <w:left w:w="100" w:type="dxa"/>
              <w:right w:w="100" w:type="dxa"/>
            </w:tcMar>
          </w:tcPr>
          <w:p>
            <w:r>
              <w:rPr>
                <w:b/>
                <w:sz w:val="19"/>
              </w:rPr>
              <w:t>Build Pipeline</w:t>
            </w:r>
          </w:p>
        </w:tc>
        <w:tc>
          <w:tcPr>
            <w:tcW w:type="dxa" w:w="4680"/>
            <w:tcMar>
              <w:top w:w="80" w:type="dxa"/>
              <w:bottom w:w="80" w:type="dxa"/>
              <w:left w:w="100" w:type="dxa"/>
              <w:right w:w="100" w:type="dxa"/>
            </w:tcMar>
          </w:tcPr>
          <w:p>
            <w:r>
              <w:rPr>
                <w:sz w:val="19"/>
              </w:rPr>
              <w:t>Apache Maven Dependency Workflow System Management Framework Tool</w:t>
            </w:r>
          </w:p>
        </w:tc>
      </w:tr>
    </w:tbl>
    <w:p>
      <w:pPr>
        <w:spacing w:after="240"/>
      </w:pPr>
    </w:p>
    <w:p>
      <w:pPr>
        <w:keepNext/>
      </w:pPr>
      <w:r>
        <w:rPr>
          <w:b/>
          <w:color w:val="0F4C81"/>
          <w:sz w:val="28"/>
        </w:rPr>
        <w:t>2. Database Schema Relationships Mapping</w:t>
      </w:r>
    </w:p>
    <w:tbl>
      <w:tblPr>
        <w:tblStyle w:val="TableGrid"/>
        <w:tblW w:type="auto" w:w="0"/>
        <w:tblLook w:firstColumn="1" w:firstRow="1" w:lastColumn="0" w:lastRow="0" w:noHBand="0" w:noVBand="1" w:val="04A0"/>
      </w:tblPr>
      <w:tblGrid>
        <w:gridCol w:w="4680"/>
        <w:gridCol w:w="4680"/>
      </w:tblGrid>
      <w:tr>
        <w:tc>
          <w:tcPr>
            <w:tcW w:type="dxa" w:w="4680"/>
            <w:shd w:fill="2980B9"/>
            <w:tcMar>
              <w:top w:w="100" w:type="dxa"/>
              <w:bottom w:w="100" w:type="dxa"/>
              <w:left w:w="120" w:type="dxa"/>
              <w:right w:w="120" w:type="dxa"/>
            </w:tcMar>
          </w:tcPr>
          <w:p>
            <w:r>
              <w:rPr>
                <w:b/>
                <w:color w:val="FFFFFF"/>
                <w:sz w:val="20"/>
              </w:rPr>
              <w:t>Relationship Mapping Multiplicity</w:t>
            </w:r>
          </w:p>
        </w:tc>
        <w:tc>
          <w:tcPr>
            <w:tcW w:type="dxa" w:w="4680"/>
            <w:shd w:fill="2980B9"/>
            <w:tcMar>
              <w:top w:w="100" w:type="dxa"/>
              <w:bottom w:w="100" w:type="dxa"/>
              <w:left w:w="120" w:type="dxa"/>
              <w:right w:w="120" w:type="dxa"/>
            </w:tcMar>
          </w:tcPr>
          <w:p>
            <w:r>
              <w:rPr>
                <w:b/>
                <w:color w:val="FFFFFF"/>
                <w:sz w:val="20"/>
              </w:rPr>
              <w:t>MongoDB BSON Reference Architecture Execution Strategy</w:t>
            </w:r>
          </w:p>
        </w:tc>
      </w:tr>
      <w:tr>
        <w:tc>
          <w:tcPr>
            <w:tcW w:type="dxa" w:w="4680"/>
            <w:tcMar>
              <w:top w:w="80" w:type="dxa"/>
              <w:bottom w:w="80" w:type="dxa"/>
              <w:left w:w="100" w:type="dxa"/>
              <w:right w:w="100" w:type="dxa"/>
            </w:tcMar>
          </w:tcPr>
          <w:p>
            <w:r>
              <w:rPr>
                <w:b/>
                <w:sz w:val="19"/>
              </w:rPr>
              <w:t>One-to-One Reference</w:t>
            </w:r>
          </w:p>
        </w:tc>
        <w:tc>
          <w:tcPr>
            <w:tcW w:type="dxa" w:w="4680"/>
            <w:tcMar>
              <w:top w:w="80" w:type="dxa"/>
              <w:bottom w:w="80" w:type="dxa"/>
              <w:left w:w="100" w:type="dxa"/>
              <w:right w:w="100" w:type="dxa"/>
            </w:tcMar>
          </w:tcPr>
          <w:p>
            <w:r>
              <w:rPr>
                <w:sz w:val="19"/>
              </w:rPr>
              <w:t>Student DB Node &lt;---&gt; Placement Profile Module Document Reference Pointer Allocation</w:t>
            </w:r>
          </w:p>
        </w:tc>
      </w:tr>
      <w:tr>
        <w:tc>
          <w:tcPr>
            <w:tcW w:type="dxa" w:w="4680"/>
            <w:tcMar>
              <w:top w:w="80" w:type="dxa"/>
              <w:bottom w:w="80" w:type="dxa"/>
              <w:left w:w="100" w:type="dxa"/>
              <w:right w:w="100" w:type="dxa"/>
            </w:tcMar>
            <w:shd w:fill="F8F9FA"/>
          </w:tcPr>
          <w:p>
            <w:r>
              <w:rPr>
                <w:b/>
                <w:sz w:val="19"/>
              </w:rPr>
              <w:t>One-to-Many Layout</w:t>
            </w:r>
          </w:p>
        </w:tc>
        <w:tc>
          <w:tcPr>
            <w:tcW w:type="dxa" w:w="4680"/>
            <w:tcMar>
              <w:top w:w="80" w:type="dxa"/>
              <w:bottom w:w="80" w:type="dxa"/>
              <w:left w:w="100" w:type="dxa"/>
              <w:right w:w="100" w:type="dxa"/>
            </w:tcMar>
            <w:shd w:fill="F8F9FA"/>
          </w:tcPr>
          <w:p>
            <w:r>
              <w:rPr>
                <w:sz w:val="19"/>
              </w:rPr>
              <w:t>Company Profile Infrastructure ---&gt; Multiple Active Corporate Recruiters and Job Entries</w:t>
            </w:r>
          </w:p>
        </w:tc>
      </w:tr>
      <w:tr>
        <w:tc>
          <w:tcPr>
            <w:tcW w:type="dxa" w:w="4680"/>
            <w:tcMar>
              <w:top w:w="80" w:type="dxa"/>
              <w:bottom w:w="80" w:type="dxa"/>
              <w:left w:w="100" w:type="dxa"/>
              <w:right w:w="100" w:type="dxa"/>
            </w:tcMar>
          </w:tcPr>
          <w:p>
            <w:r>
              <w:rPr>
                <w:b/>
                <w:sz w:val="19"/>
              </w:rPr>
              <w:t>Many-to-Many Binding</w:t>
            </w:r>
          </w:p>
        </w:tc>
        <w:tc>
          <w:tcPr>
            <w:tcW w:type="dxa" w:w="4680"/>
            <w:tcMar>
              <w:top w:w="80" w:type="dxa"/>
              <w:bottom w:w="80" w:type="dxa"/>
              <w:left w:w="100" w:type="dxa"/>
              <w:right w:w="100" w:type="dxa"/>
            </w:tcMar>
          </w:tcPr>
          <w:p>
            <w:r>
              <w:rPr>
                <w:sz w:val="19"/>
              </w:rPr>
              <w:t>Students Entity Cluster &lt;---&gt; Open Corporate Jobs managed via Joint Application Mapping Array</w:t>
            </w:r>
          </w:p>
        </w:tc>
      </w:tr>
    </w:tbl>
    <w:p>
      <w:pPr>
        <w:spacing w:after="280"/>
      </w:pPr>
    </w:p>
    <w:p>
      <w:pPr>
        <w:keepNext/>
      </w:pPr>
      <w:r>
        <w:rPr>
          <w:b/>
          <w:color w:val="0F4C81"/>
          <w:sz w:val="28"/>
        </w:rPr>
        <w:t>3. System Verification &amp; Endpoint Logs Execution Output</w:t>
      </w:r>
    </w:p>
    <w:p>
      <w:pPr>
        <w:keepNext/>
        <w:spacing w:before="280" w:after="80"/>
      </w:pPr>
      <w:r>
        <w:rPr>
          <w:b/>
          <w:color w:val="0F4C81"/>
          <w:sz w:val="22"/>
        </w:rPr>
        <w:t>EXHIBIT A: Backend Maven Project Structure and Workspace Modular Architecture</w:t>
      </w:r>
    </w:p>
    <w:p>
      <w:pPr>
        <w:spacing w:after="160"/>
      </w:pPr>
      <w:r>
        <w:rPr>
          <w:color w:val="2C3E50"/>
          <w:sz w:val="20"/>
        </w:rPr>
        <w:t>This exhibit illustrates the clean, industry-standard Maven multi-package layout inside the IDE. Application routing logic is isolated cleanly inside com.talentbridge into models, controllers, repositories, and configurations to facilitate rapid enterprise scalability.</w:t>
      </w:r>
    </w:p>
    <w:p>
      <w:pPr>
        <w:spacing w:after="360"/>
        <w:jc w:val="center"/>
      </w:pPr>
      <w:r>
        <w:drawing>
          <wp:inline xmlns:a="http://schemas.openxmlformats.org/drawingml/2006/main" xmlns:pic="http://schemas.openxmlformats.org/drawingml/2006/picture">
            <wp:extent cx="4572000" cy="3352800"/>
            <wp:docPr id="1" name="Picture 1"/>
            <wp:cNvGraphicFramePr>
              <a:graphicFrameLocks noChangeAspect="1"/>
            </wp:cNvGraphicFramePr>
            <a:graphic>
              <a:graphicData uri="http://schemas.openxmlformats.org/drawingml/2006/picture">
                <pic:pic>
                  <pic:nvPicPr>
                    <pic:cNvPr id="0" name="01_project_structure.png"/>
                    <pic:cNvPicPr/>
                  </pic:nvPicPr>
                  <pic:blipFill>
                    <a:blip r:embed="rId9"/>
                    <a:stretch>
                      <a:fillRect/>
                    </a:stretch>
                  </pic:blipFill>
                  <pic:spPr>
                    <a:xfrm>
                      <a:off x="0" y="0"/>
                      <a:ext cx="4572000" cy="3352800"/>
                    </a:xfrm>
                    <a:prstGeom prst="rect"/>
                  </pic:spPr>
                </pic:pic>
              </a:graphicData>
            </a:graphic>
          </wp:inline>
        </w:drawing>
      </w:r>
    </w:p>
    <w:p>
      <w:pPr>
        <w:keepNext/>
        <w:spacing w:before="280" w:after="80"/>
      </w:pPr>
      <w:r>
        <w:rPr>
          <w:b/>
          <w:color w:val="0F4C81"/>
          <w:sz w:val="22"/>
        </w:rPr>
        <w:t>EXHIBIT B: Spring Boot Application Console Framework Initialization Logs</w:t>
      </w:r>
    </w:p>
    <w:p>
      <w:pPr>
        <w:spacing w:after="160"/>
      </w:pPr>
      <w:r>
        <w:rPr>
          <w:color w:val="2C3E50"/>
          <w:sz w:val="20"/>
        </w:rPr>
        <w:t>This terminal screenshot shows the local Spring Boot application container booting successfully via Tomcat server on port 8080. The driver initialization logs confirm active pool tracking handshake synchronization with the background MongoDB native cluster instances.</w:t>
      </w:r>
    </w:p>
    <w:p>
      <w:pPr>
        <w:spacing w:after="360"/>
        <w:jc w:val="center"/>
      </w:pPr>
      <w:r>
        <w:drawing>
          <wp:inline xmlns:a="http://schemas.openxmlformats.org/drawingml/2006/main" xmlns:pic="http://schemas.openxmlformats.org/drawingml/2006/picture">
            <wp:extent cx="4572000" cy="2509025"/>
            <wp:docPr id="2" name="Picture 2"/>
            <wp:cNvGraphicFramePr>
              <a:graphicFrameLocks noChangeAspect="1"/>
            </wp:cNvGraphicFramePr>
            <a:graphic>
              <a:graphicData uri="http://schemas.openxmlformats.org/drawingml/2006/picture">
                <pic:pic>
                  <pic:nvPicPr>
                    <pic:cNvPr id="0" name="02_console_boot.png"/>
                    <pic:cNvPicPr/>
                  </pic:nvPicPr>
                  <pic:blipFill>
                    <a:blip r:embed="rId10"/>
                    <a:stretch>
                      <a:fillRect/>
                    </a:stretch>
                  </pic:blipFill>
                  <pic:spPr>
                    <a:xfrm>
                      <a:off x="0" y="0"/>
                      <a:ext cx="4572000" cy="2509025"/>
                    </a:xfrm>
                    <a:prstGeom prst="rect"/>
                  </pic:spPr>
                </pic:pic>
              </a:graphicData>
            </a:graphic>
          </wp:inline>
        </w:drawing>
      </w:r>
    </w:p>
    <w:p>
      <w:pPr>
        <w:keepNext/>
        <w:spacing w:before="280" w:after="80"/>
      </w:pPr>
      <w:r>
        <w:rPr>
          <w:b/>
          <w:color w:val="0F4C81"/>
          <w:sz w:val="22"/>
        </w:rPr>
        <w:t>EXHIBIT C: Swagger OpenAPI 3.0 Interactive Controller Endpoint UI Catalog</w:t>
      </w:r>
    </w:p>
    <w:p>
      <w:pPr>
        <w:spacing w:after="160"/>
      </w:pPr>
      <w:r>
        <w:rPr>
          <w:color w:val="2C3E50"/>
          <w:sz w:val="20"/>
        </w:rPr>
        <w:t>The auto-generated REST discovery catalog replaces manual route auditing. It maps operational lifecycle methods (POST, GET, PUT, DELETE) cleanly across Students, Companies, and Analytics endpoints, allowing direct test payloads to be dispatched securely.</w:t>
      </w:r>
    </w:p>
    <w:p>
      <w:pPr>
        <w:spacing w:after="360"/>
        <w:jc w:val="center"/>
      </w:pPr>
      <w:r>
        <w:drawing>
          <wp:inline xmlns:a="http://schemas.openxmlformats.org/drawingml/2006/main" xmlns:pic="http://schemas.openxmlformats.org/drawingml/2006/picture">
            <wp:extent cx="4572000" cy="3227294"/>
            <wp:docPr id="3" name="Picture 3"/>
            <wp:cNvGraphicFramePr>
              <a:graphicFrameLocks noChangeAspect="1"/>
            </wp:cNvGraphicFramePr>
            <a:graphic>
              <a:graphicData uri="http://schemas.openxmlformats.org/drawingml/2006/picture">
                <pic:pic>
                  <pic:nvPicPr>
                    <pic:cNvPr id="0" name="03_swagger_dashboard.png"/>
                    <pic:cNvPicPr/>
                  </pic:nvPicPr>
                  <pic:blipFill>
                    <a:blip r:embed="rId11"/>
                    <a:stretch>
                      <a:fillRect/>
                    </a:stretch>
                  </pic:blipFill>
                  <pic:spPr>
                    <a:xfrm>
                      <a:off x="0" y="0"/>
                      <a:ext cx="4572000" cy="3227294"/>
                    </a:xfrm>
                    <a:prstGeom prst="rect"/>
                  </pic:spPr>
                </pic:pic>
              </a:graphicData>
            </a:graphic>
          </wp:inline>
        </w:drawing>
      </w:r>
    </w:p>
    <w:p>
      <w:pPr>
        <w:keepNext/>
        <w:spacing w:before="280" w:after="80"/>
      </w:pPr>
      <w:r>
        <w:rPr>
          <w:b/>
          <w:color w:val="0F4C81"/>
          <w:sz w:val="22"/>
        </w:rPr>
        <w:t>EXHIBIT D: Postman API Execution Client — Student and Placement Profile Document Creation</w:t>
      </w:r>
    </w:p>
    <w:p>
      <w:pPr>
        <w:spacing w:after="160"/>
      </w:pPr>
      <w:r>
        <w:rPr>
          <w:color w:val="2C3E50"/>
          <w:sz w:val="20"/>
        </w:rPr>
        <w:t>This request panel confirms successful execution of student record addition via HTTP POST route. The response panel details an exact JSON structure containing the student metadata alongside a deeply nested, normalized One-to-One cross-referenced Placement Profile object hash.</w:t>
      </w:r>
    </w:p>
    <w:p>
      <w:pPr>
        <w:spacing w:after="360"/>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04_postman_student.png"/>
                    <pic:cNvPicPr/>
                  </pic:nvPicPr>
                  <pic:blipFill>
                    <a:blip r:embed="rId12"/>
                    <a:stretch>
                      <a:fillRect/>
                    </a:stretch>
                  </pic:blipFill>
                  <pic:spPr>
                    <a:xfrm>
                      <a:off x="0" y="0"/>
                      <a:ext cx="4572000" cy="2857500"/>
                    </a:xfrm>
                    <a:prstGeom prst="rect"/>
                  </pic:spPr>
                </pic:pic>
              </a:graphicData>
            </a:graphic>
          </wp:inline>
        </w:drawing>
      </w:r>
    </w:p>
    <w:p>
      <w:pPr>
        <w:keepNext/>
        <w:spacing w:before="280" w:after="80"/>
      </w:pPr>
      <w:r>
        <w:rPr>
          <w:b/>
          <w:color w:val="0F4C81"/>
          <w:sz w:val="22"/>
        </w:rPr>
        <w:t>EXHIBIT E: Postman API Execution Client — Real-Time Database Aggregation Placement Metrics</w:t>
      </w:r>
    </w:p>
    <w:p>
      <w:pPr>
        <w:spacing w:after="160"/>
      </w:pPr>
      <w:r>
        <w:rPr>
          <w:color w:val="2C3E50"/>
          <w:sz w:val="20"/>
        </w:rPr>
        <w:t>The analytical metrics collection pipeline outputs an aggregated placement summary report. The engine dynamically computes registered totals, active corporate hire ratios, peak package allocations, and top recruiting metrics using pipeline operators.</w:t>
      </w:r>
    </w:p>
    <w:p>
      <w:pPr>
        <w:spacing w:after="360"/>
        <w:jc w:val="center"/>
      </w:pPr>
      <w:r>
        <w:drawing>
          <wp:inline xmlns:a="http://schemas.openxmlformats.org/drawingml/2006/main" xmlns:pic="http://schemas.openxmlformats.org/drawingml/2006/picture">
            <wp:extent cx="4572000" cy="2971800"/>
            <wp:docPr id="5" name="Picture 5"/>
            <wp:cNvGraphicFramePr>
              <a:graphicFrameLocks noChangeAspect="1"/>
            </wp:cNvGraphicFramePr>
            <a:graphic>
              <a:graphicData uri="http://schemas.openxmlformats.org/drawingml/2006/picture">
                <pic:pic>
                  <pic:nvPicPr>
                    <pic:cNvPr id="0" name="05_postman_analytics.png"/>
                    <pic:cNvPicPr/>
                  </pic:nvPicPr>
                  <pic:blipFill>
                    <a:blip r:embed="rId13"/>
                    <a:stretch>
                      <a:fillRect/>
                    </a:stretch>
                  </pic:blipFill>
                  <pic:spPr>
                    <a:xfrm>
                      <a:off x="0" y="0"/>
                      <a:ext cx="4572000" cy="29718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