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a standalone laboratory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boundary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standalone application. It holds its own customer master, tax invoice numbering, receipts, tax masters, customer ledger, consumable stock and working asset record. The general ledger and the procurement chain beyond the laboratory's indent stay with the unit's accounts wing. The interface to an external accounting system is specified but switched off, because the unit runs no such system.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external accounting system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today, because this system masters the customer; filled only if the optional M22 interface is ever switched 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unit's own paper registers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to watch if an external accounting system ever arrives.</w:t>
      </w:r>
      <w:r>
        <w:rPr>
          <w:rFonts w:ascii="Calibri" w:cs="Calibri" w:eastAsia="Calibri" w:hAnsi="Calibri"/>
          <w:color w:val="1A1A1A"/>
        </w:rPr>
        <w:t xml:space="preserve"> Customer and Consumable Item. There is no such system at this unit, so this system masters both outright: every field on the customer record above, and every field on the consumable item, is entered, edited and read here. If the parent body ever mandates an accounting system for the unit, the rule from that day is that for each field exactly one system is the source of truth and the other is read-only for that field, and the recommended split then is that the accounting system takes customer identity, tax identifiers and financial terms while this system keeps concession category, confidentiality flags, consents and laboratory-specific notes. The rule is recorded now, while it is dormant, because a split of this kind is far easier to agree before the data exists than after several years of it. See M22 and </w:t>
      </w:r>
      <w:r>
        <w:rPr>
          <w:rFonts w:ascii="Calibri" w:cs="Calibri" w:eastAsia="Calibri" w:hAnsi="Calibri"/>
          <w:b/>
          <w:bCs/>
          <w:color w:val="2E4A62"/>
        </w:rPr>
        <w:t xml:space="preserve">OPEN-Q</w:t>
      </w:r>
      <w:r>
        <w:rPr>
          <w:rFonts w:ascii="Calibri" w:cs="Calibri" w:eastAsia="Calibri" w:hAnsi="Calibri"/>
          <w:color w:val="1A1A1A"/>
        </w:rPr>
        <w:t xml:space="preserve">-T8.</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money register</w:t>
      </w:r>
      <w:r>
        <w:rPr>
          <w:rFonts w:ascii="Calibri" w:cs="Calibri" w:eastAsia="Calibri" w:hAnsi="Calibri"/>
          <w:color w:val="1A1A1A"/>
        </w:rPr>
        <w:t xml:space="preserve"> for the parent institute's asset and depreciation records,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 Depreciation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the parent institute's asset register and the unit's accounts wing need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asset and depreciation fields</w:t>
            </w:r>
            <w:r>
              <w:rPr>
                <w:rFonts w:ascii="Calibri" w:cs="Calibri" w:eastAsia="Calibri" w:hAnsi="Calibri"/>
                <w:color w:val="1A1A1A"/>
                <w:sz w:val="18"/>
                <w:szCs w:val="18"/>
              </w:rPr>
              <w:t xml:space="preserve"> for the parent institute's asset register: purchase order reference, supplier, invoice number and date, capitalised cost, date put to use, funding source or scheme, asset classification, expected useful life, depreciation method and rate, accumulated depreciation, book value, physical verification date and outcome, condemnation reference. The unit runs no external accounting system, so these fields are the laboratory's own </w:t>
            </w:r>
            <w:r>
              <w:rPr>
                <w:rFonts w:ascii="Calibri" w:cs="Calibri" w:eastAsia="Calibri" w:hAnsi="Calibri"/>
                <w:b/>
                <w:bCs/>
                <w:color w:val="1A1A1A"/>
                <w:sz w:val="18"/>
                <w:szCs w:val="18"/>
              </w:rPr>
              <w:t xml:space="preserve">working record</w:t>
            </w:r>
            <w:r>
              <w:rPr>
                <w:rFonts w:ascii="Calibri" w:cs="Calibri" w:eastAsia="Calibri" w:hAnsi="Calibri"/>
                <w:color w:val="1A1A1A"/>
                <w:sz w:val="18"/>
                <w:szCs w:val="18"/>
              </w:rPr>
              <w:t xml:space="preserve"> of what it holds, kept so that an asset card can be printed and handed to the accounts wing; the parent institute's financial asset register, and depreciation accounting itself, stay where they are. The fields shall also be exportable through the dormant interface in M22 should such a system ever be adopted.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Asset tab prints an asset card containing all listed fields; the same data is available as an export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Asset tab (see M11-28): purchase order reference, supplier, invoice number, invoice date, capitalised cost, date put to use, warranty start, warranty end, funding source or scheme name, asset class, useful life (years), depreciation method, depreciation rate, accumulated depreciation, book value as at date, last physical verification date, verification outcome, condemnation order reference, disposal date, disposal value.</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on paper or in the accounts wing's own records?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the unit's purchasing process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route it for Lab In-Charge approval, and print it for the unit's own purchasing process. Where an external accounting system has been configured under M22, the approved indent shall also be transmitted to it, and shall queue and retry while that system is unreachable.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prints. With the M22 interface enabled, it also appears in the outbound queue and, on success, carries the external purchase-requisition number back.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external accounting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the M22 interface where it is enabled; empty otherwise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Where an external accounting system holds stock valuation.</w:t>
      </w:r>
      <w:r>
        <w:rPr>
          <w:rFonts w:ascii="Calibri" w:cs="Calibri" w:eastAsia="Calibri" w:hAnsi="Calibri"/>
          <w:color w:val="1A1A1A"/>
        </w:rPr>
        <w:t xml:space="preserve"> None exists at present, so the LIMS carries both the quantity and the value of what is in store, which is what a stock register needs; the accounting entries that follow from those movements stay with the unit's accounts wing, which keeps the books. If such a system is ever adopted it becomes the system of record for money value, and the LIMS remains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any consumables inventory exist outside this system — in the accounts wing's records or on paper — and does it track lot and expiry? — </w:t>
      </w:r>
      <w:r>
        <w:rPr>
          <w:rFonts w:ascii="Calibri" w:cs="Calibri" w:eastAsia="Calibri" w:hAnsi="Calibri"/>
          <w:i/>
          <w:iCs/>
          <w:color w:val="1A1A1A"/>
        </w:rPr>
        <w:t xml:space="preserve">Recommended default:</w:t>
      </w:r>
      <w:r>
        <w:rPr>
          <w:rFonts w:ascii="Calibri" w:cs="Calibri" w:eastAsia="Calibri" w:hAnsi="Calibri"/>
          <w:color w:val="1A1A1A"/>
        </w:rPr>
        <w:t xml:space="preserve"> the LIMS holds the register in full, including lot, expiry, certificate and fitness-for-use; if an external accounting system is ever adopted, send it only quantity and value movements and do not attempt to store expiry there.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The unit runs no external accounting system, so the LIMS owns all of the following: the tax invoice and its number series, the receipt, the credit note, the tax masters and the customer ledger, along with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general ledger is not among them: the unit's accounts wing keeps the books, and this module feeds them. The split is still worth stating, because it may not stay this way. If the parent body ever puts an accounting package in place, that package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invoice and the receipt as posted accounting documents, the credit note, the tax masters and the general ledger — and the LIMS should keep the commercial decision, for a simple reason: only the LIMS knows which test a rupee belongs to, and only a ledger system can post to a ledger. The field-by-field table is in M22, written down and switched off.</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receipt date, expiry date, quantity received, quantity remaining,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items below reorder level, batches expiring within the alert windows, and consumption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masters customer legal name and address, so a pseudonymisation decision shall be applied to the master record itself and shall not be reversible through any routine screen. Where the optional interface in M22 is ever enabled and an external system masters the name, the decision shall additionally be held as a </w:t>
            </w:r>
            <w:r>
              <w:rPr>
                <w:rFonts w:ascii="Calibri" w:cs="Calibri" w:eastAsia="Calibri" w:hAnsi="Calibri"/>
                <w:b/>
                <w:bCs/>
                <w:color w:val="1A1A1A"/>
                <w:sz w:val="18"/>
                <w:szCs w:val="18"/>
              </w:rPr>
              <w:t xml:space="preserve">LIMS-side suppression flag that inbound reconciliation honours</w:t>
            </w:r>
            <w:r>
              <w:rPr>
                <w:rFonts w:ascii="Calibri" w:cs="Calibri" w:eastAsia="Calibri" w:hAnsi="Calibri"/>
                <w:color w:val="1A1A1A"/>
                <w:sz w:val="18"/>
                <w:szCs w:val="18"/>
              </w:rPr>
              <w:t xml:space="preserve">, and shall raise a request to that system to pseudonymise its own copy; until it confirms, the customer shall be shown as pseudonymised in the LIMS and the pending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the name is gone from the master and no screen restores it. With the M22 interface enabled, run the nightly reconciliation and confirm the name is not restored and the pending external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Interface to an External Accounting System</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laboratory runs no external accounting system. There is no package holding its customers, its invoices, its receipts or its stock — the LIMS owns all of that itself, which is what M22-17 requires, and it keeps its own working record of the equipment it holds. This module therefore specifies machinery that is </w:t>
      </w:r>
      <w:r>
        <w:rPr>
          <w:rFonts w:ascii="Calibri" w:cs="Calibri" w:eastAsia="Calibri" w:hAnsi="Calibri"/>
          <w:b/>
          <w:bCs/>
          <w:color w:val="1A1A1A"/>
        </w:rPr>
        <w:t xml:space="preserve">written down and switched off</w:t>
      </w:r>
      <w:r>
        <w:rPr>
          <w:rFonts w:ascii="Calibri" w:cs="Calibri" w:eastAsia="Calibri" w:hAnsi="Calibri"/>
          <w:color w:val="1A1A1A"/>
        </w:rPr>
        <w:t xml:space="preserve">: the field-by-field ownership rules, the message plumbing and the reconciliation controls that would apply if the parent body ever mandated an accounting system for the unit. It is written now, while the shape of the data is fresh, because retro-fitting an ownership rule to a system that has been running for two years costs far more than stating it once at the start. Read every "ERP" below as "whatever external accounting system may one day exist": no product has been chosen and none is named here.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there is nothing to integrate with today.</w:t>
      </w:r>
      <w:r>
        <w:rPr>
          <w:rFonts w:ascii="Calibri" w:cs="Calibri" w:eastAsia="Calibri" w:hAnsi="Calibri"/>
          <w:color w:val="1A1A1A"/>
        </w:rPr>
        <w:t xml:space="preserve"> Everything below is therefore a design held in reserve, with the assumption written next to it, and a list of things that must be learned about whatever system is eventually named before any of it is built. Only M22-17, M22-18 and M22-20 are in scope for go-live, for the reasons given under M22.2.</w:t>
      </w:r>
    </w:p>
    <w:p>
      <w:pPr>
        <w:pStyle w:val="Heading3"/>
        <w:keepNext/>
        <w:spacing w:after="90" w:before="240"/>
      </w:pPr>
      <w:r>
        <w:rPr>
          <w:rFonts w:ascii="Calibri" w:cs="Calibri" w:eastAsia="Calibri" w:hAnsi="Calibri"/>
          <w:b/>
          <w:bCs/>
          <w:color w:val="1A1A1A"/>
          <w:sz w:val="22"/>
          <w:szCs w:val="22"/>
        </w:rPr>
        <w:t xml:space="preserve">M22.1 Ownership table</w:t>
      </w:r>
    </w:p>
    <w:p>
      <w:pPr>
        <w:spacing w:after="130" w:before="0" w:line="276"/>
        <w:jc w:val="left"/>
      </w:pPr>
      <w:r>
        <w:rPr>
          <w:rFonts w:ascii="Calibri" w:cs="Calibri" w:eastAsia="Calibri" w:hAnsi="Calibri"/>
          <w:b/>
          <w:bCs/>
          <w:color w:val="1A1A1A"/>
        </w:rPr>
        <w:t xml:space="preserve">Read this table as conditional.</w:t>
      </w:r>
      <w:r>
        <w:rPr>
          <w:rFonts w:ascii="Calibri" w:cs="Calibri" w:eastAsia="Calibri" w:hAnsi="Calibri"/>
          <w:color w:val="1A1A1A"/>
        </w:rPr>
        <w:t xml:space="preserve"> No external accounting system exists, so nothing in the left-hand column is owned today by software this project exchanges data with. The LIMS holds what it needs to run: the customer master, the tax invoice and its number series, receipts, credit notes, the tax masters, the customer ledger, consumable stock, and its own working asset record. What lies outside this system's scope is not held here in any configuration and stays on the unit's own books — the general ledger, the purchase chain beyond the laboratory's own indent, and the financial asset register with its capitalised cost and depreciation. The left-hand column therefore records where mastery would move if an accounting system were ever adopted, and nothing more; the right-hand column records what the LIMS would go on mastering even then.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the external accounting system</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a provisional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provisional customer works fully in the LIMS with a temporary reference; the ERP identifier is filled in when the push succeeds; </w:t>
            </w:r>
            <w:r>
              <w:rPr>
                <w:rFonts w:ascii="Calibri" w:cs="Calibri" w:eastAsia="Calibri" w:hAnsi="Calibri"/>
                <w:b/>
                <w:bCs/>
                <w:color w:val="1A1A1A"/>
                <w:sz w:val="18"/>
                <w:szCs w:val="18"/>
              </w:rPr>
              <w:t xml:space="preserve">sample receipt is never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such a system is ever adopted and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and by default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p>
      <w:pPr>
        <w:spacing w:after="130" w:before="0" w:line="276"/>
        <w:jc w:val="left"/>
      </w:pPr>
      <w:r>
        <w:rPr>
          <w:rFonts w:ascii="Calibri" w:cs="Calibri" w:eastAsia="Calibri" w:hAnsi="Calibri"/>
          <w:b/>
          <w:bCs/>
          <w:color w:val="1A1A1A"/>
        </w:rPr>
        <w:t xml:space="preserve">When these apply.</w:t>
      </w:r>
      <w:r>
        <w:rPr>
          <w:rFonts w:ascii="Calibri" w:cs="Calibri" w:eastAsia="Calibri" w:hAnsi="Calibri"/>
          <w:color w:val="1A1A1A"/>
        </w:rPr>
        <w:t xml:space="preserve"> No external accounting system exists, so most of this table is built only if and when the parent body names such a system and the interface is commissioned; the acceptance checks are run then. Three requirements are exceptions and bind from day one. </w:t>
      </w:r>
      <w:r>
        <w:rPr>
          <w:rFonts w:ascii="Calibri" w:cs="Calibri" w:eastAsia="Calibri" w:hAnsi="Calibri"/>
          <w:b/>
          <w:bCs/>
          <w:color w:val="1A1A1A"/>
        </w:rPr>
        <w:t xml:space="preserve">M22-17</w:t>
      </w:r>
      <w:r>
        <w:rPr>
          <w:rFonts w:ascii="Calibri" w:cs="Calibri" w:eastAsia="Calibri" w:hAnsi="Calibri"/>
          <w:color w:val="1A1A1A"/>
        </w:rPr>
        <w:t xml:space="preserve"> describes how the laboratory actually operates. </w:t>
      </w:r>
      <w:r>
        <w:rPr>
          <w:rFonts w:ascii="Calibri" w:cs="Calibri" w:eastAsia="Calibri" w:hAnsi="Calibri"/>
          <w:b/>
          <w:bCs/>
          <w:color w:val="1A1A1A"/>
        </w:rPr>
        <w:t xml:space="preserve">M22-18</w:t>
      </w:r>
      <w:r>
        <w:rPr>
          <w:rFonts w:ascii="Calibri" w:cs="Calibri" w:eastAsia="Calibri" w:hAnsi="Calibri"/>
          <w:color w:val="1A1A1A"/>
        </w:rPr>
        <w:t xml:space="preserve"> governs the unpaid-balance hold, and under M17-21 that balance comes from the LIMS's own customer ledger, so the rule that a commercial hold must never quietly change a technical decision applies now and not later. </w:t>
      </w:r>
      <w:r>
        <w:rPr>
          <w:rFonts w:ascii="Calibri" w:cs="Calibri" w:eastAsia="Calibri" w:hAnsi="Calibri"/>
          <w:b/>
          <w:bCs/>
          <w:color w:val="1A1A1A"/>
        </w:rPr>
        <w:t xml:space="preserve">M22-20</w:t>
      </w:r>
      <w:r>
        <w:rPr>
          <w:rFonts w:ascii="Calibri" w:cs="Calibri" w:eastAsia="Calibri" w:hAnsi="Calibri"/>
          <w:color w:val="1A1A1A"/>
        </w:rPr>
        <w:t xml:space="preserve"> requires the frozen issued files to be stored by the LIMS with their checksums, and M21-72 rests on it: pseudonymisation is permitted only because those files are guaranteed to survive it unaltered.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the external system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tested against an ERP upgrade</w:t>
            </w:r>
            <w:r>
              <w:rPr>
                <w:rFonts w:ascii="Calibri" w:cs="Calibri" w:eastAsia="Calibri" w:hAnsi="Calibri"/>
                <w:color w:val="1A1A1A"/>
                <w:sz w:val="18"/>
                <w:szCs w:val="18"/>
              </w:rPr>
              <w:t xml:space="preserve"> before the upgrade goes live in production, and the test shall be part of the change-control record in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ERP upgrade is recorded in the change register with an integration test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external system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It is not a module inside anyone's accounting package, and there is no package for it to sit inside; this requirement is therefore a standing constraint on any later proposal to fold it into one, and it applies to that proposal whenever one is made. Were the LIMS ever built as a module, the ownership table in M22.1 shall still be honoured field by field, and the technical records, audit trail, frozen report files and the enforcement gates in M11, M12, M13, M15 and M16 shall remain under the LIMS's own control and shall not be reachable by the host package's generic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data screen of the host package;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how the laboratory operates.</w:t>
            </w:r>
            <w:r>
              <w:rPr>
                <w:rFonts w:ascii="Calibri" w:cs="Calibri" w:eastAsia="Calibri" w:hAnsi="Calibri"/>
                <w:color w:val="1A1A1A"/>
                <w:sz w:val="18"/>
                <w:szCs w:val="18"/>
              </w:rPr>
              <w:t xml:space="preserve"> The LIMS shall run with the integration switched off entirely, using its own customer master, its own invoice numbering and its own stock records, and shall be complete and compliant in that state. The integration is a feature that may be added later, never a foundation: no requirement anywhere in this document shall depend on an external accounting system existing.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Install the system with no integration configured at all; every module in this document works end to end, invoicing and stock included. Switch a test interface on later; the accumulated data pushes across without hand back-filling.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an unpaid balance is reported — today by the LIMS's own customer ledger under M17-21, and in future by any external accounting system — that shall appear as an explicit, logged commercial hold on report release, separate from and visible alongside the technical release state. This one binds from day one, because the balance is the laboratory's own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 customer's ledger into unpaid balance;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override entry</w:t>
            </w:r>
            <w:r>
              <w:rPr>
                <w:rFonts w:ascii="Calibri" w:cs="Calibri" w:eastAsia="Calibri" w:hAnsi="Calibri"/>
                <w:color w:val="1A1A1A"/>
                <w:sz w:val="18"/>
                <w:szCs w:val="18"/>
              </w:rPr>
              <w:t xml:space="preserve"> for every ERP-supplied reference — invoice number, receipt number, asset number, purchase order number — so that a value can be typed in. With no external system in place this is the only path and it shall be a first-class one, not a fallback: no screen shall require an externally supplied reference before it will save.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external invoice number manually; the record links correctly. Save each affected record with the reference left blank;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any future integration would rest on</w:t>
      </w:r>
    </w:p>
    <w:p>
      <w:pPr>
        <w:spacing w:after="130" w:before="0" w:line="276"/>
        <w:jc w:val="left"/>
      </w:pPr>
      <w:r>
        <w:rPr>
          <w:rFonts w:ascii="Calibri" w:cs="Calibri" w:eastAsia="Calibri" w:hAnsi="Calibri"/>
          <w:b/>
          <w:bCs/>
          <w:color w:val="1A1A1A"/>
        </w:rPr>
        <w:t xml:space="preserve">These are not facts about an existing product.</w:t>
      </w:r>
      <w:r>
        <w:rPr>
          <w:rFonts w:ascii="Calibri" w:cs="Calibri" w:eastAsia="Calibri" w:hAnsi="Calibri"/>
          <w:color w:val="1A1A1A"/>
        </w:rPr>
        <w:t xml:space="preserve"> No accounting system has been named for this unit, so none of the following is known. This is the checklist to run against whatever system is eventually mandated, before a line of integration code is written; each row says what has to change in the design if the answer turns out to be no.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the customer entirely, as it does today, and the external system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invoice numbering, as it does today, and the external system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 and today there is none — the asset fields in M11-28 are the laboratory's only working record of them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that would integrate with such a system, not a module inside it. This row is a decision, not an assumption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were ever made a module, M22-16 applies and the enforcement gates must be protected from the host package's generic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never adopts an external accounting system, or adopts one and later drops it.</w:t>
      </w:r>
      <w:r>
        <w:rPr>
          <w:rFonts w:ascii="Calibri" w:cs="Calibri" w:eastAsia="Calibri" w:hAnsi="Calibri"/>
          <w:color w:val="1A1A1A"/>
        </w:rPr>
        <w:t xml:space="preserve"> The first is the present position and the LIMS is built for it; the second it must survive.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Will the parent body ever mandate an accounting system for this unit, and if so what is its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none is coming, build and run standalone under M22-17, and answer the rest of this question only when a system is actually named. </w:t>
      </w:r>
      <w:r>
        <w:rPr>
          <w:rFonts w:ascii="Calibri" w:cs="Calibri" w:eastAsia="Calibri" w:hAnsi="Calibri"/>
          <w:b/>
          <w:bCs/>
          <w:color w:val="1A1A1A"/>
        </w:rPr>
        <w:t xml:space="preserve">Nothing in M22 beyond M22-17, M22-18 and M22-20 is to be built before that answer exists.</w:t>
      </w:r>
    </w:p>
    <w:p>
      <w:pPr>
        <w:spacing w:after="130" w:before="0" w:line="276"/>
        <w:jc w:val="left"/>
      </w:pPr>
      <w:r>
        <w:rPr>
          <w:rFonts w:ascii="Calibri" w:cs="Calibri" w:eastAsia="Calibri" w:hAnsi="Calibri"/>
          <w:b/>
          <w:bCs/>
          <w:color w:val="1A1A1A"/>
        </w:rPr>
        <w:t xml:space="preserve">OPEN-Q-D36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 </w:t>
      </w:r>
      <w:r>
        <w:rPr>
          <w:rFonts w:ascii="Calibri" w:cs="Calibri" w:eastAsia="Calibri" w:hAnsi="Calibri"/>
          <w:i/>
          <w:iCs/>
          <w:color w:val="1A1A1A"/>
        </w:rPr>
        <w:t xml:space="preserve">Recommended default:</w:t>
      </w:r>
      <w:r>
        <w:rPr>
          <w:rFonts w:ascii="Calibri" w:cs="Calibri" w:eastAsia="Calibri" w:hAnsi="Calibri"/>
          <w:color w:val="1A1A1A"/>
        </w:rPr>
        <w:t xml:space="preserve"> keep the series in the LIMS. Should such a system arrive, let it master the number if its own series is already compliant, because the accounting document belongs there, and otherwise let it record the LIMS's number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Could a future accounting system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design the mapping to live inside the LIMS with the reconciliation report as the control. This costs nothing today, because the mapping table is empty.</w:t>
      </w:r>
    </w:p>
    <w:p>
      <w:pPr>
        <w:spacing w:after="130" w:before="0" w:line="276"/>
        <w:jc w:val="left"/>
      </w:pPr>
      <w:r>
        <w:rPr>
          <w:rFonts w:ascii="Calibri" w:cs="Calibri" w:eastAsia="Calibri" w:hAnsi="Calibri"/>
          <w:b/>
          <w:bCs/>
          <w:color w:val="1A1A1A"/>
        </w:rPr>
        <w:t xml:space="preserve">OPEN-Q-D38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 </w:t>
      </w:r>
      <w:r>
        <w:rPr>
          <w:rFonts w:ascii="Calibri" w:cs="Calibri" w:eastAsia="Calibri" w:hAnsi="Calibri"/>
          <w:i/>
          <w:iCs/>
          <w:color w:val="1A1A1A"/>
        </w:rPr>
        <w:t xml:space="preserve">Recommended default:</w:t>
      </w:r>
      <w:r>
        <w:rPr>
          <w:rFonts w:ascii="Calibri" w:cs="Calibri" w:eastAsia="Calibri" w:hAnsi="Calibri"/>
          <w:color w:val="1A1A1A"/>
        </w:rPr>
        <w:t xml:space="preserve"> build standalone, as ARC-14 requires, and treat any later proposal to fold the LIMS into a package as a change governed by M22-16.</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any consumables inventory or fixed-asset register exist for this unit outside this system — in the accounts wing's records,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assume paper at most; load the LIMS registers from scratch and treat them as the working record. If an accounting system later arrives holding either, agree the ownership table with whoever maintains it before pushing anything across.</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If an accounting system is ever named, who maintains it,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where one is applied at all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This holds whatever signature tier is configured: the key is held inside the laboratory, and no revocation check, timestamp request or verification call leaves the network at the moment of issue. Where a trusted timestamp is applied at all —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 it is obtained later from the outbound queue,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 </w:t>
            </w:r>
            <w:r>
              <w:rPr>
                <w:rFonts w:ascii="Calibri" w:cs="Calibri" w:eastAsia="Calibri" w:hAnsi="Calibri"/>
                <w:b/>
                <w:bCs/>
                <w:color w:val="1A1A1A"/>
                <w:sz w:val="18"/>
                <w:szCs w:val="18"/>
              </w:rPr>
              <w:t xml:space="preserve">Dormant under the OPEN-Q-T31 default, and deliberately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default answer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laboratory needs a valid signature and not long-term validation, so nothing on the present plan applies a timestamp and this rule binds nothing today. It is kept defined rather than deleted, because the day anything does apply one it is the rule that stops an integrity incident. </w:t>
            </w:r>
            <w:r>
              <w:rPr>
                <w:rFonts w:ascii="Calibri" w:cs="Calibri" w:eastAsia="Calibri" w:hAnsi="Calibri"/>
                <w:b/>
                <w:bCs/>
                <w:color w:val="1A1A1A"/>
                <w:sz w:val="18"/>
                <w:szCs w:val="18"/>
              </w:rPr>
              <w:t xml:space="preserve">What brings it back:</w:t>
            </w:r>
            <w:r>
              <w:rPr>
                <w:rFonts w:ascii="Calibri" w:cs="Calibri" w:eastAsia="Calibri" w:hAnsi="Calibri"/>
                <w:color w:val="1A1A1A"/>
                <w:sz w:val="18"/>
                <w:szCs w:val="18"/>
              </w:rPr>
              <w:t xml:space="preserve"> the Quality Manager or NABL answering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other way in writing; an assessor asking that a report still validate after its signing certificate has expired (M8-47, M21-44); or a Central Silk Board or DigiLocker requirement arriving with the machine-readable report file of Phase 6. </w:t>
            </w:r>
            <w:r>
              <w:rPr>
                <w:rFonts w:ascii="Calibri" w:cs="Calibri" w:eastAsia="Calibri" w:hAnsi="Calibri"/>
                <w:b/>
                <w:bCs/>
                <w:color w:val="1A1A1A"/>
                <w:sz w:val="18"/>
                <w:szCs w:val="18"/>
              </w:rPr>
              <w:t xml:space="preserve">When it binds:</w:t>
            </w:r>
            <w:r>
              <w:rPr>
                <w:rFonts w:ascii="Calibri" w:cs="Calibri" w:eastAsia="Calibri" w:hAnsi="Calibri"/>
                <w:color w:val="1A1A1A"/>
                <w:sz w:val="18"/>
                <w:szCs w:val="18"/>
              </w:rPr>
              <w:t xml:space="preserve"> 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While dormant, the standing check is that no code path writes to a stored issued file at all, which the weekly job of NFR-42 already proves. When it binds: 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 </w:t>
            </w:r>
            <w:r>
              <w:rPr>
                <w:rFonts w:ascii="Calibri" w:cs="Calibri" w:eastAsia="Calibri" w:hAnsi="Calibri"/>
                <w:b/>
                <w:bCs/>
                <w:color w:val="1A1A1A"/>
                <w:sz w:val="18"/>
                <w:szCs w:val="18"/>
              </w:rPr>
              <w:t xml:space="preserve">Rendering correctly is not enough — the text has to be recoverable.</w:t>
            </w:r>
            <w:r>
              <w:rPr>
                <w:rFonts w:ascii="Calibri" w:cs="Calibri" w:eastAsia="Calibri" w:hAnsi="Calibri"/>
                <w:color w:val="1A1A1A"/>
                <w:sz w:val="18"/>
                <w:szCs w:val="18"/>
              </w:rPr>
              <w:t xml:space="preserve"> Whatever is printed on the page must come back out of the finished file as the same characters in the same logical order, with nothing dropped. For Indic scripts that takes two mechanisms, and neither one replaces the other: (a) the ToUnicode map is built from the shaper's record of which original characters each cluster came from, not from the order the glyphs were drawn in; and (b) every Indic run is additionally wrapped in a marked-content span carrying its logical string as /ActualText, encoded UTF-16BE with a byte-order mark, which a conforming reader prefers over ToUnicode. Why both are needed, and why neither may be dropped as redundant, is set out in ARC-47 in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 </w:t>
            </w:r>
            <w:r>
              <w:rPr>
                <w:rFonts w:ascii="Calibri" w:cs="Calibri" w:eastAsia="Calibri" w:hAnsi="Calibri"/>
                <w:b/>
                <w:bCs/>
                <w:color w:val="1A1A1A"/>
                <w:sz w:val="18"/>
                <w:szCs w:val="18"/>
              </w:rPr>
              <w:t xml:space="preserve">Extraction is exact</w:t>
            </w:r>
            <w:r>
              <w:rPr>
                <w:rFonts w:ascii="Calibri" w:cs="Calibri" w:eastAsia="Calibri" w:hAnsi="Calibri"/>
                <w:color w:val="1A1A1A"/>
                <w:sz w:val="18"/>
                <w:szCs w:val="18"/>
              </w:rPr>
              <w:t xml:space="preserve">: every string written into the document is found again, character for character and in logical order, in the text extracted back out of the finished file — no dropped viramas, no reordering, no substitutions. Passing a validator is not evidence of this. veraPDF passes a file whose text layer is in visual order, and no accessibility validator detects the defect, so the check has to be written by hand.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in the build, not by eye: extract the text from the generated file and compare it against the strings that were written, failing the build on any difference. Then open the PDF, select and copy a Telugu and a Devanagari line and paste them into a plain text editor. Then run formal PDF/UA-1 validation with veraPDF, profile ua1, over the </w:t>
            </w:r>
            <w:r>
              <w:rPr>
                <w:rFonts w:ascii="Calibri" w:cs="Calibri" w:eastAsia="Calibri" w:hAnsi="Calibri"/>
                <w:b/>
                <w:bCs/>
                <w:color w:val="1A1A1A"/>
                <w:sz w:val="18"/>
                <w:szCs w:val="18"/>
              </w:rPr>
              <w:t xml:space="preserve">signed</w:t>
            </w:r>
            <w:r>
              <w:rPr>
                <w:rFonts w:ascii="Calibri" w:cs="Calibri" w:eastAsia="Calibri" w:hAnsi="Calibri"/>
                <w:color w:val="1A1A1A"/>
                <w:sz w:val="18"/>
                <w:szCs w:val="18"/>
              </w:rPr>
              <w:t xml:space="preserve"> file and not only the unsigned one, because signing appends to the file and the signed file is the only one anybody receives. </w:t>
            </w:r>
            <w:r>
              <w:rPr>
                <w:rFonts w:ascii="Calibri" w:cs="Calibri" w:eastAsia="Calibri" w:hAnsi="Calibri"/>
                <w:b/>
                <w:bCs/>
                <w:color w:val="1A1A1A"/>
                <w:sz w:val="18"/>
                <w:szCs w:val="18"/>
              </w:rPr>
              <w:t xml:space="preserve">The PDF library and the text shaper are decided on this basis before Phase 1 coding</w:t>
            </w:r>
            <w:r>
              <w:rPr>
                <w:rFonts w:ascii="Calibri" w:cs="Calibri" w:eastAsia="Calibri" w:hAnsi="Calibri"/>
                <w:color w:val="1A1A1A"/>
                <w:sz w:val="18"/>
                <w:szCs w:val="18"/>
              </w:rPr>
              <w:t xml:space="preserve"> — §24.4 records what was tested and PLN-28 is the test that holds it there, now measured in both states rather than assumed.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 — </w:t>
            </w:r>
            <w:r>
              <w:rPr>
                <w:rFonts w:ascii="Calibri" w:cs="Calibri" w:eastAsia="Calibri" w:hAnsi="Calibri"/>
                <w:b/>
                <w:bCs/>
                <w:color w:val="1A1A1A"/>
                <w:sz w:val="18"/>
                <w:szCs w:val="18"/>
              </w:rPr>
              <w:t xml:space="preserve">and the text layer beneath that rendering is correct too</w:t>
            </w:r>
            <w:r>
              <w:rPr>
                <w:rFonts w:ascii="Calibri" w:cs="Calibri" w:eastAsia="Calibri" w:hAnsi="Calibri"/>
                <w:color w:val="1A1A1A"/>
                <w:sz w:val="18"/>
                <w:szCs w:val="18"/>
              </w:rPr>
              <w:t xml:space="preserve">, which is a separate property and the one that fails silently. Measured on the built document component: with the text layer written from the glyphs in the order they were drawn, बोर्ड extracts as बोरड, the virama silently dropped; पट्टु extracts as पटु्ट; मूर्ति as मूरि्त. A report in that state prints perfectly and is still unsearchable, uncopyable and read aloud in the wrong character order. Both of the mechanisms NFR-70 requires therefore apply to every Telugu and Devanagari run without exception. Shaping must also not throw: measured against the fonts named in the next column, stock fontkit 2.0.4 raises an uncaught type error on ప్రయోగశాల, శ్రీ, ప్రు and శ్రీ ధర్మవరం — an ordinary word, an honorific carried by a large share of Indian names, and the unit's own town — so the wrong shaper is a crashed report, not an ugly one. The shaper is part of the recorded configuration, not a preference; see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 </w:t>
            </w:r>
            <w:r>
              <w:rPr>
                <w:rFonts w:ascii="Calibri" w:cs="Calibri" w:eastAsia="Calibri" w:hAnsi="Calibri"/>
                <w:b/>
                <w:bCs/>
                <w:color w:val="1A1A1A"/>
                <w:sz w:val="18"/>
                <w:szCs w:val="18"/>
              </w:rPr>
              <w:t xml:space="preserve">and every one of those 20 strings extracted back out of the file and compared character for character with what was written</w:t>
            </w:r>
            <w:r>
              <w:rPr>
                <w:rFonts w:ascii="Calibri" w:cs="Calibri" w:eastAsia="Calibri" w:hAnsi="Calibri"/>
                <w:color w:val="1A1A1A"/>
                <w:sz w:val="18"/>
                <w:szCs w:val="18"/>
              </w:rPr>
              <w:t xml:space="preserve">. The test runs against the fonts actually shipped — the vendored Noto Sans Telugu and Noto Sans Devanagari named in ARC-48. </w:t>
            </w:r>
            <w:r>
              <w:rPr>
                <w:rFonts w:ascii="Calibri" w:cs="Calibri" w:eastAsia="Calibri" w:hAnsi="Calibri"/>
                <w:b/>
                <w:bCs/>
                <w:color w:val="1A1A1A"/>
                <w:sz w:val="18"/>
                <w:szCs w:val="18"/>
              </w:rPr>
              <w:t xml:space="preserve">Substituting a font invalidates the result</w:t>
            </w:r>
            <w:r>
              <w:rPr>
                <w:rFonts w:ascii="Calibri" w:cs="Calibri" w:eastAsia="Calibri" w:hAnsi="Calibri"/>
                <w:color w:val="1A1A1A"/>
                <w:sz w:val="18"/>
                <w:szCs w:val="18"/>
              </w:rPr>
              <w:t xml:space="preserve">: shaping defects are font-dependent, and the crash above reproduces against those faces and does not reproduce against the Telugu faces that ship with macOS.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run the automated extraction comparison NFR-70 requires over the same 20 strings. </w:t>
            </w:r>
            <w:r>
              <w:rPr>
                <w:rFonts w:ascii="Calibri" w:cs="Calibri" w:eastAsia="Calibri" w:hAnsi="Calibri"/>
                <w:b/>
                <w:bCs/>
                <w:color w:val="1A1A1A"/>
                <w:sz w:val="18"/>
                <w:szCs w:val="18"/>
              </w:rPr>
              <w:t xml:space="preserve">Test this in Phase 0 or Phase 1, not at the end — the PDF font stack is hard to change late.</w:t>
            </w:r>
            <w:r>
              <w:rPr>
                <w:rFonts w:ascii="Calibri" w:cs="Calibri" w:eastAsia="Calibri" w:hAnsi="Calibri"/>
                <w:color w:val="1A1A1A"/>
                <w:sz w:val="18"/>
                <w:szCs w:val="18"/>
              </w:rPr>
              <w:t xml:space="preserve"> Changing a font is a change under ARC-48.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These recommendations apply as written, and the two that mattered most are now decisions rather than recommendations.</w:t>
      </w:r>
      <w:r>
        <w:rPr>
          <w:rFonts w:ascii="Calibri" w:cs="Calibri" w:eastAsia="Calibri" w:hAnsi="Calibri"/>
          <w:color w:val="1A1A1A"/>
        </w:rPr>
        <w:t xml:space="preserve"> The laboratory system is a standalone application, not a layer inside somebody else's package, so there is no existing language, framework or database it has to inherit. ARC-13 and ARC-14 record the two branches and which of them is operative. Decision 1, the stack, is stated immediately below. Decision 2, what the signature on a report has to achieve, is registered as an open question with a recommended default at </w:t>
      </w:r>
      <w:r>
        <w:rPr>
          <w:rFonts w:ascii="Calibri" w:cs="Calibri" w:eastAsia="Calibri" w:hAnsi="Calibri"/>
          <w:b/>
          <w:bCs/>
          <w:color w:val="2E4A62"/>
        </w:rPr>
        <w:t xml:space="preserve">OPEN-Q</w:t>
      </w:r>
      <w:r>
        <w:rPr>
          <w:rFonts w:ascii="Calibri" w:cs="Calibri" w:eastAsia="Calibri" w:hAnsi="Calibri"/>
          <w:color w:val="1A1A1A"/>
        </w:rPr>
        <w:t xml:space="preserve">-T31, and this section builds to that default and states what it costs if the default is wrong.</w:t>
      </w:r>
    </w:p>
    <w:p>
      <w:pPr>
        <w:spacing w:after="130" w:before="0" w:line="276"/>
        <w:jc w:val="left"/>
      </w:pPr>
      <w:r>
        <w:rPr>
          <w:rFonts w:ascii="Calibri" w:cs="Calibri" w:eastAsia="Calibri" w:hAnsi="Calibri"/>
          <w:b/>
          <w:bCs/>
          <w:color w:val="1A1A1A"/>
        </w:rPr>
        <w:t xml:space="preserve">Decision 1 — the stack is Node.js with TypeScript, server-rendered, on PostgreSQL 16.</w:t>
      </w:r>
      <w:r>
        <w:rPr>
          <w:rFonts w:ascii="Calibri" w:cs="Calibri" w:eastAsia="Calibri" w:hAnsi="Calibri"/>
          <w:color w:val="1A1A1A"/>
        </w:rPr>
        <w:t xml:space="preserve"> What decided it is this section's own rule: </w:t>
      </w:r>
      <w:r>
        <w:rPr>
          <w:rFonts w:ascii="Calibri" w:cs="Calibri" w:eastAsia="Calibri" w:hAnsi="Calibri"/>
          <w:i/>
          <w:iCs/>
          <w:color w:val="1A1A1A"/>
        </w:rPr>
        <w:t xml:space="preserve">anything the developer has not shipped before: reject</w:t>
      </w:r>
      <w:r>
        <w:rPr>
          <w:rFonts w:ascii="Calibri" w:cs="Calibri" w:eastAsia="Calibri" w:hAnsi="Calibri"/>
          <w:color w:val="1A1A1A"/>
        </w:rPr>
        <w:t xml:space="preserve">. One person maintains this system for years, in a district unit with no information-technology support, and the developer has shipped JavaScript and Node work and nothing else. A framework he would be learning on the job is a larger risk than any difference in library quality between the candidates — and larger than the one genuine weakness this choice carries, which is set out in the digital-signing row. The earlier text of this section left the language open and offered three frameworks the developer does not use; that is now closed. Everything downstream of the choice — the PDF and signing rows especially — was then built and tested rather than assumed, because a stack chosen for maintainability still has to be able to produce the document this laboratory issues.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operative.</w:t>
            </w:r>
            <w:r>
              <w:rPr>
                <w:rFonts w:ascii="Calibri" w:cs="Calibri" w:eastAsia="Calibri" w:hAnsi="Calibri"/>
                <w:color w:val="1A1A1A"/>
                <w:sz w:val="18"/>
                <w:szCs w:val="18"/>
              </w:rPr>
              <w:t xml:space="preserve"> This rule provided for the case where the laboratory layer had to be built inside an existing accounting system — sharing its database, its login, its screens or its deployment — in which case that system's language, framework and database would have decided the stack, and this section's recommendations would have been overridden except for the PDF, signing and verification components. No such system exists at this unit, so the case does not arise and ARC-14 is the operative branch. The rule is kept, with its reasoning, because it becomes live again the moment anyone proposes housing this system inside another: if that is ever proposed, the stack question is reopened, answered in writing, and recorded in the ARC-06 configuration record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any code is written against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Operative.</w:t>
            </w:r>
            <w:r>
              <w:rPr>
                <w:rFonts w:ascii="Calibri" w:cs="Calibri" w:eastAsia="Calibri" w:hAnsi="Calibri"/>
                <w:color w:val="1A1A1A"/>
                <w:sz w:val="18"/>
                <w:szCs w:val="18"/>
              </w:rPr>
              <w:t xml:space="preserve"> The laboratory layer is a separate, standalone application. It owns its customer master, its numbering series, its invoices and receipts and its stock records outright, and the recommendations below apply in full. If an external accounting system is ever introduced — the unit acquires one, or Central Silk Board mandates one — it is joined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never two editable copies of the customer address, and the laboratory system must still run with that interface switched off (M22-17).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Node.js on a long-term-support release (24 LTS at the time of writing), with TypeScript, server-rendered.</w:t>
            </w:r>
            <w:r>
              <w:rPr>
                <w:rFonts w:ascii="Calibri" w:cs="Calibri" w:eastAsia="Calibri" w:hAnsi="Calibri"/>
                <w:color w:val="1A1A1A"/>
                <w:sz w:val="18"/>
                <w:szCs w:val="18"/>
              </w:rPr>
              <w:t xml:space="preserve"> Server-side templates producing HTML, with selective in-page interactivity only where ARC-09 requires it. The exact runtime version is recorded in the ARC-06 configuration record and moves only along a long-term-support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This section's own rule settles it: anything the developer has not shipped before is rejected, and the developer has shipped JavaScript and Node work only. JavaScript is also the language in which a replacement is easiest to find in an Indian district town. The cost is real and is not hidden here: of the four candidates Node has the weakest PDF signing libraries, which is exactly why the PDF and signing rows below are written to a position that was built and validated rather than to a hope.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PHP 8.3 with Laravel, .NET 8 with ASP.NET Core, Python with Django: all three are sound, all three have stronger document libraries, and all three would be a first project for this developer. </w:t>
            </w:r>
            <w:r>
              <w:rPr>
                <w:rFonts w:ascii="Calibri" w:cs="Calibri" w:eastAsia="Calibri" w:hAnsi="Calibri"/>
                <w:b/>
                <w:bCs/>
                <w:color w:val="1A1A1A"/>
                <w:sz w:val="18"/>
                <w:szCs w:val="18"/>
              </w:rPr>
              <w:t xml:space="preserve">Rejected on that ground, not on merit.</w:t>
            </w:r>
            <w:r>
              <w:rPr>
                <w:rFonts w:ascii="Calibri" w:cs="Calibri" w:eastAsia="Calibri" w:hAnsi="Calibri"/>
                <w:color w:val="1A1A1A"/>
                <w:sz w:val="18"/>
                <w:szCs w:val="18"/>
              </w:rPr>
              <w:t xml:space="preserve"> A second runtime used only for documents is a different question, and is answered in the PDF row.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There is no other application whose database this one has to match, so the choice is made on merit. Reached from Node through the standard </w:t>
            </w:r>
            <w:r>
              <w:rPr>
                <w:rFonts w:ascii="Consolas" w:cs="Consolas" w:eastAsia="Consolas" w:hAnsi="Consolas"/>
                <w:color w:val="1A1A1A"/>
                <w:sz w:val="18"/>
                <w:szCs w:val="18"/>
                <w:shd w:fill="F4F4F4" w:val="clear"/>
              </w:rPr>
              <w:t xml:space="preserve">pg</w:t>
            </w:r>
            <w:r>
              <w:rPr>
                <w:rFonts w:ascii="Calibri" w:cs="Calibri" w:eastAsia="Calibri" w:hAnsi="Calibri"/>
                <w:color w:val="1A1A1A"/>
                <w:sz w:val="18"/>
                <w:szCs w:val="18"/>
              </w:rPr>
              <w:t xml:space="preserve"> driver with explicit SQL and hand-written, numbered migrations (ARC-29). No tool that hides the schema, because in this system the constraints and triggers of §25 </w:t>
            </w:r>
            <w:r>
              <w:rPr>
                <w:rFonts w:ascii="Calibri" w:cs="Calibri" w:eastAsia="Calibri" w:hAnsi="Calibri"/>
                <w:i/>
                <w:iCs/>
                <w:color w:val="1A1A1A"/>
                <w:sz w:val="18"/>
                <w:szCs w:val="18"/>
              </w:rPr>
              <w:t xml:space="preserve">are</w:t>
            </w:r>
            <w:r>
              <w:rPr>
                <w:rFonts w:ascii="Calibri" w:cs="Calibri" w:eastAsia="Calibri" w:hAnsi="Calibri"/>
                <w:color w:val="1A1A1A"/>
                <w:sz w:val="18"/>
                <w:szCs w:val="18"/>
              </w:rPr>
              <w:t xml:space="preserve"> the 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and it makes the trigger-written audit log of DB-04 and the revoked grants of NFR-105 straightforward. The counter-argument for matching another product's database — one engine to look after rather than two, which matters in a unit with no information-technology support — assumed this system would be built inside an existing package. It is not (ARC-14). The Node decision does not weigh here either way: the concurrency behaviour the number-allocation rule needs is the database's, not the language's.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MariaDB or MySQL 8: workable, and the right choice if the developer is markedly stronger there, but the constraint and trigger work of §25 costs more effort. 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in the same PostgreSQL database, claimed with </w:t>
            </w:r>
            <w:r>
              <w:rPr>
                <w:rFonts w:ascii="Consolas" w:cs="Consolas" w:eastAsia="Consolas" w:hAnsi="Consolas"/>
                <w:color w:val="1A1A1A"/>
                <w:sz w:val="18"/>
                <w:szCs w:val="18"/>
                <w:shd w:fill="F4F4F4" w:val="clear"/>
              </w:rPr>
              <w:t xml:space="preserve">SELECT ... FOR UPDATE SKIP LOCKED</w:t>
            </w:r>
            <w:r>
              <w:rPr>
                <w:rFonts w:ascii="Calibri" w:cs="Calibri" w:eastAsia="Calibri" w:hAnsi="Calibri"/>
                <w:color w:val="1A1A1A"/>
                <w:sz w:val="18"/>
                <w:szCs w:val="18"/>
              </w:rPr>
              <w:t xml:space="preserve">, drained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and it puts the queue inside the same backup — and the same transaction — as the work that enqueued it. Volumes here are tiny. Node brings no queue of its own to inherit, so this is written rather than configured: a couple of hundred lines, and worth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Redis-backed queue (BullMQ or similar):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pdfkit 0.19.1, with harfbuzzjs 1.6.0 replacing fontkit as the text shaper</w:t>
            </w:r>
            <w:r>
              <w:rPr>
                <w:rFonts w:ascii="Calibri" w:cs="Calibri" w:eastAsia="Calibri" w:hAnsi="Calibri"/>
                <w:color w:val="1A1A1A"/>
                <w:sz w:val="18"/>
                <w:szCs w:val="18"/>
              </w:rPr>
              <w:t xml:space="preserve">, driven from the dedicated document component of ARC-17. This position was built and validated, not read about: a report-shaped document — embedded font, a heading, a tagged table with header cells and scope, a paragraph running across a page break, a figure with alternative text, artifact-marked page furniture, and a digital signature applied afterwards — passes formal PDF/UA-1 validation, veraPDF 1.30.2, profile ua1, 106 of 106 rules. Tables stay tagged across page breaks, and signing does not disturb the structure tree. Three conditions come with it, all of them written into ARC-17 as build rules: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because no library on this stack infers tags from layout; every Indic run carries its logical string as marked-content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and the spurious character-set entry pdfkit emits when the accessibility subset is requested is stripped after rendering. Stock fontkit is replaced outright rather than patched: it throws an uncaught type error on ordinary Telugu words, including ప్రయోగశాల (laboratory), its Indic shaping engine was last functionally touched in 2017, and its repository has had no commits since August 2024. harfbuzzjs is the HarfBuzz project's own build — pure WebAssembly, no dependencies, about 1.2 MB, nothing to compile on the laboratory server, behind roughly sixty lines of pdfkit layout override — which is what lets it vendor cleanly offline for ARC-16. PLN-28 is the test that holds all of this in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so it was tested rather than argued. Tagged PDF for the accessibility requirement of NFR-70, a valid certificate-based signature, and correct Telugu and Devanagari shaping (NFR-93) are needed together, and the common belief that Node cannot do the first is wrong — it can, and the evidence is a validator run that ARC-30 repeats on every push. What Node genuinely cannot do is long-term validation, which is the signing row's subject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A second runtime purely for document generation remains a last resort: if one becomes unavoidable it is recorded as an explicit exception in the ARC-06 configuration record with its own ARC-16 offline vendoring plan, because a district unit with no information-technology support must patch and rebuild only one dependency tree.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ReportLab with pyHanko on Python: withdrawn as false — see the correction below this table.</w:t>
            </w:r>
            <w:r>
              <w:rPr>
                <w:rFonts w:ascii="Calibri" w:cs="Calibri" w:eastAsia="Calibri" w:hAnsi="Calibri"/>
                <w:color w:val="1A1A1A"/>
                <w:sz w:val="18"/>
                <w:szCs w:val="18"/>
              </w:rPr>
              <w:t xml:space="preserve"> What Python does give is pyHanko, the strongest signing library on any stack and the escape hatch named in the signing row; tagged output there means either a commercial ReportLab PLUS licence, which is a cost and an ARC-46 licence question, or a different generator — and a second runtime either way. Java or .NET: iText 8 and Apache PDFBox produce tagged PDF and full PAdES on their own account, not verified here, but iText's default terms are the copyleft network licence ARC-46 forbids without a commercial licence bought in Central Silk Board's name, and both are stacks this developer has not shipped. HTML-to-PDF converters (wkhtmltopdf, Puppeteer): easy layout,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@signpdf/signpdf 3.x with the `@signpdf/placeholder-plain` placeholder</w:t>
            </w:r>
            <w:r>
              <w:rPr>
                <w:rFonts w:ascii="Calibri" w:cs="Calibri" w:eastAsia="Calibri" w:hAnsi="Calibri"/>
                <w:color w:val="1A1A1A"/>
                <w:sz w:val="18"/>
                <w:szCs w:val="18"/>
              </w:rPr>
              <w:t xml:space="preserve">, applied to the rendered file inside the document component,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Two build rules, both established by test rather than by documentation: the signature is applied </w:t>
            </w:r>
            <w:r>
              <w:rPr>
                <w:rFonts w:ascii="Calibri" w:cs="Calibri" w:eastAsia="Calibri" w:hAnsi="Calibri"/>
                <w:b/>
                <w:bCs/>
                <w:color w:val="1A1A1A"/>
                <w:sz w:val="18"/>
                <w:szCs w:val="18"/>
              </w:rPr>
              <w:t xml:space="preserve">invisibly</w:t>
            </w:r>
            <w:r>
              <w:rPr>
                <w:rFonts w:ascii="Calibri" w:cs="Calibri" w:eastAsia="Calibri" w:hAnsi="Calibri"/>
                <w:color w:val="1A1A1A"/>
                <w:sz w:val="18"/>
                <w:szCs w:val="18"/>
              </w:rPr>
              <w:t xml:space="preserve">, and the visible "Digitally signed by ..." block is drawn as ordinary tagged page content, because a visible signature widget fails PDF/UA on two counts — the widget is not nested in a form structure element, and it carries no alternative description — and nothing on this stack fixes that; and </w:t>
            </w:r>
            <w:r>
              <w:rPr>
                <w:rFonts w:ascii="Consolas" w:cs="Consolas" w:eastAsia="Consolas" w:hAnsi="Consolas"/>
                <w:color w:val="1A1A1A"/>
                <w:sz w:val="18"/>
                <w:szCs w:val="18"/>
                <w:shd w:fill="F4F4F4" w:val="clear"/>
              </w:rPr>
              <w:t xml:space="preserve">@signpdf/placeholder-pdfkit</w:t>
            </w:r>
            <w:r>
              <w:rPr>
                <w:rFonts w:ascii="Calibri" w:cs="Calibri" w:eastAsia="Calibri" w:hAnsi="Calibri"/>
                <w:color w:val="1A1A1A"/>
                <w:sz w:val="18"/>
                <w:szCs w:val="18"/>
              </w:rPr>
              <w:t xml:space="preserve">, the placeholder that looks like the obvious choice here, is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used, because its peer dependency is pinned to pdfkit ^0.11 against the 0.19.1 this uses and it fails </w:t>
            </w:r>
            <w:r>
              <w:rPr>
                <w:rFonts w:ascii="Calibri" w:cs="Calibri" w:eastAsia="Calibri" w:hAnsi="Calibri"/>
                <w:b/>
                <w:bCs/>
                <w:color w:val="1A1A1A"/>
                <w:sz w:val="18"/>
                <w:szCs w:val="18"/>
              </w:rPr>
              <w:t xml:space="preserve">silently</w:t>
            </w:r>
            <w:r>
              <w:rPr>
                <w:rFonts w:ascii="Calibri" w:cs="Calibri" w:eastAsia="Calibri" w:hAnsi="Calibri"/>
                <w:color w:val="1A1A1A"/>
                <w:sz w:val="18"/>
                <w:szCs w:val="18"/>
              </w:rPr>
              <w:t xml:space="preserve">, emitting no output at all.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 — which is exactly the insurance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needs. This library reaches a basic valid signature, the PAdES B-B profile, which is what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default records as the requirement, and a signed report is still a conformant tagged PDF afterwards. It cannot reach the timestamped or long-term profiles, and the reason is structural rather than a matter of effort: the underlying cryptography library hardcodes three signed-attribute identifiers, emits a malformed structure for a fourth </w:t>
            </w:r>
            <w:r>
              <w:rPr>
                <w:rFonts w:ascii="Calibri" w:cs="Calibri" w:eastAsia="Calibri" w:hAnsi="Calibri"/>
                <w:b/>
                <w:bCs/>
                <w:color w:val="1A1A1A"/>
                <w:sz w:val="18"/>
                <w:szCs w:val="18"/>
              </w:rPr>
              <w:t xml:space="preserve">without raising an error</w:t>
            </w:r>
            <w:r>
              <w:rPr>
                <w:rFonts w:ascii="Calibri" w:cs="Calibri" w:eastAsia="Calibri" w:hAnsi="Calibri"/>
                <w:color w:val="1A1A1A"/>
                <w:sz w:val="18"/>
                <w:szCs w:val="18"/>
              </w:rPr>
              <w:t xml:space="preserve">, and hardcodes the unsigned attributes — where a signature timestamp has to live — as empty, with no public way in. A library that fails silently is worse than one that refuses, which is why both of these are written down here rather than left to be discovered.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pyHanko on Python: reaches every PAdES profile up to B-LTA, and is the named escape hatch if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is answered the other way — invoked as a command line off the report-issue path, with its second runtime recorded as an ARC-06 exception. A commercial Java or .NET library: also complete, also unshipped by this developer, also an ARC-46 licence question. None of them changes the interface: build it regardless of which implementation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 correction, recorded against ARC-17.</w:t>
      </w:r>
      <w:r>
        <w:rPr>
          <w:rFonts w:ascii="Calibri" w:cs="Calibri" w:eastAsia="Calibri" w:hAnsi="Calibri"/>
          <w:color w:val="1A1A1A"/>
        </w:rPr>
        <w:t xml:space="preserve"> Until this revision the PDF row above named </w:t>
      </w:r>
      <w:r>
        <w:rPr>
          <w:rFonts w:ascii="Calibri" w:cs="Calibri" w:eastAsia="Calibri" w:hAnsi="Calibri"/>
          <w:b/>
          <w:bCs/>
          <w:color w:val="1A1A1A"/>
        </w:rPr>
        <w:t xml:space="preserve">ReportLab with pyHanko on Python</w:t>
      </w:r>
      <w:r>
        <w:rPr>
          <w:rFonts w:ascii="Calibri" w:cs="Calibri" w:eastAsia="Calibri" w:hAnsi="Calibri"/>
          <w:color w:val="1A1A1A"/>
        </w:rPr>
        <w:t xml:space="preserve"> as a pair meeting all three requirements. That recommendation is </w:t>
      </w:r>
      <w:r>
        <w:rPr>
          <w:rFonts w:ascii="Calibri" w:cs="Calibri" w:eastAsia="Calibri" w:hAnsi="Calibri"/>
          <w:b/>
          <w:bCs/>
          <w:color w:val="1A1A1A"/>
        </w:rPr>
        <w:t xml:space="preserve">withdrawn, because it was false.</w:t>
      </w:r>
      <w:r>
        <w:rPr>
          <w:rFonts w:ascii="Calibri" w:cs="Calibri" w:eastAsia="Calibri" w:hAnsi="Calibri"/>
          <w:color w:val="1A1A1A"/>
        </w:rPr>
        <w:t xml:space="preserve"> Open-source ReportLab cannot produce tagged PDF at all: structure elements, structure-parent references, alternative text and marked-content emission are absent from its source, and automatic tagging is a feature of the commercial ReportLab PLUS product. Anyone who followed the recommendation would have discovered this after committing the document component to Python. What is true instead: pyHanko is an excellent signing library, ReportLab is a good generator of untagged PDF, and the pair does not satisfy NFR-70. It is recorded here rather than quietly edited away, because ARC-17 exists so that a wrong library choice costs one component instead of the whole system, and because a reader who was told something false is entitled to see it named.</w:t>
      </w:r>
    </w:p>
    <w:p>
      <w:pPr>
        <w:spacing w:after="130" w:before="0" w:line="276"/>
        <w:jc w:val="left"/>
      </w:pPr>
      <w:r>
        <w:rPr>
          <w:rFonts w:ascii="Calibri" w:cs="Calibri" w:eastAsia="Calibri" w:hAnsi="Calibri"/>
          <w:b/>
          <w:bCs/>
          <w:color w:val="1A1A1A"/>
        </w:rPr>
        <w:t xml:space="preserve">What it costs if OPEN-Q-T31 is answered the other way.</w:t>
      </w:r>
      <w:r>
        <w:rPr>
          <w:rFonts w:ascii="Calibri" w:cs="Calibri" w:eastAsia="Calibri" w:hAnsi="Calibri"/>
          <w:color w:val="1A1A1A"/>
        </w:rPr>
        <w:t xml:space="preserve"> The rows above are built to that question's recommended default — a valid signature, not long-term validation — on the strength of a verbal answer from the Unit Incharge, which is recorded there as an assumption and not as a fact. If the written answer from the Quality Manager or NABL turns out to require long-term validation, the remedy is not a code change but a change of component: the signing implementation is replaced through the ARC-17 interface with pyHanko run as a command line off the report-issue path, its second runtime recorded as an ARC-06 exception with its own ARC-16 vendoring plan. Budget two to three developer-weeks, and a second dependency tree to patch for the life of the system. Nothing already issued becomes invalid: NFR-121 governs how the material is added afterwards, to a separate derived file, without altering one byte of the original. This is cheap to prevent and awkward to repair, so the written answer is a Phase 0 task (PLN-04, PLN-06), not a Phase 6 one.</w:t>
      </w:r>
    </w:p>
    <w:p>
      <w:pPr>
        <w:spacing w:after="130" w:before="0" w:line="276"/>
        <w:jc w:val="left"/>
      </w:pPr>
      <w:r>
        <w:rPr>
          <w:rFonts w:ascii="Calibri" w:cs="Calibri" w:eastAsia="Calibri" w:hAnsi="Calibri"/>
          <w:b/>
          <w:bCs/>
          <w:color w:val="1A1A1A"/>
        </w:rPr>
        <w:t xml:space="preserve">Why long-term validation could not sit on the report-issue path in any language.</w:t>
      </w:r>
      <w:r>
        <w:rPr>
          <w:rFonts w:ascii="Calibri" w:cs="Calibri" w:eastAsia="Calibri" w:hAnsi="Calibri"/>
          <w:color w:val="1A1A1A"/>
        </w:rPr>
        <w:t xml:space="preserve"> Worth stating once here, where the technology is chosen, so that it is not later mistaken for a limitation of this stack. Long-term validation needs revocation evidence fetched from the certifying authority — an online certificate status response or a revocation list — and an RFC 3161 round trip to a timestamping authority. Both are calls outside the laboratory network, and M8-46 and NFR-32 forbid such a call on the path that issues a report, because a report must issue with the line down. So even on a stack whose libraries do it comfortably, long-term validation is applied </w:t>
      </w:r>
      <w:r>
        <w:rPr>
          <w:rFonts w:ascii="Calibri" w:cs="Calibri" w:eastAsia="Calibri" w:hAnsi="Calibri"/>
          <w:b/>
          <w:bCs/>
          <w:color w:val="1A1A1A"/>
        </w:rPr>
        <w:t xml:space="preserve">after</w:t>
      </w:r>
      <w:r>
        <w:rPr>
          <w:rFonts w:ascii="Calibri" w:cs="Calibri" w:eastAsia="Calibri" w:hAnsi="Calibri"/>
          <w:color w:val="1A1A1A"/>
        </w:rPr>
        <w:t xml:space="preserve"> issue, from the outbound queue, under NFR-121. The language decides how that material gets applied, never whether it may sit on the issue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 This bites hardest on the document component, and it is one of the reasons for the choices in §24.4: the text shaper is a self-contained WebAssembly build of about 1.2 MB, with no dependencies and nothing to compile on the laboratory server. Any replacement that needs a compiler toolchain, a system library or a download at install time fails this rule, whatever its other merits.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 Four rules govern how it is written, each a consequence of what §24.4 records as tested: (a)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as the document is laid out, because no library on this stack infers tags from layout — so the layout layer is written tag-first from the first template, and cannot be retrofitted afterwards without rewriting it; (b) every Telugu, Devanagari or other Indic run is emitted inside a marked-content span carrying the </w:t>
            </w:r>
            <w:r>
              <w:rPr>
                <w:rFonts w:ascii="Calibri" w:cs="Calibri" w:eastAsia="Calibri" w:hAnsi="Calibri"/>
                <w:b/>
                <w:bCs/>
                <w:color w:val="1A1A1A"/>
                <w:sz w:val="18"/>
                <w:szCs w:val="18"/>
              </w:rPr>
              <w:t xml:space="preserve">logical</w:t>
            </w:r>
            <w:r>
              <w:rPr>
                <w:rFonts w:ascii="Calibri" w:cs="Calibri" w:eastAsia="Calibri" w:hAnsi="Calibri"/>
                <w:color w:val="1A1A1A"/>
                <w:sz w:val="18"/>
                <w:szCs w:val="18"/>
              </w:rPr>
              <w:t xml:space="preserve"> string as its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because the text layer is otherwise written in visual order, which leaves the certificate unsearchable, uncopyable and read aloud in the wrong character order — the substance of NFR-70, not a cosmetic detail, and something no accessibility validator detects; (c) the spurious character-set entry emitted for the accessibility subset is stripped after rendering, because the format does not require it and it fails validation for some fonts while passing for others, so the build looks healthy until somebody changes the typeface; and (d) signing is invisible, with the visible signature block drawn as tagged page content. PLN-28 is the test that enforces all four. Replaceability here is not housekeeping: it is what makes the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default survivable if the written answer goes the other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Text recovery from an issued document rests on two mechanisms and both are mandatory; neither is a substitute for the other.</w:t>
            </w:r>
            <w:r>
              <w:rPr>
                <w:rFonts w:ascii="Calibri" w:cs="Calibri" w:eastAsia="Calibri" w:hAnsi="Calibri"/>
                <w:color w:val="1A1A1A"/>
                <w:sz w:val="18"/>
                <w:szCs w:val="18"/>
              </w:rPr>
              <w:t xml:space="preserve"> (a) The shaping engine attributes each cluster's original code points to the first glyph of that cluster, so the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 is built from logical order instead of from the glyph order that shaping produces. This was checked in the emitted map rather than assumed: </w:t>
            </w:r>
            <w:r>
              <w:rPr>
                <w:rFonts w:ascii="Consolas" w:cs="Consolas" w:eastAsia="Consolas" w:hAnsi="Consolas"/>
                <w:color w:val="1A1A1A"/>
                <w:sz w:val="18"/>
                <w:szCs w:val="18"/>
                <w:shd w:fill="F4F4F4" w:val="clear"/>
              </w:rPr>
              <w:t xml:space="preserve">&lt;0c1f 0c4d 0c1f 0c41&gt;</w:t>
            </w:r>
            <w:r>
              <w:rPr>
                <w:rFonts w:ascii="Calibri" w:cs="Calibri" w:eastAsia="Calibri" w:hAnsi="Calibri"/>
                <w:color w:val="1A1A1A"/>
                <w:sz w:val="18"/>
                <w:szCs w:val="18"/>
              </w:rPr>
              <w:t xml:space="preserve"> for the whole ట్టు cluster, </w:t>
            </w:r>
            <w:r>
              <w:rPr>
                <w:rFonts w:ascii="Consolas" w:cs="Consolas" w:eastAsia="Consolas" w:hAnsi="Consolas"/>
                <w:color w:val="1A1A1A"/>
                <w:sz w:val="18"/>
                <w:szCs w:val="18"/>
                <w:shd w:fill="F4F4F4" w:val="clear"/>
              </w:rPr>
              <w:t xml:space="preserve">&lt;0930 094d 0921&gt;</w:t>
            </w:r>
            <w:r>
              <w:rPr>
                <w:rFonts w:ascii="Calibri" w:cs="Calibri" w:eastAsia="Calibri" w:hAnsi="Calibri"/>
                <w:color w:val="1A1A1A"/>
                <w:sz w:val="18"/>
                <w:szCs w:val="18"/>
              </w:rPr>
              <w:t xml:space="preserve"> for the र ् ड of बोर्ड, which keeps its virama. (b) Every Indic run is additionally wrapped in a marked-content span carrying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holding the logical string, encoded UTF-16BE with a byte-order mark — the span ARC-17(b) requires — because a conforming reader prefers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over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Why both, stated plainly because it is the kind of thing a later developer will otherwise simplify away: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maps a glyph to a string, so a glyph that begins two different clusters can carry only one mapping, and in శ్రీ ధర్మవరం the glyph ర begins both ర్మ and రం — one of the two is unavoidably lost. That is a structural limit of the PDF format, not a defect in the shaping engine, and it is exactly why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is the authoritative mechanism. Measured with (a) absent, the library as shipped extracts बोर्ड as बोरड with the virama silently dropped, पट्टु as पटु्ट and मूर्ति as मूरि्त, leaving the certificate unsearchable, uncopyable and read aloud in the wrong character order — the substance of NFR-70 and NFR-93, not a cosmetic detail. veraPDF passes a file carrying this defect and no accessibility validator detects it, so PLN-28's character-for-character comparison of the extracted text against the strings that went in is the only check that will.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faces used by the document component are </w:t>
            </w:r>
            <w:r>
              <w:rPr>
                <w:rFonts w:ascii="Calibri" w:cs="Calibri" w:eastAsia="Calibri" w:hAnsi="Calibri"/>
                <w:b/>
                <w:bCs/>
                <w:color w:val="1A1A1A"/>
                <w:sz w:val="18"/>
                <w:szCs w:val="18"/>
              </w:rPr>
              <w:t xml:space="preserve">Noto Sans, Noto Sans Telugu and Noto Sans Devanagari, all three under the SIL Open Font License 1.1</w:t>
            </w:r>
            <w:r>
              <w:rPr>
                <w:rFonts w:ascii="Calibri" w:cs="Calibri" w:eastAsia="Calibri" w:hAnsi="Calibri"/>
                <w:color w:val="1A1A1A"/>
                <w:sz w:val="18"/>
                <w:szCs w:val="18"/>
              </w:rPr>
              <w:t xml:space="preserve">, held in the repository beside the code with their </w:t>
            </w:r>
            <w:r>
              <w:rPr>
                <w:rFonts w:ascii="Consolas" w:cs="Consolas" w:eastAsia="Consolas" w:hAnsi="Consolas"/>
                <w:color w:val="1A1A1A"/>
                <w:sz w:val="18"/>
                <w:szCs w:val="18"/>
                <w:shd w:fill="F4F4F4" w:val="clear"/>
              </w:rPr>
              <w:t xml:space="preserve">OFL.txt</w:t>
            </w:r>
            <w:r>
              <w:rPr>
                <w:rFonts w:ascii="Calibri" w:cs="Calibri" w:eastAsia="Calibri" w:hAnsi="Calibri"/>
                <w:color w:val="1A1A1A"/>
                <w:sz w:val="18"/>
                <w:szCs w:val="18"/>
              </w:rPr>
              <w:t xml:space="preserve">. The Latin face belongs in that list for a reason that is easy to miss and was found by measurement: ARC-52 rules out the standard fonts a PDF library offers by default, because they cannot be embedded, so the English text, the numerals and the punctuation on a certificate need a vendored face exactly as the Telugu and the Devanagari do. The three were chosen on two grounds that are requirements rather than taste: the licence is compatible with handing the source and its assets to Central Silk Board as its property (ARC-46), and the files vendor cleanly with nothing to fetch or compile at install time (ARC-16). </w:t>
            </w:r>
            <w:r>
              <w:rPr>
                <w:rFonts w:ascii="Calibri" w:cs="Calibri" w:eastAsia="Calibri" w:hAnsi="Calibri"/>
                <w:b/>
                <w:bCs/>
                <w:color w:val="1A1A1A"/>
                <w:sz w:val="18"/>
                <w:szCs w:val="18"/>
              </w:rPr>
              <w:t xml:space="preserve">The fonts are part of the configuration recorded under ARC-06, not interchangeable assets.</w:t>
            </w:r>
            <w:r>
              <w:rPr>
                <w:rFonts w:ascii="Calibri" w:cs="Calibri" w:eastAsia="Calibri" w:hAnsi="Calibri"/>
                <w:color w:val="1A1A1A"/>
                <w:sz w:val="18"/>
                <w:szCs w:val="18"/>
              </w:rPr>
              <w:t xml:space="preserve"> The shaping failure recorded in §24.4 reproduces against these faces and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reproduce against the Telugu faces that ship with macOS, and the subset defect of ARC-49 failed for one Telugu face while others passed. Every result in §24.4, and every pass of PLN-28, is therefore a statement about named font files. Substituting or upgrading a face is a change under NFR-114 that requires PLN-28 to be re-run and its shaping golden file regenerated before the change is accepted; a report template must never fall back to whatever face the server happens to have installed.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known defect in a third-party library, recorded with a named workaround so that it is not rediscovered.</w:t>
            </w:r>
            <w:r>
              <w:rPr>
                <w:rFonts w:ascii="Calibri" w:cs="Calibri" w:eastAsia="Calibri" w:hAnsi="Calibri"/>
                <w:color w:val="1A1A1A"/>
                <w:sz w:val="18"/>
                <w:szCs w:val="18"/>
              </w:rPr>
              <w:t xml:space="preserve"> Asking pdfkit 0.19.1 for the accessibility subset sets an internal flag that its font code reads as a request for the archival subset, so it emits a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built only from the glyphs actually drawn while the subsetter writes the further glyphs those glyphs depend on. The two disagree and veraPDF then fails rule 7.21.4.2-2. The failure is </w:t>
            </w:r>
            <w:r>
              <w:rPr>
                <w:rFonts w:ascii="Calibri" w:cs="Calibri" w:eastAsia="Calibri" w:hAnsi="Calibri"/>
                <w:b/>
                <w:bCs/>
                <w:color w:val="1A1A1A"/>
                <w:sz w:val="18"/>
                <w:szCs w:val="18"/>
              </w:rPr>
              <w:t xml:space="preserve">font-dependent</w:t>
            </w:r>
            <w:r>
              <w:rPr>
                <w:rFonts w:ascii="Calibri" w:cs="Calibri" w:eastAsia="Calibri" w:hAnsi="Calibri"/>
                <w:color w:val="1A1A1A"/>
                <w:sz w:val="18"/>
                <w:szCs w:val="18"/>
              </w:rPr>
              <w:t xml:space="preserve"> — one Telugu face failed with 23 glyphs in the subset and only 15 marked in the set, other faces passed — which is why ARC-48 fixes the font, and why the build looks healthy until somebody changes it.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is not required by PDF/UA at all; it is required only by the archival profile that flag belongs to. The workaround is the one ARC-17(c) already mandates, and it is done one of two ways: strip the entry from the rendered file in post-processing, or patch the single line in the vendored copy of the library. Which was done is recorded in the technical manual. The defect has not been reported upstream, so no fixed release may be assumed: the workaround stays until somebody removes it deliberately and PLN-28's validator run still passes.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 issued document has to declare its own conformance, and a declaration needs something to declare.</w:t>
            </w:r>
            <w:r>
              <w:rPr>
                <w:rFonts w:ascii="Calibri" w:cs="Calibri" w:eastAsia="Calibri" w:hAnsi="Calibri"/>
                <w:color w:val="1A1A1A"/>
                <w:sz w:val="18"/>
                <w:szCs w:val="18"/>
              </w:rPr>
              <w:t xml:space="preserve"> Two catalogue-level entries are mandatory, and the first build of the document component was measured failing both. First, the catalogue carries an XMP metadata stream holding the PDF/UA identification schema, </w:t>
            </w:r>
            <w:r>
              <w:rPr>
                <w:rFonts w:ascii="Consolas" w:cs="Consolas" w:eastAsia="Consolas" w:hAnsi="Consolas"/>
                <w:color w:val="1A1A1A"/>
                <w:sz w:val="18"/>
                <w:szCs w:val="18"/>
                <w:shd w:fill="F4F4F4" w:val="clear"/>
              </w:rPr>
              <w:t xml:space="preserve">pdfuaid:part</w:t>
            </w:r>
            <w:r>
              <w:rPr>
                <w:rFonts w:ascii="Calibri" w:cs="Calibri" w:eastAsia="Calibri" w:hAnsi="Calibri"/>
                <w:color w:val="1A1A1A"/>
                <w:sz w:val="18"/>
                <w:szCs w:val="18"/>
              </w:rPr>
              <w:t xml:space="preserve"> set to 1. Without it veraPDF 1.30.2 fails ISO 14289-1 clause 7.1 test 8 and rejects the file however correct its structure tree, its tagging and its text layer are; conformance that the file does not claim does not exist as far as a checker or an assistive reader is concerned. Second, </w:t>
            </w:r>
            <w:r>
              <w:rPr>
                <w:rFonts w:ascii="Consolas" w:cs="Consolas" w:eastAsia="Consolas" w:hAnsi="Consolas"/>
                <w:color w:val="1A1A1A"/>
                <w:sz w:val="18"/>
                <w:szCs w:val="18"/>
                <w:shd w:fill="F4F4F4" w:val="clear"/>
              </w:rPr>
              <w:t xml:space="preserve">ViewerPreferences</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DisplayDocTitle</w:t>
            </w:r>
            <w:r>
              <w:rPr>
                <w:rFonts w:ascii="Calibri" w:cs="Calibri" w:eastAsia="Calibri" w:hAnsi="Calibri"/>
                <w:color w:val="1A1A1A"/>
                <w:sz w:val="18"/>
                <w:szCs w:val="18"/>
              </w:rPr>
              <w:t xml:space="preserve"> set to true, which is clause 7.1 test 10,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document carries a real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 because that entry only tells the reader to show the title in place of the file name, and a document with no title has nothing to show. The consequence for this system is concrete: a certificate is given a title naming what it is, report number and issuing unit, as part of rendering rather than as an optional flourish, and a report issued with an empty title is non-conforming. Both entries are written by the document component of ARC-17 for every document it produces, drafts included, so that the issued and the unissued paths cannot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run of text declares the language it is written in, and one declaration at the top of the document is not enough.</w:t>
            </w:r>
            <w:r>
              <w:rPr>
                <w:rFonts w:ascii="Calibri" w:cs="Calibri" w:eastAsia="Calibri" w:hAnsi="Calibri"/>
                <w:color w:val="1A1A1A"/>
                <w:sz w:val="18"/>
                <w:szCs w:val="18"/>
              </w:rPr>
              <w:t xml:space="preserve"> Two separate rules apply: the natural language of the page content must be determinable, ISO 14289-1 clause 7.2 test 34, and the natural language of the text inside each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span must be determinable, clause 7.2 test 30. Both were measured as failures on the built component once the earlier defects were cleared, and the second is the one most easily got wrong here, because a silk testing certificate carries English, Telugu and Devanagari </w:t>
            </w:r>
            <w:r>
              <w:rPr>
                <w:rFonts w:ascii="Calibri" w:cs="Calibri" w:eastAsia="Calibri" w:hAnsi="Calibri"/>
                <w:b/>
                <w:bCs/>
                <w:color w:val="1A1A1A"/>
                <w:sz w:val="18"/>
                <w:szCs w:val="18"/>
              </w:rPr>
              <w:t xml:space="preserve">on one page</w:t>
            </w:r>
            <w:r>
              <w:rPr>
                <w:rFonts w:ascii="Calibri" w:cs="Calibri" w:eastAsia="Calibri" w:hAnsi="Calibri"/>
                <w:color w:val="1A1A1A"/>
                <w:sz w:val="18"/>
                <w:szCs w:val="18"/>
              </w:rPr>
              <w:t xml:space="preserve">. A single document-level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cannot answer for all three: whichever value it holds, the other two scripts are mis-declared, and an assistive reader then pronounces them as that language. The rule is therefore that the catalogue carries a document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for the prevailing language, and every marked-content span emitted under ARC-47(b) additionally carries its own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for the run inside it. The document component enforces this at the point of the call rather than at the end of the build: it </w:t>
            </w:r>
            <w:r>
              <w:rPr>
                <w:rFonts w:ascii="Calibri" w:cs="Calibri" w:eastAsia="Calibri" w:hAnsi="Calibri"/>
                <w:b/>
                <w:bCs/>
                <w:color w:val="1A1A1A"/>
                <w:sz w:val="18"/>
                <w:szCs w:val="18"/>
              </w:rPr>
              <w:t xml:space="preserve">refuses to write Indic text without an explicit language</w:t>
            </w:r>
            <w:r>
              <w:rPr>
                <w:rFonts w:ascii="Calibri" w:cs="Calibri" w:eastAsia="Calibri" w:hAnsi="Calibri"/>
                <w:color w:val="1A1A1A"/>
                <w:sz w:val="18"/>
                <w:szCs w:val="18"/>
              </w:rPr>
              <w:t xml:space="preserve">, because a missing language is a validation failure two rules deep in a tool that runs last, and a refused call is discovered immediately by the developer who wrote it. Language is an argument to the text-drawing interface, not a template setting.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font program used in an issued document is embedded in it, which rules out the fonts a PDF library gives away for free.</w:t>
            </w:r>
            <w:r>
              <w:rPr>
                <w:rFonts w:ascii="Calibri" w:cs="Calibri" w:eastAsia="Calibri" w:hAnsi="Calibri"/>
                <w:color w:val="1A1A1A"/>
                <w:sz w:val="18"/>
                <w:szCs w:val="18"/>
              </w:rPr>
              <w:t xml:space="preserve"> ISO 14289-1 clause 7.21.4.1 test 1 requires embedding for every font, and the fourteen standard fonts a reader is assumed to have — Helvetica, Times, Courier and the rest — </w:t>
            </w:r>
            <w:r>
              <w:rPr>
                <w:rFonts w:ascii="Calibri" w:cs="Calibri" w:eastAsia="Calibri" w:hAnsi="Calibri"/>
                <w:b/>
                <w:bCs/>
                <w:color w:val="1A1A1A"/>
                <w:sz w:val="18"/>
                <w:szCs w:val="18"/>
              </w:rPr>
              <w:t xml:space="preserve">cannot</w:t>
            </w:r>
            <w:r>
              <w:rPr>
                <w:rFonts w:ascii="Calibri" w:cs="Calibri" w:eastAsia="Calibri" w:hAnsi="Calibri"/>
                <w:color w:val="1A1A1A"/>
                <w:sz w:val="18"/>
                <w:szCs w:val="18"/>
              </w:rPr>
              <w:t xml:space="preserve"> be embedded, because a library ships their metrics and not their font programs. pdfkit draws in Helvetica unless told otherwise, so one line of Latin text set without choosing a face is enough to fail PDF/UA outright: measured, and the reason a document whose Indic handling was already faultless still failed. Latin text needs a vendored face on exactly the same footing as Telugu and Devanagari, which is why Noto Sans has been vendored for it under ARC-48. The rule for the code follows from that and is worth stating plainly, because the failure is silent at the point it is caused: the document component never relies on a default font, sets an embedded face explicitly for every run it draws, and treats an unregistered face as an error rather than falling back to one. Numerals, punctuation, the English half of a bilingual certificate and the signature block are all covered by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Conformance is asserted on the file the customer actually receives, which is the signed one.</w:t>
            </w:r>
            <w:r>
              <w:rPr>
                <w:rFonts w:ascii="Calibri" w:cs="Calibri" w:eastAsia="Calibri" w:hAnsi="Calibri"/>
                <w:color w:val="1A1A1A"/>
                <w:sz w:val="18"/>
                <w:szCs w:val="18"/>
              </w:rPr>
              <w:t xml:space="preserve"> A signature is applied as an incremental update — the original bytes are kept and a further revision is appended — so a validator run made before signing says nothing about the document that leaves the laboratory. The acceptance test of PLN-28 therefore validates twice, once unsigned and once after the same file has been signed, and both runs must pass with no failed rule. Measured on the built component, both do: 106 of 106 rules, reported compliant, unsigned and signed alike. The validator is </w:t>
            </w:r>
            <w:r>
              <w:rPr>
                <w:rFonts w:ascii="Calibri" w:cs="Calibri" w:eastAsia="Calibri" w:hAnsi="Calibri"/>
                <w:b/>
                <w:bCs/>
                <w:color w:val="1A1A1A"/>
                <w:sz w:val="18"/>
                <w:szCs w:val="18"/>
              </w:rPr>
              <w:t xml:space="preserve">veraPDF 1.30.2, profile ua1</w:t>
            </w:r>
            <w:r>
              <w:rPr>
                <w:rFonts w:ascii="Calibri" w:cs="Calibri" w:eastAsia="Calibri" w:hAnsi="Calibri"/>
                <w:color w:val="1A1A1A"/>
                <w:sz w:val="18"/>
                <w:szCs w:val="18"/>
              </w:rPr>
              <w:t xml:space="preserve">, pinned and named beside the test as ARC-30 requires. It is a Java program and needs Java 11 or later, and that runtime is a </w:t>
            </w:r>
            <w:r>
              <w:rPr>
                <w:rFonts w:ascii="Calibri" w:cs="Calibri" w:eastAsia="Calibri" w:hAnsi="Calibri"/>
                <w:b/>
                <w:bCs/>
                <w:color w:val="1A1A1A"/>
                <w:sz w:val="18"/>
                <w:szCs w:val="18"/>
              </w:rPr>
              <w:t xml:space="preserve">build-machine dependency only</w:t>
            </w:r>
            <w:r>
              <w:rPr>
                <w:rFonts w:ascii="Calibri" w:cs="Calibri" w:eastAsia="Calibri" w:hAnsi="Calibri"/>
                <w:color w:val="1A1A1A"/>
                <w:sz w:val="18"/>
                <w:szCs w:val="18"/>
              </w:rPr>
              <w:t xml:space="preserve">: it is never installed on the laboratory server, never invoked when a report is issued, and therefore does not enlarge the offline dependency tree that ARC-16 governs. That last point is recorded here deliberately, because the next person to read ARC-16 will otherwise assume a Java runtime has to be vendored for the unit, and it does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 The document acceptance test of PLN-28 runs in that same job from the day the document component exists — PDF/UA validation of a generated report, the extracted Indic text compared character for character against the logical strings that went in, and the shaping golden file — because each defect it catches is invisible to a person reading the output, and the middle one is invisible to every validator as well. No report template is merged on the strength of a visual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or advance — supports part payments and running 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 the library choice is now made and tested (§24.4), but the structure tree is hand-built, so the very first template must be written tag-first and no later pass can retrofit it (NFR-70, NFR-93, ARC-17, PLN-28);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task recorded here — determining an external accounting system's language, framework, database and integration surface — is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the unit runs no such system, so there is nothing to determine and nothing to build inside (ARC-13, ARC-14). In its place: get that confirmed in writing by the Unit Incharge, and record how the unit's accounts wing keeps the money records today — which books and registers the money passes through, how invoice and receipt numbers are allocated in them, and who does that work. Phase 2 must issue invoices and receipts that do not collide with numbers those books already carry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-T15), and it allocates them itself, because the laboratory system owns its customer master, its invoice numbering and its stock records (M22-17).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Indic text and tagged-PDF acceptance test. It is written, it is in the build, and it passes: conformance is now demonstrated rather than assumed.</w:t>
            </w:r>
            <w:r>
              <w:rPr>
                <w:rFonts w:ascii="Calibri" w:cs="Calibri" w:eastAsia="Calibri" w:hAnsi="Calibri"/>
                <w:color w:val="1A1A1A"/>
                <w:sz w:val="18"/>
                <w:szCs w:val="18"/>
              </w:rPr>
              <w:t xml:space="preserve"> It was written before the document component's layout code, as this item always required, which is why the defects it found cost about a day instead of a rewrite. It renders a single page carrying ప్రయోగశాల, శ్రీ ధర్మవరం, కీర్తి, మూర్తి, ప్రు, పట్టు and केंद्रीय रेशम बोर्ड — English, Telugu and Devanagari together on one page, because that is what an issued certificate carries, and a test page carrying only one script hides a whole class of defect — and asserts four things: that rendering throws no exception; that the glyph identifiers and advances written into the page's content stream are exactly what harfbuzzjs returns for the same string in the same font, held as a golden file so that a change in shaping is visible rather than silent; that every one of those strings is found, in logical order, by a plain text search of the text extracted back out of the finished file; and that </w:t>
            </w:r>
            <w:r>
              <w:rPr>
                <w:rFonts w:ascii="Consolas" w:cs="Consolas" w:eastAsia="Consolas" w:hAnsi="Consolas"/>
                <w:color w:val="1A1A1A"/>
                <w:sz w:val="18"/>
                <w:szCs w:val="18"/>
                <w:shd w:fill="F4F4F4" w:val="clear"/>
              </w:rPr>
              <w:t xml:space="preserve">veraPDF -f ua1</w:t>
            </w:r>
            <w:r>
              <w:rPr>
                <w:rFonts w:ascii="Calibri" w:cs="Calibri" w:eastAsia="Calibri" w:hAnsi="Calibri"/>
                <w:color w:val="1A1A1A"/>
                <w:sz w:val="18"/>
                <w:szCs w:val="18"/>
              </w:rPr>
              <w:t xml:space="preserve"> passes that file with no failed rule. It then applies the digital signature to the same file and runs all four assertions again against the signed file, adding a check that the signature's byte range still covers the whole document. Signing is an </w:t>
            </w:r>
            <w:r>
              <w:rPr>
                <w:rFonts w:ascii="Calibri" w:cs="Calibri" w:eastAsia="Calibri" w:hAnsi="Calibri"/>
                <w:b/>
                <w:bCs/>
                <w:color w:val="1A1A1A"/>
                <w:sz w:val="18"/>
                <w:szCs w:val="18"/>
              </w:rPr>
              <w:t xml:space="preserve">incremental update</w:t>
            </w:r>
            <w:r>
              <w:rPr>
                <w:rFonts w:ascii="Calibri" w:cs="Calibri" w:eastAsia="Calibri" w:hAnsi="Calibri"/>
                <w:color w:val="1A1A1A"/>
                <w:sz w:val="18"/>
                <w:szCs w:val="18"/>
              </w:rPr>
              <w:t xml:space="preserve">: it appends to the file rather than rewriting it, so a validator run made before signing says nothing about the document a customer actually receives, and only the signed run is evidence. </w:t>
            </w:r>
            <w:r>
              <w:rPr>
                <w:rFonts w:ascii="Calibri" w:cs="Calibri" w:eastAsia="Calibri" w:hAnsi="Calibri"/>
                <w:b/>
                <w:bCs/>
                <w:color w:val="1A1A1A"/>
                <w:sz w:val="18"/>
                <w:szCs w:val="18"/>
              </w:rPr>
              <w:t xml:space="preserve">The measured result, on the built document component: veraPDF 1.30.2, profile ua1, 106 of 106 rules, `isCompliant="true"` — unsigned and signed alike.</w:t>
            </w:r>
            <w:r>
              <w:rPr>
                <w:rFonts w:ascii="Calibri" w:cs="Calibri" w:eastAsia="Calibri" w:hAnsi="Calibri"/>
                <w:color w:val="1A1A1A"/>
                <w:sz w:val="18"/>
                <w:szCs w:val="18"/>
              </w:rPr>
              <w:t xml:space="preserve"> The reason this test stays in the build for the life of the system is recorded here, where a developer looking to make the build faster will read it. This specification, following the wider literature, carried the claim that the layout library passes PDF/UA-1. Run against our own document it did not: it failed four rules across twenty-five checks, and repairing those four exposed two further failures that are only reachable once the first four are gone. Six defects, then, sat between a document that already had a complete structure tree, correct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and byte-perfect shaping — everything ARC-47 asks for, checked in the emitted file rather than assumed — and a document that actually conforms. Not one of the six shows on the printed page, and not one of them was going to be found by reading the code; they were found by running the validator over a file everybody believed was finished. Each is now recorded as its own requirement in §24.4 and is not restated here; one of them is ARC-49, which this run confirms is real and whose workaround it confirms works. The default shaping engine </w:t>
            </w:r>
            <w:r>
              <w:rPr>
                <w:rFonts w:ascii="Calibri" w:cs="Calibri" w:eastAsia="Calibri" w:hAnsi="Calibri"/>
                <w:b/>
                <w:bCs/>
                <w:color w:val="1A1A1A"/>
                <w:sz w:val="18"/>
                <w:szCs w:val="18"/>
              </w:rPr>
              <w:t xml:space="preserve">throws</w:t>
            </w:r>
            <w:r>
              <w:rPr>
                <w:rFonts w:ascii="Calibri" w:cs="Calibri" w:eastAsia="Calibri" w:hAnsi="Calibri"/>
                <w:color w:val="1A1A1A"/>
                <w:sz w:val="18"/>
                <w:szCs w:val="18"/>
              </w:rPr>
              <w:t xml:space="preserve"> on ordinary Telugu rather than mis-setting it, so the failure is a crashed report, not an ugly one — which is why the shaping engine is a named, deliberate choice in §24.4 rather than whatever the layout library ships with. The text layer is built after shaping and so comes out in </w:t>
            </w:r>
            <w:r>
              <w:rPr>
                <w:rFonts w:ascii="Calibri" w:cs="Calibri" w:eastAsia="Calibri" w:hAnsi="Calibri"/>
                <w:b/>
                <w:bCs/>
                <w:color w:val="1A1A1A"/>
                <w:sz w:val="18"/>
                <w:szCs w:val="18"/>
              </w:rPr>
              <w:t xml:space="preserve">visual</w:t>
            </w:r>
            <w:r>
              <w:rPr>
                <w:rFonts w:ascii="Calibri" w:cs="Calibri" w:eastAsia="Calibri" w:hAnsi="Calibri"/>
                <w:color w:val="1A1A1A"/>
                <w:sz w:val="18"/>
                <w:szCs w:val="18"/>
              </w:rPr>
              <w:t xml:space="preserve"> rather than logical order, which leaves the certificate unsearchable, uncopyable and read aloud in the wrong character order — the substance of NFR-70 and NFR-93, not a cosmetic detail — and no accessibility validator detects it. And a font-subset side table that the format does not require can fail validation for one typeface while another passes, so the build looks healthy until somebody changes the font. This one test is also the only thing that will catch any of these coming back from a dependency upgrade in five years' time, made by someone who is not this developer. Pin the exact versions it was written against — pdfkit 0.19.1, harfbuzzjs 1.6.0 and veraPDF 1.30.2 — name them beside the test, and vendor them offline per ARC-16. </w:t>
            </w:r>
            <w:r>
              <w:rPr>
                <w:rFonts w:ascii="Calibri" w:cs="Calibri" w:eastAsia="Calibri" w:hAnsi="Calibri"/>
                <w:b/>
                <w:bCs/>
                <w:color w:val="1A1A1A"/>
                <w:sz w:val="18"/>
                <w:szCs w:val="18"/>
              </w:rPr>
              <w:t xml:space="preserve">The validator is a build-machine tool and belongs nowhere else</w:t>
            </w:r>
            <w:r>
              <w:rPr>
                <w:rFonts w:ascii="Calibri" w:cs="Calibri" w:eastAsia="Calibri" w:hAnsi="Calibri"/>
                <w:color w:val="1A1A1A"/>
                <w:sz w:val="18"/>
                <w:szCs w:val="18"/>
              </w:rPr>
              <w:t xml:space="preserve"> — the development machine and the ARC-30 continuous integration job, never the laboratory server, for the reason ARC-53 records. It cost about a day, inside PLN-09's setup week.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the 20 regression worksheets in hand, and the PLN-28 text-and-tagging test running green in the build.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ARC-16 to ARC-32, ARC-33 to ARC-53; DB-01 to DB-26, DB-28 to DB-35, DB-38, DB-41, DB-43, DB-45.</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with the impact-analysis records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only if a trusted timestamp is ever applied at all, which under the </w:t>
      </w:r>
      <w:r>
        <w:rPr>
          <w:rFonts w:ascii="Calibri" w:cs="Calibri" w:eastAsia="Calibri" w:hAnsi="Calibri"/>
          <w:b/>
          <w:bCs/>
          <w:color w:val="2E4A62"/>
        </w:rPr>
        <w:t xml:space="preserve">OPEN-Q</w:t>
      </w:r>
      <w:r>
        <w:rPr>
          <w:rFonts w:ascii="Calibri" w:cs="Calibri" w:eastAsia="Calibri" w:hAnsi="Calibri"/>
          <w:color w:val="1A1A1A"/>
        </w:rPr>
        <w:t xml:space="preserve">-T31 default it is not — the rule is kept dormant rather than dropped, and §23.5 records what would bring it back.</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asset and depreciation tabs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whose impact-analysis records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swapped in behind the ARC-17 signing interface in place of the development key file, and producing a basic valid PAdES signature — </w:t>
      </w:r>
      <w:r>
        <w:rPr>
          <w:rFonts w:ascii="Calibri" w:cs="Calibri" w:eastAsia="Calibri" w:hAnsi="Calibri"/>
          <w:b/>
          <w:bCs/>
          <w:color w:val="1A1A1A"/>
        </w:rPr>
        <w:t xml:space="preserve">not</w:t>
      </w:r>
      <w:r>
        <w:rPr>
          <w:rFonts w:ascii="Calibri" w:cs="Calibri" w:eastAsia="Calibri" w:hAnsi="Calibri"/>
          <w:color w:val="1A1A1A"/>
        </w:rPr>
        <w:t xml:space="preserve"> long-term validation, which the </w:t>
      </w:r>
      <w:r>
        <w:rPr>
          <w:rFonts w:ascii="Calibri" w:cs="Calibri" w:eastAsia="Calibri" w:hAnsi="Calibri"/>
          <w:b/>
          <w:bCs/>
          <w:color w:val="2E4A62"/>
        </w:rPr>
        <w:t xml:space="preserve">OPEN-Q</w:t>
      </w:r>
      <w:r>
        <w:rPr>
          <w:rFonts w:ascii="Calibri" w:cs="Calibri" w:eastAsia="Calibri" w:hAnsi="Calibri"/>
          <w:color w:val="1A1A1A"/>
        </w:rPr>
        <w:t xml:space="preserve">-T31 default puts out of scope, and which if it is ever required arrives as a replacement signing implementation rather than as an addition to this one);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 with its tagged structure still intact after signing.</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and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decides the whole technology stack (ARC-13, ARC-14). Getting it wrong means either a rewrite or two systems that both claim to own the customer address; with nothing to be built inside, §24.4's recommendations apply in full.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the written confirmation is a Phase 0 task</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agreed in writing before any connector is switched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 if such a system is ever mandated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for Phase 1; the future split is not 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confirmed in writing by the Quality Manager or by NABL, and this document does not assert an unconfirmed answer.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basic valid signature (PAdES B-B) is reachable on the chosen stack. Long-term validation is not, and it cannot sit on the report-issue path in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language, because it needs a revocation check against the Certifying Authority and an RFC 3161 round trip to a timestamping authority — network calls outside the laboratory, which M8-46 and NFR-32 forbid on that path. This is a property of the requirement, not a limitation of the language. </w:t>
            </w:r>
            <w:r>
              <w:rPr>
                <w:rFonts w:ascii="Calibri" w:cs="Calibri" w:eastAsia="Calibri" w:hAnsi="Calibri"/>
                <w:b/>
                <w:bCs/>
                <w:color w:val="1A1A1A"/>
                <w:sz w:val="18"/>
                <w:szCs w:val="18"/>
              </w:rPr>
              <w:t xml:space="preserve">If the answer turns out to be long-term validation</w:t>
            </w:r>
            <w:r>
              <w:rPr>
                <w:rFonts w:ascii="Calibri" w:cs="Calibri" w:eastAsia="Calibri" w:hAnsi="Calibri"/>
                <w:color w:val="1A1A1A"/>
                <w:sz w:val="18"/>
                <w:szCs w:val="18"/>
              </w:rPr>
              <w:t xml:space="preserve">, every certificate issued in the meantime has to be re-signed, or given an added long-term-validation copy after the fact under NFR-121 — which is why the question is put before the first report is issued rather than after.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with NABL, in writing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blocking on the default; the written confirmation is a Phase 0 task (PLN-04, PLN-06)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a standalone laboratory system</dc:description>
  <cp:lastModifiedBy>Un-named</cp:lastModifiedBy>
  <cp:revision>1</cp:revision>
  <dcterms:created xsi:type="dcterms:W3CDTF">2026-08-20T03:54:33.770Z</dcterms:created>
  <dcterms:modified xsi:type="dcterms:W3CDTF">2026-08-20T03:54:33.774Z</dcterms:modified>
</cp:coreProperties>
</file>

<file path=docProps/custom.xml><?xml version="1.0" encoding="utf-8"?>
<Properties xmlns="http://schemas.openxmlformats.org/officeDocument/2006/custom-properties" xmlns:vt="http://schemas.openxmlformats.org/officeDocument/2006/docPropsVTypes"/>
</file>