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Overview for the Laboratory — what is being built, and what we need you to decide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TTL-BRIEF-v1.0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this is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short version of the full specification, for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to the full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strict subset. Every statement here also appears in TTL-SRS-v1.0, so the two cannot disagree.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Companion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 — the full Software Requirements Specification, for the developer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Compliance requirements are mandatory.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 reproduced in Appendix 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asked of you</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Executive Summary, then answer as many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items in Appendix B as you can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two-day sit-in at the laboratory to watch the real process and collect every existing form and register</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Start with the Executive Summary.</w:t>
      </w:r>
      <w:r>
        <w:rPr>
          <w:rFonts w:ascii="Calibri" w:cs="Calibri" w:eastAsia="Calibri" w:hAnsi="Calibri"/>
          <w:color w:val="1A1A1A"/>
        </w:rPr>
        <w:t xml:space="preserve"> It answers one question: what did the original ten-point note get right, and what needed to change. About fifteen minutes of reading.</w:t>
      </w:r>
    </w:p>
    <w:p>
      <w:pPr>
        <w:pStyle w:val="ListParagraph"/>
        <w:numPr>
          <w:ilvl w:val="0"/>
          <w:numId w:val="2"/>
        </w:numPr>
        <w:spacing w:after="70" w:before="0" w:line="268"/>
      </w:pPr>
      <w:r>
        <w:rPr>
          <w:rFonts w:ascii="Calibri" w:cs="Calibri" w:eastAsia="Calibri" w:hAnsi="Calibri"/>
          <w:b/>
          <w:bCs/>
          <w:color w:val="1A1A1A"/>
        </w:rPr>
        <w:t xml:space="preserve">Part A</w:t>
      </w:r>
      <w:r>
        <w:rPr>
          <w:rFonts w:ascii="Calibri" w:cs="Calibri" w:eastAsia="Calibri" w:hAnsi="Calibri"/>
          <w:color w:val="1A1A1A"/>
        </w:rPr>
        <w:t xml:space="preserve"> describes the laboratory, the goals, who uses the system, and every term used in the document. If a word here is wrong or a role is missing, that is the most valuable correction you can make.</w:t>
      </w:r>
    </w:p>
    <w:p>
      <w:pPr>
        <w:pStyle w:val="ListParagraph"/>
        <w:numPr>
          <w:ilvl w:val="0"/>
          <w:numId w:val="2"/>
        </w:numPr>
        <w:spacing w:after="70" w:before="0" w:line="268"/>
      </w:pPr>
      <w:r>
        <w:rPr>
          <w:rFonts w:ascii="Calibri" w:cs="Calibri" w:eastAsia="Calibri" w:hAnsi="Calibri"/>
          <w:b/>
          <w:bCs/>
          <w:color w:val="1A1A1A"/>
        </w:rPr>
        <w:t xml:space="preserve">Part B</w:t>
      </w:r>
      <w:r>
        <w:rPr>
          <w:rFonts w:ascii="Calibri" w:cs="Calibri" w:eastAsia="Calibri" w:hAnsi="Calibri"/>
          <w:color w:val="1A1A1A"/>
        </w:rPr>
        <w:t xml:space="preserve"> is the important one. It describes how a sample will move through the laboratory, from the counter to the signed certificate. Please check it against how the work actually happens.</w:t>
      </w:r>
    </w:p>
    <w:p>
      <w:pPr>
        <w:pStyle w:val="ListParagraph"/>
        <w:numPr>
          <w:ilvl w:val="0"/>
          <w:numId w:val="2"/>
        </w:numPr>
        <w:spacing w:after="70" w:before="0" w:line="268"/>
      </w:pPr>
      <w:r>
        <w:rPr>
          <w:rFonts w:ascii="Calibri" w:cs="Calibri" w:eastAsia="Calibri" w:hAnsi="Calibri"/>
          <w:b/>
          <w:bCs/>
          <w:color w:val="1A1A1A"/>
        </w:rPr>
        <w:t xml:space="preserve">Appendix A</w:t>
      </w:r>
      <w:r>
        <w:rPr>
          <w:rFonts w:ascii="Calibri" w:cs="Calibri" w:eastAsia="Calibri" w:hAnsi="Calibri"/>
          <w:color w:val="1A1A1A"/>
        </w:rPr>
        <w:t xml:space="preserve"> is your original note, reproduced unchanged, so the two can be compared.</w:t>
      </w:r>
    </w:p>
    <w:p>
      <w:pPr>
        <w:pStyle w:val="ListParagraph"/>
        <w:numPr>
          <w:ilvl w:val="0"/>
          <w:numId w:val="2"/>
        </w:numPr>
        <w:spacing w:after="70" w:before="0" w:line="268"/>
      </w:pPr>
      <w:r>
        <w:rPr>
          <w:rFonts w:ascii="Calibri" w:cs="Calibri" w:eastAsia="Calibri" w:hAnsi="Calibri"/>
          <w:b/>
          <w:bCs/>
          <w:color w:val="1A1A1A"/>
        </w:rPr>
        <w:t xml:space="preserve">Appendix B</w:t>
      </w:r>
      <w:r>
        <w:rPr>
          <w:rFonts w:ascii="Calibri" w:cs="Calibri" w:eastAsia="Calibri" w:hAnsi="Calibri"/>
          <w:color w:val="1A1A1A"/>
        </w:rPr>
        <w:t xml:space="preserve"> lists every question only you can answer. Each has a recommended default, so nothing is waiting on you — but an unchallenged default becomes a decision by accident.</w:t>
      </w:r>
    </w:p>
    <w:p>
      <w:pPr>
        <w:pStyle w:val="ListParagraph"/>
        <w:numPr>
          <w:ilvl w:val="0"/>
          <w:numId w:val="2"/>
        </w:numPr>
        <w:spacing w:after="70" w:before="0" w:line="268"/>
      </w:pPr>
      <w:r>
        <w:rPr>
          <w:rFonts w:ascii="Calibri" w:cs="Calibri" w:eastAsia="Calibri" w:hAnsi="Calibri"/>
          <w:b/>
          <w:bCs/>
          <w:color w:val="1A1A1A"/>
        </w:rPr>
        <w:t xml:space="preserve">You do not need to read the full specification.</w:t>
      </w:r>
      <w:r>
        <w:rPr>
          <w:rFonts w:ascii="Calibri" w:cs="Calibri" w:eastAsia="Calibri" w:hAnsi="Calibri"/>
          <w:color w:val="1A1A1A"/>
        </w:rPr>
        <w:t xml:space="preserve"> It contains the database design, the technical requirements and the build plan, which are the developer's concern.</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built as its own application and connected to CloudZoo ERP, which continues to own customers, invoices, stock and assets.</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integration with CloudZoo ERP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105 questions marked OPEN-Q</w:t>
      </w:r>
      <w:r>
        <w:rPr>
          <w:rFonts w:ascii="Calibri" w:cs="Calibri" w:eastAsia="Calibri" w:hAnsi="Calibri"/>
          <w:color w:val="1A1A1A"/>
        </w:rPr>
        <w:t xml:space="preserve">, each carrying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Does the Limited Test count as accredited?</w:t>
            </w:r>
            <w:r>
              <w:rPr>
                <w:rFonts w:ascii="Calibri" w:cs="Calibri" w:eastAsia="Calibri" w:hAnsi="Calibri"/>
                <w:color w:val="1A1A1A"/>
                <w:sz w:val="18"/>
                <w:szCs w:val="18"/>
              </w:rPr>
              <w:t xml:space="preserve"> (Accreditation and its scope are now both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Limited Test is about 98% of the unit's samples. Whether it falls under the one accredited raw-silk entry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decides whether the accreditation appears on nearly every report or nearly none. It yields both a count and a size deviation, and only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is accredited. Must be answered in writing by the Quality Manager, not assumed.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One question remains, and it is the most valuable one left: *</w:t>
      </w:r>
      <w:r>
        <w:rPr>
          <w:rFonts w:ascii="Calibri" w:cs="Calibri" w:eastAsia="Calibri" w:hAnsi="Calibri"/>
          <w:i/>
          <w:iCs/>
          <w:color w:val="1A1A1A"/>
        </w:rPr>
        <w:t xml:space="preserve">does the Limited Test — roughly 98 per cent of the unit's samples — fall under </w:t>
      </w:r>
      <w:r>
        <w:rPr>
          <w:rFonts w:ascii="Calibri" w:cs="Calibri" w:eastAsia="Calibri" w:hAnsi="Calibri"/>
          <w:color w:val="1A1A1A"/>
        </w:rPr>
        <w:t xml:space="preserve">Raw Silk Yarn / Count / IS 15090 (Part 5)</w:t>
      </w:r>
      <w:r>
        <w:rPr>
          <w:rFonts w:ascii="Calibri" w:cs="Calibri" w:eastAsia="Calibri" w:hAnsi="Calibri"/>
          <w:i/>
          <w:iCs/>
          <w:color w:val="1A1A1A"/>
        </w:rPr>
        <w:t xml:space="preserve">?</w:t>
      </w:r>
      <w:r>
        <w:rPr>
          <w:rFonts w:ascii="Calibri" w:cs="Calibri" w:eastAsia="Calibri" w:hAnsi="Calibri"/>
          <w:i/>
          <w:iCs/>
          <w:color w:val="1A1A1A"/>
        </w:rPr>
        <w:t xml:space="preserve"> The Limited Test yields both a count figure and a size-deviation figure, and the annexure names only </w:t>
      </w:r>
      <w:r>
        <w:rPr>
          <w:rFonts w:ascii="Calibri" w:cs="Calibri" w:eastAsia="Calibri" w:hAnsi="Calibri"/>
          <w:color w:val="1A1A1A"/>
        </w:rPr>
        <w:t xml:space="preserve">Count</w:t>
      </w:r>
      <w:r>
        <w:rPr>
          <w:rFonts w:ascii="Calibri" w:cs="Calibri" w:eastAsia="Calibri" w:hAnsi="Calibri"/>
          <w:i/>
          <w:iCs/>
          <w:color w:val="1A1A1A"/>
        </w:rPr>
        <w:t xml:space="preserve">. The answer decides whether accreditation appears on nearly every report or nearly none. The specification's working assumption is that </w:t>
      </w:r>
      <w:r>
        <w:rPr>
          <w:rFonts w:ascii="Calibri" w:cs="Calibri" w:eastAsia="Calibri" w:hAnsi="Calibri"/>
          <w:color w:val="1A1A1A"/>
        </w:rPr>
        <w:t xml:space="preserve">Count</w:t>
      </w:r>
      <w:r>
        <w:rPr>
          <w:rFonts w:ascii="Calibri" w:cs="Calibri" w:eastAsia="Calibri" w:hAnsi="Calibri"/>
          <w:i/>
          <w:iCs/>
          <w:color w:val="1A1A1A"/>
        </w:rPr>
        <w:t xml:space="preserve"> is inside and </w:t>
      </w:r>
      <w:r>
        <w:rPr>
          <w:rFonts w:ascii="Calibri" w:cs="Calibri" w:eastAsia="Calibri" w:hAnsi="Calibri"/>
          <w:color w:val="1A1A1A"/>
        </w:rPr>
        <w:t xml:space="preserve">size deviation* is outside — which means a split report — but this must be confirmed in writing by the Quality Manager rather than assumed.</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will be built on and alongside CloudZoo ERP ("Enterprise Resource Planning" — the existing business software the implementing developer works with, which already provides customer records, invoicing, inventory and asset handling). This document defines the laboratory layer that sits on top of it.</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and the unit's accounts wing own this.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workflow — indent, sanction, tender, GeM purchase, purchase order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The LIMS records what stock arrived and what it was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(calibration, checks, status). The </w:t>
            </w:r>
            <w:r>
              <w:rPr>
                <w:rFonts w:ascii="Calibri" w:cs="Calibri" w:eastAsia="Calibri" w:hAnsi="Calibri"/>
                <w:b/>
                <w:bCs/>
                <w:color w:val="1A1A1A"/>
                <w:sz w:val="18"/>
                <w:szCs w:val="18"/>
              </w:rPr>
              <w:t xml:space="preserve">financial</w:t>
            </w:r>
            <w:r>
              <w:rPr>
                <w:rFonts w:ascii="Calibri" w:cs="Calibri" w:eastAsia="Calibri" w:hAnsi="Calibri"/>
                <w:color w:val="1A1A1A"/>
                <w:sz w:val="18"/>
                <w:szCs w:val="18"/>
              </w:rPr>
              <w:t xml:space="preserve"> asset register stays where it is. Both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CloudZoo ERP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existing Enterprise Resource Planning software the developer works with, which already provides customer records, invoicing, inventory and asset handling, and on which this laboratory system is built.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Integration with CloudZoo ERP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owns which data, how they exchange it, and the rule that each field has exactly one system of record.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CloudZoo ERP and the accounts wing.</w:t>
      </w:r>
    </w:p>
    <w:p>
      <w:pPr>
        <w:pStyle w:val="ListParagraph"/>
        <w:numPr>
          <w:ilvl w:val="0"/>
          <w:numId w:val="2"/>
        </w:numPr>
        <w:spacing w:after="70" w:before="0" w:line="268"/>
      </w:pPr>
      <w:r>
        <w:rPr>
          <w:rFonts w:ascii="Calibri" w:cs="Calibri" w:eastAsia="Calibri" w:hAnsi="Calibri"/>
          <w:b/>
          <w:bCs/>
          <w:color w:val="1A1A1A"/>
        </w:rPr>
        <w:t xml:space="preserve">Procurement workflow</w:t>
      </w:r>
      <w:r>
        <w:rPr>
          <w:rFonts w:ascii="Calibri" w:cs="Calibri" w:eastAsia="Calibri" w:hAnsi="Calibri"/>
          <w:color w:val="1A1A1A"/>
        </w:rPr>
        <w:t xml:space="preserve"> — indent, sanction, tender, purchase order approval.</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the financial asset register is not.</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CloudZoo ERP)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never posts to accounts,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any invoice or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posts nothing to accounts,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The fixed-asset register (cost, supplier, depreciation, physical verification, condemnation) and the metrological control register (range, interval, calibration result, correction factors, out-of-service status) are two different registers with two different owners. Both are needed; neither replaces the other.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five series are length-constrained — invoice, bill of supply, advance receipt voucher, refund voucher and credit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Never posts to accounts.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What This Buys the Laboratory</w:t>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in CloudZoo ERP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working copy, export to CloudZoo ERP (M22), and treat CloudZoo ERP as the system of record for capitalised cost and depreciation once the integration is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CloudZoo ERP already hold a consumables inventory, and if so does it support lot and expiry tracking?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lot, expiry, certificate and fitness-for-use in the LIMS; send only quantity and value movements to CloudZoo ERP; do not attempt to store expiry in the ERP.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CloudZoo ERP's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web interface is available and design the outbox against it; if only file exchange is possible, M22-15 applies and the same controls are retained. </w:t>
            </w:r>
            <w:r>
              <w:rPr>
                <w:rFonts w:ascii="Calibri" w:cs="Calibri" w:eastAsia="Calibri" w:hAnsi="Calibri"/>
                <w:b/>
                <w:bCs/>
                <w:color w:val="1A1A1A"/>
                <w:sz w:val="18"/>
                <w:szCs w:val="18"/>
              </w:rPr>
              <w:t xml:space="preserve">This is the first question to answer before any integration code is written.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will master the tax invoice number series, and does CloudZoo ERP's existing series already satisfy the consecutive, sixteen-character, financial-year-unique rule?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CloudZoo ERP master the invoice number if its series is already compliant, because the accounting document belongs there; if it is not compliant, the LIMS masters the number and the ERP records it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 CloudZoo ERP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maintain the mapping inside the LIMS with the reconciliation report as the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LIMS to be a module inside CloudZoo ERP, or a separate application with an integration?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application, because the offline requirement, the immutable audit trail, the frozen report files and the enforcement gates are all easier to guarantee in software the laboratory controls; and because it keeps the LIMS alive if the ERP is ever replaced.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CloudZoo ERP already hold a consumables inventory and a fixed-asset register for this unit, with any data in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both exist but are unused for laboratory items; load the LIMS registers first and push to the ERP once the ownership table is agreed with whoever maintains the ERP.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maintains CloudZoo ERP,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named contact and a written note of the interface version in use before integration work starts; without that, build the LIMS to run with the integration switched off (M22-17) and treat the integration as a later phase.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CloudZoo ERP — sharing its database, login and deployment — or is it a separate application that exchanges data with it? And what are CloudZoo's language, framework, database version, and integration surface (application programming interface, or database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w:t>
            </w:r>
            <w:r>
              <w:rPr>
                <w:rFonts w:ascii="Calibri" w:cs="Calibri" w:eastAsia="Calibri" w:hAnsi="Calibri"/>
                <w:b/>
                <w:bCs/>
                <w:color w:val="1A1A1A"/>
                <w:sz w:val="18"/>
                <w:szCs w:val="18"/>
              </w:rPr>
              <w:t xml:space="preserve">separate application</w:t>
            </w:r>
            <w:r>
              <w:rPr>
                <w:rFonts w:ascii="Calibri" w:cs="Calibri" w:eastAsia="Calibri" w:hAnsi="Calibri"/>
                <w:color w:val="1A1A1A"/>
                <w:sz w:val="18"/>
                <w:szCs w:val="18"/>
              </w:rPr>
              <w:t xml:space="preserve"> integrating by a documented interface, with CloudZoo as the system of record for customer identity, tax registration, invoices, receipts and assets, and the laboratory system as the system of record for everything technical.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fields does CloudZoo own and which does the laboratory system own? Specifically: customer master, tax registration, invoice, receipt, tax codes, asset register, consumable 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owns customer identity, invoice, receipt, tax and asset value. The laboratory system owns customer category, blinding token, rate application, calibration status, lot fitness-for-use, and everything else.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bl>
    <w:p>
      <w:pPr>
        <w:spacing w:after="140"/>
      </w:pPr>
      <w:r>
        <w:rPr>
          <w:rFonts w:ascii="Calibri" w:cs="Calibri" w:eastAsia="Calibri" w:hAnsi="Calibri"/>
        </w:rPr>
        <w:t xml:space="preserve"/>
      </w:r>
    </w:p>
    <w:p>
      <w:r>
        <w:br w:type="pag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TTL-BRIEF-v1.0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Overview for the Laboratory</w:t>
    </w:r>
    <w:r>
      <w:ptab w:alignment="right" w:relativeTo="margin" w:leader="none"/>
    </w:r>
    <w:r>
      <w:rPr>
        <w:rFonts w:ascii="Calibri" w:cs="Calibri" w:eastAsia="Calibri" w:hAnsi="Calibri"/>
        <w:color w:val="5A5A5A"/>
        <w:sz w:val="15"/>
        <w:szCs w:val="15"/>
      </w:rPr>
      <w:t xml:space="preserve">TTL-BRIEF-v1.0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Overview for the Laboratory — what is being built, and what we need you to decide</dc:description>
  <cp:lastModifiedBy>Un-named</cp:lastModifiedBy>
  <cp:revision>1</cp:revision>
  <dcterms:created xsi:type="dcterms:W3CDTF">2026-08-19T11:31:32.312Z</dcterms:created>
  <dcterms:modified xsi:type="dcterms:W3CDTF">2026-08-19T11:31:32.313Z</dcterms:modified>
</cp:coreProperties>
</file>

<file path=docProps/custom.xml><?xml version="1.0" encoding="utf-8"?>
<Properties xmlns="http://schemas.openxmlformats.org/officeDocument/2006/custom-properties" xmlns:vt="http://schemas.openxmlformats.org/officeDocument/2006/docPropsVTypes"/>
</file>