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One change of premise: the original note put the customer master in CloudZoo ERP. The unit runs no such system, so this system owns the customer master itself, along with its tax invoice numbering, its receipts and its stock (ARC-14, M22-17); M22 specifies an interface to an accounting system generically and delivers it switched off.</w:t>
            </w:r>
            <w:r>
              <w:rPr>
                <w:rFonts w:ascii="Calibri" w:cs="Calibri" w:eastAsia="Calibri" w:hAnsi="Calibri"/>
                <w:color w:val="1A1A1A"/>
                <w:sz w:val="18"/>
                <w:szCs w:val="18"/>
              </w:rPr>
              <w:t xml:space="preserve"> Beyond that: 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t>
            </w:r>
            <w:r>
              <w:rPr>
                <w:rFonts w:ascii="Calibri" w:cs="Calibri" w:eastAsia="Calibri" w:hAnsi="Calibri"/>
                <w:b/>
                <w:bCs/>
                <w:color w:val="1A1A1A"/>
                <w:sz w:val="18"/>
                <w:szCs w:val="18"/>
              </w:rPr>
              <w:t xml:space="preserve">beyond the laboratory's own indent</w:t>
            </w:r>
            <w:r>
              <w:rPr>
                <w:rFonts w:ascii="Calibri" w:cs="Calibri" w:eastAsia="Calibri" w:hAnsi="Calibri"/>
                <w:color w:val="1A1A1A"/>
                <w:sz w:val="18"/>
                <w:szCs w:val="18"/>
              </w:rPr>
              <w:t xml:space="preserve"> — sanction, tender, GeM purchase, purchase order approval, and payment to the supplier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owned by the unit's accounts wing. The LIMS </w:t>
            </w:r>
            <w:r>
              <w:rPr>
                <w:rFonts w:ascii="Calibri" w:cs="Calibri" w:eastAsia="Calibri" w:hAnsi="Calibri"/>
                <w:b/>
                <w:bCs/>
                <w:color w:val="1A1A1A"/>
                <w:sz w:val="18"/>
                <w:szCs w:val="18"/>
              </w:rPr>
              <w:t xml:space="preserve">does</w:t>
            </w:r>
            <w:r>
              <w:rPr>
                <w:rFonts w:ascii="Calibri" w:cs="Calibri" w:eastAsia="Calibri" w:hAnsi="Calibri"/>
                <w:color w:val="1A1A1A"/>
                <w:sz w:val="18"/>
                <w:szCs w:val="18"/>
              </w:rPr>
              <w:t xml:space="preserve"> raise and approve the laboratory's own purchase indent, with its technical acceptance criteria per line (M12-21), and prints it for that process; it then records what stock arrived and what it was used for. It goes no further down the chain.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beyond the laboratory's own indent</w:t>
      </w:r>
      <w:r>
        <w:rPr>
          <w:rFonts w:ascii="Calibri" w:cs="Calibri" w:eastAsia="Calibri" w:hAnsi="Calibri"/>
          <w:color w:val="1A1A1A"/>
        </w:rPr>
        <w:t xml:space="preserve"> — sanction, tender, purchase order approval and payment to the supplier. The laboratory's own indent, with the technical acceptance criteria against which the goods are checked on receipt, is raised and approved inside the system (M12-21) and printed for the unit's purchasing process.</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creates no charge on the customer ledger,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the customer ledger, the invoice register or the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and no entry on the customer ledger,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This system keeps a </w:t>
      </w:r>
      <w:r>
        <w:rPr>
          <w:rFonts w:ascii="Calibri" w:cs="Calibri" w:eastAsia="Calibri" w:hAnsi="Calibri"/>
          <w:b/>
          <w:bCs/>
          <w:color w:val="1A1A1A"/>
        </w:rPr>
        <w:t xml:space="preserve">working asset record</w:t>
      </w:r>
      <w:r>
        <w:rPr>
          <w:rFonts w:ascii="Calibri" w:cs="Calibri" w:eastAsia="Calibri" w:hAnsi="Calibri"/>
          <w:color w:val="1A1A1A"/>
        </w:rPr>
        <w:t xml:space="preserve"> — supplier, purchase document, cost, date put to use, useful life, physical verification, condemnation reference — alongside the </w:t>
      </w:r>
      <w:r>
        <w:rPr>
          <w:rFonts w:ascii="Calibri" w:cs="Calibri" w:eastAsia="Calibri" w:hAnsi="Calibri"/>
          <w:b/>
          <w:bCs/>
          <w:color w:val="1A1A1A"/>
        </w:rPr>
        <w:t xml:space="preserve">metrological control register</w:t>
      </w:r>
      <w:r>
        <w:rPr>
          <w:rFonts w:ascii="Calibri" w:cs="Calibri" w:eastAsia="Calibri" w:hAnsi="Calibri"/>
          <w:color w:val="1A1A1A"/>
        </w:rPr>
        <w:t xml:space="preserve"> (range, interval, calibration result, correction factors, out-of-service status). What it does not keep is the financial fixed-asset register: capitalisation, depreciation and book value stay with the unit's accounts wing and the parent institute, outside this software. Both records exist; they are not the same register.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six series are length-constrained — invoice, bill of supply, advance receipt voucher, refund voucher, credit note and debit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A demand only: it creates no charge on the customer ledger and no entry in the invoice register.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Debit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DVM/D/2627/0006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 Raised only where the taxable value or the tax charged on an issued invoice was </w:t>
            </w:r>
            <w:r>
              <w:rPr>
                <w:rFonts w:ascii="Calibri" w:cs="Calibri" w:eastAsia="Calibri" w:hAnsi="Calibri"/>
                <w:b/>
                <w:bCs/>
                <w:color w:val="1A1A1A"/>
                <w:sz w:val="18"/>
                <w:szCs w:val="18"/>
              </w:rPr>
              <w:t xml:space="preserve">less</w:t>
            </w:r>
            <w:r>
              <w:rPr>
                <w:rFonts w:ascii="Calibri" w:cs="Calibri" w:eastAsia="Calibri" w:hAnsi="Calibri"/>
                <w:color w:val="1A1A1A"/>
                <w:sz w:val="18"/>
                <w:szCs w:val="18"/>
              </w:rPr>
              <w:t xml:space="preserve"> than what is payable.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debit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2026-08-20T05:28:15.023Z</dcterms:created>
  <dcterms:modified xsi:type="dcterms:W3CDTF">2026-08-20T05:28:15.024Z</dcterms:modified>
</cp:coreProperties>
</file>

<file path=docProps/custom.xml><?xml version="1.0" encoding="utf-8"?>
<Properties xmlns="http://schemas.openxmlformats.org/officeDocument/2006/custom-properties" xmlns:vt="http://schemas.openxmlformats.org/officeDocument/2006/docPropsVTypes"/>
</file>