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Overview for the Laboratory — what is being built, and what we need you to decide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TTL-BRIEF-v1.0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this is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short version of the full specification, for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to the full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strict subset. Every statement here also appears in TTL-SRS-v1.0, so the two cannot disagree.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Companion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 — the full Software Requirements Specification, for the developer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Compliance requirements are mandatory.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 reproduced in Appendix 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asked of you</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Executive Summary, then answer as many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items in Appendix B as you can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two-day sit-in at the laboratory to watch the real process and collect every existing form and register</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Start with the Executive Summary.</w:t>
      </w:r>
      <w:r>
        <w:rPr>
          <w:rFonts w:ascii="Calibri" w:cs="Calibri" w:eastAsia="Calibri" w:hAnsi="Calibri"/>
          <w:color w:val="1A1A1A"/>
        </w:rPr>
        <w:t xml:space="preserve"> It answers one question: what did the original ten-point note get right, and what needed to change. About fifteen minutes of reading.</w:t>
      </w:r>
    </w:p>
    <w:p>
      <w:pPr>
        <w:pStyle w:val="ListParagraph"/>
        <w:numPr>
          <w:ilvl w:val="0"/>
          <w:numId w:val="2"/>
        </w:numPr>
        <w:spacing w:after="70" w:before="0" w:line="268"/>
      </w:pPr>
      <w:r>
        <w:rPr>
          <w:rFonts w:ascii="Calibri" w:cs="Calibri" w:eastAsia="Calibri" w:hAnsi="Calibri"/>
          <w:b/>
          <w:bCs/>
          <w:color w:val="1A1A1A"/>
        </w:rPr>
        <w:t xml:space="preserve">Part A</w:t>
      </w:r>
      <w:r>
        <w:rPr>
          <w:rFonts w:ascii="Calibri" w:cs="Calibri" w:eastAsia="Calibri" w:hAnsi="Calibri"/>
          <w:color w:val="1A1A1A"/>
        </w:rPr>
        <w:t xml:space="preserve"> describes the laboratory, the goals, who uses the system, and every term used in the document. If a word here is wrong or a role is missing, that is the most valuable correction you can make.</w:t>
      </w:r>
    </w:p>
    <w:p>
      <w:pPr>
        <w:pStyle w:val="ListParagraph"/>
        <w:numPr>
          <w:ilvl w:val="0"/>
          <w:numId w:val="2"/>
        </w:numPr>
        <w:spacing w:after="70" w:before="0" w:line="268"/>
      </w:pPr>
      <w:r>
        <w:rPr>
          <w:rFonts w:ascii="Calibri" w:cs="Calibri" w:eastAsia="Calibri" w:hAnsi="Calibri"/>
          <w:b/>
          <w:bCs/>
          <w:color w:val="1A1A1A"/>
        </w:rPr>
        <w:t xml:space="preserve">Part B</w:t>
      </w:r>
      <w:r>
        <w:rPr>
          <w:rFonts w:ascii="Calibri" w:cs="Calibri" w:eastAsia="Calibri" w:hAnsi="Calibri"/>
          <w:color w:val="1A1A1A"/>
        </w:rPr>
        <w:t xml:space="preserve"> is the important one. It describes how a sample will move through the laboratory, from the counter to the signed certificate. Please check it against how the work actually happens.</w:t>
      </w:r>
    </w:p>
    <w:p>
      <w:pPr>
        <w:pStyle w:val="ListParagraph"/>
        <w:numPr>
          <w:ilvl w:val="0"/>
          <w:numId w:val="2"/>
        </w:numPr>
        <w:spacing w:after="70" w:before="0" w:line="268"/>
      </w:pPr>
      <w:r>
        <w:rPr>
          <w:rFonts w:ascii="Calibri" w:cs="Calibri" w:eastAsia="Calibri" w:hAnsi="Calibri"/>
          <w:b/>
          <w:bCs/>
          <w:color w:val="1A1A1A"/>
        </w:rPr>
        <w:t xml:space="preserve">Appendix A</w:t>
      </w:r>
      <w:r>
        <w:rPr>
          <w:rFonts w:ascii="Calibri" w:cs="Calibri" w:eastAsia="Calibri" w:hAnsi="Calibri"/>
          <w:color w:val="1A1A1A"/>
        </w:rPr>
        <w:t xml:space="preserve"> is your original note, reproduced unchanged, so the two can be compared.</w:t>
      </w:r>
    </w:p>
    <w:p>
      <w:pPr>
        <w:pStyle w:val="ListParagraph"/>
        <w:numPr>
          <w:ilvl w:val="0"/>
          <w:numId w:val="2"/>
        </w:numPr>
        <w:spacing w:after="70" w:before="0" w:line="268"/>
      </w:pPr>
      <w:r>
        <w:rPr>
          <w:rFonts w:ascii="Calibri" w:cs="Calibri" w:eastAsia="Calibri" w:hAnsi="Calibri"/>
          <w:b/>
          <w:bCs/>
          <w:color w:val="1A1A1A"/>
        </w:rPr>
        <w:t xml:space="preserve">Appendix B</w:t>
      </w:r>
      <w:r>
        <w:rPr>
          <w:rFonts w:ascii="Calibri" w:cs="Calibri" w:eastAsia="Calibri" w:hAnsi="Calibri"/>
          <w:color w:val="1A1A1A"/>
        </w:rPr>
        <w:t xml:space="preserve"> lists every question only you can answer. Each has a recommended default, so nothing is waiting on you — but an unchallenged default becomes a decision by accident.</w:t>
      </w:r>
    </w:p>
    <w:p>
      <w:pPr>
        <w:pStyle w:val="ListParagraph"/>
        <w:numPr>
          <w:ilvl w:val="0"/>
          <w:numId w:val="2"/>
        </w:numPr>
        <w:spacing w:after="70" w:before="0" w:line="268"/>
      </w:pPr>
      <w:r>
        <w:rPr>
          <w:rFonts w:ascii="Calibri" w:cs="Calibri" w:eastAsia="Calibri" w:hAnsi="Calibri"/>
          <w:b/>
          <w:bCs/>
          <w:color w:val="1A1A1A"/>
        </w:rPr>
        <w:t xml:space="preserve">You do not need to read the full specification.</w:t>
      </w:r>
      <w:r>
        <w:rPr>
          <w:rFonts w:ascii="Calibri" w:cs="Calibri" w:eastAsia="Calibri" w:hAnsi="Calibri"/>
          <w:color w:val="1A1A1A"/>
        </w:rPr>
        <w:t xml:space="preserve"> It contains the database design, the technical requirements and the build plan, which are the developer's concern.</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a standalone application: it holds its own customer master, raises and numbers its own invoices and receipts, and keeps its own consumable stock and equipment records, so nothing outside it has to be in place before it can run. The unit's accounts wing keeps the general ledger as it does today; an interface to an external accounting system is specified in case one is ever adopted, but it is switched off, because the unit runs no such system.</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Interface to an External Accounting System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111 questions marked OPEN-Q</w:t>
      </w:r>
      <w:r>
        <w:rPr>
          <w:rFonts w:ascii="Calibri" w:cs="Calibri" w:eastAsia="Calibri" w:hAnsi="Calibri"/>
          <w:color w:val="1A1A1A"/>
        </w:rPr>
        <w:t xml:space="preserve">, of which seven have since been answered, leaving </w:t>
      </w:r>
      <w:r>
        <w:rPr>
          <w:rFonts w:ascii="Calibri" w:cs="Calibri" w:eastAsia="Calibri" w:hAnsi="Calibri"/>
          <w:b/>
          <w:bCs/>
          <w:color w:val="1A1A1A"/>
        </w:rPr>
        <w:t xml:space="preserve">104 open</w:t>
      </w:r>
      <w:r>
        <w:rPr>
          <w:rFonts w:ascii="Calibri" w:cs="Calibri" w:eastAsia="Calibri" w:hAnsi="Calibri"/>
          <w:color w:val="1A1A1A"/>
        </w:rPr>
        <w:t xml:space="preserve">. The answered ones are marked where the question is raised, and the register shows the answer rather than a default. The rest carry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are the missing items on the catalogue status list, and are any of them accredited?</w:t>
            </w:r>
            <w:r>
              <w:rPr>
                <w:rFonts w:ascii="Calibri" w:cs="Calibri" w:eastAsia="Calibri" w:hAnsi="Calibri"/>
                <w:color w:val="1A1A1A"/>
                <w:sz w:val="18"/>
                <w:szCs w:val="18"/>
              </w:rPr>
              <w:t xml:space="preserve"> (Accreditation, its scope, and the Limited Test's status are now all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supplied by the unit runs from serial 3 to serial 30 with serials 1, 2, 16, 17 and 22 to 26 absent, and carries no fabric test anywhere, although five of the seven accredited scope entries are fabric parameters. Until the gaps are filled, every catalogue item is Non-NABL and no report carries the accreditation symbol at all.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valid digital signature on the certificate enough, or does the quality system require long-term validation — a signature that can still be proved valid years after the signing certificate has expired? The Unit In-Charge has said verbally that a valid signature is what is needed; that is recorded as an assumption until the Quality Manager confirms it in writing.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Long-term validation cannot be done at the moment of issue: it needs the certifying authority's revocation service and a timestamping authority, both reached over the internet, and nothing on the report-issue path may call outside the laboratory network. So if the written answer is that long-term validation is required, it does not mean different software — it means the report is issued first and a separate timestamped copy is produced and kept afterwards, which is Phase 6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The most valuable question that remained — whether the Limited Test falls under </w:t>
      </w:r>
      <w:r>
        <w:rPr>
          <w:rFonts w:ascii="Calibri" w:cs="Calibri" w:eastAsia="Calibri" w:hAnsi="Calibri"/>
          <w:i/>
          <w:iCs/>
          <w:color w:val="1A1A1A"/>
        </w:rPr>
        <w:t xml:space="preserve">Raw Silk Yarn / Count / IS 15090 (Part 5)</w:t>
      </w:r>
      <w:r>
        <w:rPr>
          <w:rFonts w:ascii="Calibri" w:cs="Calibri" w:eastAsia="Calibri" w:hAnsi="Calibri"/>
          <w:color w:val="1A1A1A"/>
        </w:rPr>
        <w:t xml:space="preserve"> — is now settled, and the answer is </w:t>
      </w:r>
      <w:r>
        <w:rPr>
          <w:rFonts w:ascii="Calibri" w:cs="Calibri" w:eastAsia="Calibri" w:hAnsi="Calibri"/>
          <w:b/>
          <w:bCs/>
          <w:color w:val="1A1A1A"/>
        </w:rPr>
        <w:t xml:space="preserve">no</w:t>
      </w:r>
      <w:r>
        <w:rPr>
          <w:rFonts w:ascii="Calibri" w:cs="Calibri" w:eastAsia="Calibri" w:hAnsi="Calibri"/>
          <w:color w:val="1A1A1A"/>
        </w:rPr>
        <w:t xml:space="preserve">. The Unit In-Charge has confirmed it directly, and has supplied a status list marking the Limited Test and twenty other catalogue items </w:t>
      </w:r>
      <w:r>
        <w:rPr>
          <w:rFonts w:ascii="Calibri" w:cs="Calibri" w:eastAsia="Calibri" w:hAnsi="Calibri"/>
          <w:b/>
          <w:bCs/>
          <w:color w:val="1A1A1A"/>
        </w:rPr>
        <w:t xml:space="preserve">Non-NABL</w:t>
      </w:r>
      <w:r>
        <w:rPr>
          <w:rFonts w:ascii="Calibri" w:cs="Calibri" w:eastAsia="Calibri" w:hAnsi="Calibri"/>
          <w:color w:val="1A1A1A"/>
        </w:rPr>
        <w:t xml:space="preserve">. None of those twenty-one maps to any of the seven accredited entries, so on the present catalogue the accreditation symbol and the Unique Laboratory Report number would appear on </w:t>
      </w:r>
      <w:r>
        <w:rPr>
          <w:rFonts w:ascii="Calibri" w:cs="Calibri" w:eastAsia="Calibri" w:hAnsi="Calibri"/>
          <w:b/>
          <w:bCs/>
          <w:color w:val="1A1A1A"/>
        </w:rPr>
        <w:t xml:space="preserve">no report at all</w:t>
      </w:r>
      <w:r>
        <w:rPr>
          <w:rFonts w:ascii="Calibri" w:cs="Calibri" w:eastAsia="Calibri" w:hAnsi="Calibri"/>
          <w:color w:val="1A1A1A"/>
        </w:rPr>
        <w:t xml:space="preserve">. An earlier draft of this summary assumed the opposite — that </w:t>
      </w:r>
      <w:r>
        <w:rPr>
          <w:rFonts w:ascii="Calibri" w:cs="Calibri" w:eastAsia="Calibri" w:hAnsi="Calibri"/>
          <w:i/>
          <w:iCs/>
          <w:color w:val="1A1A1A"/>
        </w:rPr>
        <w:t xml:space="preserve">Count</w:t>
      </w:r>
      <w:r>
        <w:rPr>
          <w:rFonts w:ascii="Calibri" w:cs="Calibri" w:eastAsia="Calibri" w:hAnsi="Calibri"/>
          <w:color w:val="1A1A1A"/>
        </w:rPr>
        <w:t xml:space="preserve"> was inside scope, and that the Limited Test report would therefore split into two documents — and that assumption is </w:t>
      </w:r>
      <w:r>
        <w:rPr>
          <w:rFonts w:ascii="Calibri" w:cs="Calibri" w:eastAsia="Calibri" w:hAnsi="Calibri"/>
          <w:b/>
          <w:bCs/>
          <w:color w:val="1A1A1A"/>
        </w:rPr>
        <w:t xml:space="preserve">withdrawn</w:t>
      </w:r>
      <w:r>
        <w:rPr>
          <w:rFonts w:ascii="Calibri" w:cs="Calibri" w:eastAsia="Calibri" w:hAnsi="Calibri"/>
          <w:color w:val="1A1A1A"/>
        </w:rPr>
        <w:t xml:space="preserve">. The accredited machinery is still built and tested, but it waits behind a per-item flag, and the plain certificate is the primary template. What remains open is narrower, and is recorded as </w:t>
      </w:r>
      <w:r>
        <w:rPr>
          <w:rFonts w:ascii="Calibri" w:cs="Calibri" w:eastAsia="Calibri" w:hAnsi="Calibri"/>
          <w:b/>
          <w:bCs/>
          <w:color w:val="2E4A62"/>
        </w:rPr>
        <w:t xml:space="preserve">OPEN-Q</w:t>
      </w:r>
      <w:r>
        <w:rPr>
          <w:rFonts w:ascii="Calibri" w:cs="Calibri" w:eastAsia="Calibri" w:hAnsi="Calibri"/>
          <w:color w:val="1A1A1A"/>
        </w:rPr>
        <w:t xml:space="preserve">-C15 to </w:t>
      </w:r>
      <w:r>
        <w:rPr>
          <w:rFonts w:ascii="Calibri" w:cs="Calibri" w:eastAsia="Calibri" w:hAnsi="Calibri"/>
          <w:b/>
          <w:bCs/>
          <w:color w:val="2E4A62"/>
        </w:rPr>
        <w:t xml:space="preserve">OPEN-Q</w:t>
      </w:r>
      <w:r>
        <w:rPr>
          <w:rFonts w:ascii="Calibri" w:cs="Calibri" w:eastAsia="Calibri" w:hAnsi="Calibri"/>
          <w:color w:val="1A1A1A"/>
        </w:rPr>
        <w:t xml:space="preserve">-C17: the gaps in the supplied list, whether the unit sells the seven accredited parameters at all, and the rates themselves — the supplied file is titled </w:t>
      </w:r>
      <w:r>
        <w:rPr>
          <w:rFonts w:ascii="Calibri" w:cs="Calibri" w:eastAsia="Calibri" w:hAnsi="Calibri"/>
          <w:i/>
          <w:iCs/>
          <w:color w:val="1A1A1A"/>
        </w:rPr>
        <w:t xml:space="preserve">Proposed testing charges</w:t>
      </w:r>
      <w:r>
        <w:rPr>
          <w:rFonts w:ascii="Calibri" w:cs="Calibri" w:eastAsia="Calibri" w:hAnsi="Calibri"/>
          <w:color w:val="1A1A1A"/>
        </w:rPr>
        <w:t xml:space="preserve"> but carries no charges.</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is a standalone application. It owns its own customer master, its own tax-invoice numbering, its own consumable stock records and its own equipment register, and it needs no other business software to run a day's work. The unit operates no external accounting system, so there is nothing for a laboratory layer to sit on top of. If one is ever adopted, the machinery for exchanging customers, invoices and stock movements with it is specified in M22 and delivered switched off. This document defines the whole application.</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accounts wing owns this, on whatever books it already keeps.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workflow — indent, sanction, tender, GeM purchase, purchase order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The LIMS records what stock arrived and what it was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 calibration, checks, status — and a working record of each instrument's purchase, cost and expected life, which calibration and traceability need. Fixed-asset accounting itself — capitalisation, depreciation, condemnation — belongs to the parent institute and the unit's accounts wing. Both records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External accounting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accounting or Enterprise Resource Planning (ERP) software outside this one that could hold customer records, invoices, stock or asset values. The unit operates none, so the LIMS holds that data itself; M22 specifies a generic interface to such a system and it is delivered switched off, in case the unit or CSB adopts one later.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Interface to an External Accounting 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Dormant: if the unit ever adopts such a system, which side owns which data, how the two exchange it, and the rule that each field has exactly one system of record. Specified now, delivered switched off.</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A live interface to an external accounting system.</w:t>
      </w:r>
      <w:r>
        <w:rPr>
          <w:rFonts w:ascii="Calibri" w:cs="Calibri" w:eastAsia="Calibri" w:hAnsi="Calibri"/>
          <w:color w:val="1A1A1A"/>
        </w:rPr>
        <w:t xml:space="preserve"> The LIMS owns its customers, its tax invoices and its stock outright. M22 specifies the interface generically and it is delivered switched off, because there is no such system here to connect to.</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the unit's accounts wing.</w:t>
      </w:r>
    </w:p>
    <w:p>
      <w:pPr>
        <w:pStyle w:val="ListParagraph"/>
        <w:numPr>
          <w:ilvl w:val="0"/>
          <w:numId w:val="2"/>
        </w:numPr>
        <w:spacing w:after="70" w:before="0" w:line="268"/>
      </w:pPr>
      <w:r>
        <w:rPr>
          <w:rFonts w:ascii="Calibri" w:cs="Calibri" w:eastAsia="Calibri" w:hAnsi="Calibri"/>
          <w:b/>
          <w:bCs/>
          <w:color w:val="1A1A1A"/>
        </w:rPr>
        <w:t xml:space="preserve">Procurement workflow</w:t>
      </w:r>
      <w:r>
        <w:rPr>
          <w:rFonts w:ascii="Calibri" w:cs="Calibri" w:eastAsia="Calibri" w:hAnsi="Calibri"/>
          <w:color w:val="1A1A1A"/>
        </w:rPr>
        <w:t xml:space="preserve"> — indent, sanction, tender, purchase order approval.</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together with the working record of what each instrument cost, because calibration and traceability need it. The financial asset register, with its capitalisation and depreciation, belongs to the parent institute and the accounts wing.</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held in LIMS)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never posts to accounts,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any invoice or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posts nothing to accounts,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The fixed-asset register (cost, supplier, depreciation, physical verification, condemnation) and the metrological control register (range, interval, calibration result, correction factors, out-of-service status) are two different registers with two different owners. Both are needed; neither replaces the other.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five series are length-constrained — invoice, bill of supply, advance receipt voucher, refund voucher and credit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Never posts to accounts.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What This Buys the Laboratory</w:t>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on paper or in the accounts wing's own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exist outside this system — in the accounts wing's records or on paper — and does it track lot and expiry?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register in full, including lot, expiry, certificate and fitness-for-use; if an external accounting system is ever adopted, send it only quantity and value movements and do not attempt to store expiry there.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parent body ever mandate an accounting system for this unit, and if so what is its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none is coming, build and run standalone under M22-17, and answer the rest of this question only when a system is actually named. </w:t>
            </w:r>
            <w:r>
              <w:rPr>
                <w:rFonts w:ascii="Calibri" w:cs="Calibri" w:eastAsia="Calibri" w:hAnsi="Calibri"/>
                <w:b/>
                <w:bCs/>
                <w:color w:val="1A1A1A"/>
                <w:sz w:val="18"/>
                <w:szCs w:val="18"/>
              </w:rPr>
              <w:t xml:space="preserve">Nothing in M22 beyond M22-17, M22-18 and M22-20 is to be built before that answer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series in the LIMS. Should such a system arrive, let it master the number if its own series is already compliant, because the accounting document belongs there, and otherwise let it record the LIMS's number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Could a future accounting system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design the mapping to live inside the LIMS with the reconciliation report as the control. This costs nothing today, because the mapping table is empty.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as ARC-14 requires, and treat any later proposal to fold the LIMS into a package as a change governed by M22-16.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or fixed-asset register exist for this unit outside this system — in the accounts wing's records,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paper at most; load the LIMS registers from scratch and treat them as the working record. If an accounting system later arrives holding either, agree the ownership table with whoever maintains it before pushing anything across.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an accounting system is ever named, who maintains it,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NABL, or the Quality Manager answering for it, require only a </w:t>
            </w:r>
            <w:r>
              <w:rPr>
                <w:rFonts w:ascii="Calibri" w:cs="Calibri" w:eastAsia="Calibri" w:hAnsi="Calibri"/>
                <w:b/>
                <w:bCs/>
                <w:color w:val="1A1A1A"/>
                <w:sz w:val="18"/>
                <w:szCs w:val="18"/>
              </w:rPr>
              <w:t xml:space="preserve">valid digital signature</w:t>
            </w:r>
            <w:r>
              <w:rPr>
                <w:rFonts w:ascii="Calibri" w:cs="Calibri" w:eastAsia="Calibri" w:hAnsi="Calibri"/>
                <w:color w:val="1A1A1A"/>
                <w:sz w:val="18"/>
                <w:szCs w:val="18"/>
              </w:rPr>
              <w:t xml:space="preserve"> on an issued report, or </w:t>
            </w:r>
            <w:r>
              <w:rPr>
                <w:rFonts w:ascii="Calibri" w:cs="Calibri" w:eastAsia="Calibri" w:hAnsi="Calibri"/>
                <w:b/>
                <w:bCs/>
                <w:color w:val="1A1A1A"/>
                <w:sz w:val="18"/>
                <w:szCs w:val="18"/>
              </w:rPr>
              <w:t xml:space="preserve">long-term validation</w:t>
            </w:r>
            <w:r>
              <w:rPr>
                <w:rFonts w:ascii="Calibri" w:cs="Calibri" w:eastAsia="Calibri" w:hAnsi="Calibri"/>
                <w:color w:val="1A1A1A"/>
                <w:sz w:val="18"/>
                <w:szCs w:val="18"/>
              </w:rPr>
              <w:t xml:space="preserve"> (PAdES B-LT or B-LTA) — a signature carrying the certificate revocation data and a trusted timestamp inside the file, so that it can still be proved valid years after the signing certificate has expired? The Unit Incharge has answered verbally that a valid signature is what is needed. That answer is </w:t>
            </w:r>
            <w:r>
              <w:rPr>
                <w:rFonts w:ascii="Calibri" w:cs="Calibri" w:eastAsia="Calibri" w:hAnsi="Calibri"/>
                <w:b/>
                <w:bCs/>
                <w:color w:val="1A1A1A"/>
                <w:sz w:val="18"/>
                <w:szCs w:val="18"/>
              </w:rPr>
              <w:t xml:space="preserve">recorded here as an assumption, not as a fact</w:t>
            </w:r>
            <w:r>
              <w:rPr>
                <w:rFonts w:ascii="Calibri" w:cs="Calibri" w:eastAsia="Calibri" w:hAnsi="Calibri"/>
                <w:color w:val="1A1A1A"/>
                <w:sz w:val="18"/>
                <w:szCs w:val="18"/>
              </w:rPr>
              <w:t xml:space="preserve">, because it has not been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w:t>
            </w:r>
            <w:r>
              <w:rPr>
                <w:rFonts w:ascii="Calibri" w:cs="Calibri" w:eastAsia="Calibri" w:hAnsi="Calibri"/>
                <w:b/>
                <w:bCs/>
                <w:color w:val="1A1A1A"/>
                <w:sz w:val="18"/>
                <w:szCs w:val="18"/>
              </w:rPr>
              <w:t xml:space="preserve">PAdES B-B</w:t>
            </w:r>
            <w:r>
              <w:rPr>
                <w:rFonts w:ascii="Calibri" w:cs="Calibri" w:eastAsia="Calibri" w:hAnsi="Calibri"/>
                <w:color w:val="1A1A1A"/>
                <w:sz w:val="18"/>
                <w:szCs w:val="18"/>
              </w:rPr>
              <w:t xml:space="preserve"> only, per the Unit Incharge's verbal answer; sign invisibly and draw the visible signature block as ordinary tagged page content; and keep the document component replaceable (ARC-17) so that a long-term-validation step can be added later as an off-path batch job over the already-issued file, written as a separate derived attachment with the frozen original untouched (NFR-121).</w:t>
            </w:r>
          </w:p>
        </w:tc>
      </w:tr>
    </w:tbl>
    <w:p>
      <w:pPr>
        <w:spacing w:after="140"/>
      </w:pPr>
      <w:r>
        <w:rPr>
          <w:rFonts w:ascii="Calibri" w:cs="Calibri" w:eastAsia="Calibri" w:hAnsi="Calibri"/>
        </w:rPr>
        <w:t xml:space="preserve"/>
      </w:r>
    </w:p>
    <w:p>
      <w:r>
        <w:br w:type="pag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TTL-BRIEF-v1.0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Overview for the Laboratory</w:t>
    </w:r>
    <w:r>
      <w:ptab w:alignment="right" w:relativeTo="margin" w:leader="none"/>
    </w:r>
    <w:r>
      <w:rPr>
        <w:rFonts w:ascii="Calibri" w:cs="Calibri" w:eastAsia="Calibri" w:hAnsi="Calibri"/>
        <w:color w:val="5A5A5A"/>
        <w:sz w:val="15"/>
        <w:szCs w:val="15"/>
      </w:rPr>
      <w:t xml:space="preserve">TTL-BRIEF-v1.0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Overview for the Laboratory — what is being built, and what we need you to decide</dc:description>
  <cp:lastModifiedBy>Un-named</cp:lastModifiedBy>
  <cp:revision>1</cp:revision>
  <dcterms:created xsi:type="dcterms:W3CDTF">2026-08-19T20:14:26.629Z</dcterms:created>
  <dcterms:modified xsi:type="dcterms:W3CDTF">2026-08-19T20:14:26.630Z</dcterms:modified>
</cp:coreProperties>
</file>

<file path=docProps/custom.xml><?xml version="1.0" encoding="utf-8"?>
<Properties xmlns="http://schemas.openxmlformats.org/officeDocument/2006/custom-properties" xmlns:vt="http://schemas.openxmlformats.org/officeDocument/2006/docPropsVTypes"/>
</file>