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built as its own application and connected to CloudZoo ERP, which continues to own customers, invoices, stock and assets.</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integration with CloudZoo ERP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105 questions marked OPEN-Q</w:t>
      </w:r>
      <w:r>
        <w:rPr>
          <w:rFonts w:ascii="Calibri" w:cs="Calibri" w:eastAsia="Calibri" w:hAnsi="Calibri"/>
          <w:color w:val="1A1A1A"/>
        </w:rPr>
        <w:t xml:space="preserve">, each carrying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Does the Limited Test count as accredited?</w:t>
            </w:r>
            <w:r>
              <w:rPr>
                <w:rFonts w:ascii="Calibri" w:cs="Calibri" w:eastAsia="Calibri" w:hAnsi="Calibri"/>
                <w:color w:val="1A1A1A"/>
                <w:sz w:val="18"/>
                <w:szCs w:val="18"/>
              </w:rPr>
              <w:t xml:space="preserve"> (Accreditation and its scope are now both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Limited Test is about 98% of the unit's samples. Whether it falls under the one accredited raw-silk entry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decides whether the accreditation appears on nearly every report or nearly none. It yields both a count and a size deviation, and only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is accredited. Must be answered in writing by the Quality Manager, not assumed.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One question remains, and it is the most valuable one left: *</w:t>
      </w:r>
      <w:r>
        <w:rPr>
          <w:rFonts w:ascii="Calibri" w:cs="Calibri" w:eastAsia="Calibri" w:hAnsi="Calibri"/>
          <w:i/>
          <w:iCs/>
          <w:color w:val="1A1A1A"/>
        </w:rPr>
        <w:t xml:space="preserve">does the Limited Test — roughly 98 per cent of the unit's samples — fall under </w:t>
      </w:r>
      <w:r>
        <w:rPr>
          <w:rFonts w:ascii="Calibri" w:cs="Calibri" w:eastAsia="Calibri" w:hAnsi="Calibri"/>
          <w:color w:val="1A1A1A"/>
        </w:rPr>
        <w:t xml:space="preserve">Raw Silk Yarn / Count / IS 15090 (Part 5)</w:t>
      </w:r>
      <w:r>
        <w:rPr>
          <w:rFonts w:ascii="Calibri" w:cs="Calibri" w:eastAsia="Calibri" w:hAnsi="Calibri"/>
          <w:i/>
          <w:iCs/>
          <w:color w:val="1A1A1A"/>
        </w:rPr>
        <w:t xml:space="preserve">?</w:t>
      </w:r>
      <w:r>
        <w:rPr>
          <w:rFonts w:ascii="Calibri" w:cs="Calibri" w:eastAsia="Calibri" w:hAnsi="Calibri"/>
          <w:i/>
          <w:iCs/>
          <w:color w:val="1A1A1A"/>
        </w:rPr>
        <w:t xml:space="preserve"> The Limited Test yields both a count figure and a size-deviation figure, and the annexure names only </w:t>
      </w:r>
      <w:r>
        <w:rPr>
          <w:rFonts w:ascii="Calibri" w:cs="Calibri" w:eastAsia="Calibri" w:hAnsi="Calibri"/>
          <w:color w:val="1A1A1A"/>
        </w:rPr>
        <w:t xml:space="preserve">Count</w:t>
      </w:r>
      <w:r>
        <w:rPr>
          <w:rFonts w:ascii="Calibri" w:cs="Calibri" w:eastAsia="Calibri" w:hAnsi="Calibri"/>
          <w:i/>
          <w:iCs/>
          <w:color w:val="1A1A1A"/>
        </w:rPr>
        <w:t xml:space="preserve">. The answer decides whether accreditation appears on nearly every report or nearly none. The specification's working assumption is that </w:t>
      </w:r>
      <w:r>
        <w:rPr>
          <w:rFonts w:ascii="Calibri" w:cs="Calibri" w:eastAsia="Calibri" w:hAnsi="Calibri"/>
          <w:color w:val="1A1A1A"/>
        </w:rPr>
        <w:t xml:space="preserve">Count</w:t>
      </w:r>
      <w:r>
        <w:rPr>
          <w:rFonts w:ascii="Calibri" w:cs="Calibri" w:eastAsia="Calibri" w:hAnsi="Calibri"/>
          <w:i/>
          <w:iCs/>
          <w:color w:val="1A1A1A"/>
        </w:rPr>
        <w:t xml:space="preserve"> is inside and </w:t>
      </w:r>
      <w:r>
        <w:rPr>
          <w:rFonts w:ascii="Calibri" w:cs="Calibri" w:eastAsia="Calibri" w:hAnsi="Calibri"/>
          <w:color w:val="1A1A1A"/>
        </w:rPr>
        <w:t xml:space="preserve">size deviation* is outside — which means a split report — but this must be confirmed in writing by the Quality Manager rather than assumed.</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will be built on and alongside CloudZoo ERP ("Enterprise Resource Planning" — the existing business software the implementing developer works with, which already provides customer records, invoicing, inventory and asset handling). This document defines the laboratory layer that sits on top of it.</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and the unit's accounts wing own this.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(calibration, checks, status). The </w:t>
            </w:r>
            <w:r>
              <w:rPr>
                <w:rFonts w:ascii="Calibri" w:cs="Calibri" w:eastAsia="Calibri" w:hAnsi="Calibri"/>
                <w:b/>
                <w:bCs/>
                <w:color w:val="1A1A1A"/>
                <w:sz w:val="18"/>
                <w:szCs w:val="18"/>
              </w:rPr>
              <w:t xml:space="preserve">financial</w:t>
            </w:r>
            <w:r>
              <w:rPr>
                <w:rFonts w:ascii="Calibri" w:cs="Calibri" w:eastAsia="Calibri" w:hAnsi="Calibri"/>
                <w:color w:val="1A1A1A"/>
                <w:sz w:val="18"/>
                <w:szCs w:val="18"/>
              </w:rPr>
              <w:t xml:space="preserve"> asset register stays where it is. Both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CloudZoo ERP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existing Enterprise Resource Planning software the developer works with, which already provides customer records, invoicing, inventory and asset handling, and on which this laboratory system is built.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Integration with CloudZoo ERP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owns which data, how they exchange it, and the rule that each field has exactly one system of record.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CloudZoo ERP and the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the financial asset register is not.</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CloudZoo ERP)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w:t>
      </w:r>
      <w:r>
        <w:rPr>
          <w:rFonts w:ascii="Calibri" w:cs="Calibri" w:eastAsia="Calibri" w:hAnsi="Calibri"/>
          <w:b/>
          <w:bCs/>
          <w:color w:val="1A1A1A"/>
        </w:rPr>
        <w:t xml:space="preserve">OPEN-Q-C13</w:t>
      </w:r>
      <w:r>
        <w:rPr>
          <w:rFonts w:ascii="Calibri" w:cs="Calibri" w:eastAsia="Calibri" w:hAnsi="Calibri"/>
          <w:color w:val="1A1A1A"/>
        </w:rPr>
        <w:t xml:space="preserve">, and it is the single highest-value answer still outstanding.</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in CloudZoo ERP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working copy, export to CloudZoo ERP (M22), and treat CloudZoo ERP as the system of record for capitalised cost and depreciation once the integration is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if so does it support lot and expiry tracking?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lot, expiry, certificate and fitness-for-use in the LIMS; send only quantity and value movements to CloudZoo ERP; do not attempt to store expiry in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-D26: 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CloudZoo ERP's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web interface is available and design the outbox against it; if only file exchange is possible, M22-15 applies and the same controls are retained. </w:t>
            </w:r>
            <w:r>
              <w:rPr>
                <w:rFonts w:ascii="Calibri" w:cs="Calibri" w:eastAsia="Calibri" w:hAnsi="Calibri"/>
                <w:b/>
                <w:bCs/>
                <w:color w:val="1A1A1A"/>
                <w:sz w:val="18"/>
                <w:szCs w:val="18"/>
              </w:rPr>
              <w:t xml:space="preserve">This is the first question to answer before any integration code is written.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will master the tax invoice number series, and does CloudZoo ERP's existing series already satisfy the consecutive, sixteen-character, financial-year-unique rule?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CloudZoo ERP master the invoice number if its series is already compliant, because the accounting document belongs there; if it is not compliant, the LIMS masters the number and the ERP records it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 CloudZoo ERP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maintain the mapping inside the LIMS with the reconciliation report as the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LIMS to be a module inside CloudZoo ERP, or a separate application with an integration?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application, because the offline requirement, the immutable audit trail, the frozen report files and the enforcement gates are all easier to guarantee in software the laboratory controls; and because it keeps the LIMS alive if the ERP is ever replaced.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a fixed-asset register for this unit, with any data in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both exist but are unused for laboratory items; load the LIMS registers first and push to the ERP once the ownership table is agreed with whoever maintains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maintains CloudZoo ERP,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named contact and a written note of the interface version in use before integration work starts; without that, build the LIMS to run with the integration switched off (M22-17) and treat the integration as a later phase.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2026-08-19T11:20:53.340Z</dcterms:created>
  <dcterms:modified xsi:type="dcterms:W3CDTF">2026-08-19T11:20:53.340Z</dcterms:modified>
</cp:coreProperties>
</file>

<file path=docProps/custom.xml><?xml version="1.0" encoding="utf-8"?>
<Properties xmlns="http://schemas.openxmlformats.org/officeDocument/2006/custom-properties" xmlns:vt="http://schemas.openxmlformats.org/officeDocument/2006/docPropsVTypes"/>
</file>