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Where the work has reached</w:t>
      </w:r>
    </w:p>
    <w:p>
      <w:pPr>
        <w:spacing w:after="130" w:before="0" w:line="276"/>
        <w:jc w:val="left"/>
      </w:pPr>
      <w:r>
        <w:rPr>
          <w:rFonts w:ascii="Calibri" w:cs="Calibri" w:eastAsia="Calibri" w:hAnsi="Calibri"/>
          <w:color w:val="1A1A1A"/>
        </w:rPr>
        <w:t xml:space="preserve">Work has started. Rather than beginning with the easy parts, we began with the two pieces that were genuinely in doubt — because if either had turned out to be impossible, it would have been far better to discover that now than a year from now. Both are settled.</w:t>
      </w:r>
    </w:p>
    <w:p>
      <w:pPr>
        <w:spacing w:after="130" w:before="0" w:line="276"/>
        <w:jc w:val="left"/>
      </w:pPr>
      <w:r>
        <w:rPr>
          <w:rFonts w:ascii="Calibri" w:cs="Calibri" w:eastAsia="Calibri" w:hAnsi="Calibri"/>
          <w:b/>
          <w:bCs/>
          <w:color w:val="1A1A1A"/>
        </w:rPr>
        <w:t xml:space="preserve">The certificate itself works.</w:t>
      </w:r>
      <w:r>
        <w:rPr>
          <w:rFonts w:ascii="Calibri" w:cs="Calibri" w:eastAsia="Calibri" w:hAnsi="Calibri"/>
          <w:color w:val="1A1A1A"/>
        </w:rPr>
        <w:t xml:space="preserve"> A certificate can now be produced that carries Telugu, Hindi and English correctly, is digitally signed, and can be checked years afterwards. The signature is invisible on the page, as the accessibility standard requires, and the text can be searched and copied out — so a customer can find their own name in it, rather than looking at a picture of one. This is the thing the whole system exists to produce and the hardest part to change once certificates have gone out, which is why it was built first.</w:t>
      </w:r>
    </w:p>
    <w:p>
      <w:pPr>
        <w:spacing w:after="130" w:before="0" w:line="276"/>
        <w:jc w:val="left"/>
      </w:pPr>
      <w:r>
        <w:rPr>
          <w:rFonts w:ascii="Calibri" w:cs="Calibri" w:eastAsia="Calibri" w:hAnsi="Calibri"/>
          <w:b/>
          <w:bCs/>
          <w:color w:val="1A1A1A"/>
        </w:rPr>
        <w:t xml:space="preserve">Building it found a real problem.</w:t>
      </w:r>
      <w:r>
        <w:rPr>
          <w:rFonts w:ascii="Calibri" w:cs="Calibri" w:eastAsia="Calibri" w:hAnsi="Calibri"/>
          <w:color w:val="1A1A1A"/>
        </w:rPr>
        <w:t xml:space="preserve"> The standard software for placing text into a certificate does not merely render Telugu badly — it stops altogether, on ordinary words, including </w:t>
      </w:r>
      <w:r>
        <w:rPr>
          <w:rFonts w:ascii="Calibri" w:cs="Calibri" w:eastAsia="Calibri" w:hAnsi="Calibri"/>
          <w:b/>
          <w:bCs/>
          <w:color w:val="1A1A1A"/>
        </w:rPr>
        <w:t xml:space="preserve">శ్రీ</w:t>
      </w:r>
      <w:r>
        <w:rPr>
          <w:rFonts w:ascii="Calibri" w:cs="Calibri" w:eastAsia="Calibri" w:hAnsi="Calibri"/>
          <w:color w:val="1A1A1A"/>
        </w:rPr>
        <w:t xml:space="preserve">, the honorific in a great many Indian names. A second piece of software now does that work. No amount of design would have found this; only running it did. A check now runs on every release to confirm the original defect is still present, so the workaround is removed on the day it is fixed rather than living on forever.</w:t>
      </w:r>
    </w:p>
    <w:p>
      <w:pPr>
        <w:spacing w:after="130" w:before="0" w:line="276"/>
        <w:jc w:val="left"/>
      </w:pPr>
      <w:r>
        <w:rPr>
          <w:rFonts w:ascii="Calibri" w:cs="Calibri" w:eastAsia="Calibri" w:hAnsi="Calibri"/>
          <w:b/>
          <w:bCs/>
          <w:color w:val="1A1A1A"/>
        </w:rPr>
        <w:t xml:space="preserve">The calculations are built, and are waiting on you.</w:t>
      </w:r>
      <w:r>
        <w:rPr>
          <w:rFonts w:ascii="Calibri" w:cs="Calibri" w:eastAsia="Calibri" w:hAnsi="Calibri"/>
          <w:color w:val="1A1A1A"/>
        </w:rPr>
        <w:t xml:space="preserve"> The arithmetic is done: averages and deviation from the individual skein weights, maximum deviation from the coarsest and finest, low neatness from the worst fifth of the panels, conditioned size with the eleven per cent allowance, and the two-stage grade in which the major tests set the grade and an auxiliary test can pull it down by one class. But it will not yet produce a grade, and that is deliberate — the grade tables themselves, the limit values for 4A, 3A, 2A and the rest, were not available to us and we refused to invent them. A grade that looks right and is wrong is the worst thing this system could produce, because money is settled against it and nobody can tell by looking. A photocopy of the page you work from closes this.</w:t>
      </w:r>
    </w:p>
    <w:p>
      <w:pPr>
        <w:spacing w:after="130" w:before="0" w:line="276"/>
        <w:jc w:val="left"/>
      </w:pPr>
      <w:r>
        <w:rPr>
          <w:rFonts w:ascii="Calibri" w:cs="Calibri" w:eastAsia="Calibri" w:hAnsi="Calibri"/>
          <w:b/>
          <w:bCs/>
          <w:color w:val="1A1A1A"/>
        </w:rPr>
        <w:t xml:space="preserve">Everything else is specified but not yet built</w:t>
      </w:r>
      <w:r>
        <w:rPr>
          <w:rFonts w:ascii="Calibri" w:cs="Calibri" w:eastAsia="Calibri" w:hAnsi="Calibri"/>
          <w:color w:val="1A1A1A"/>
        </w:rPr>
        <w:t xml:space="preserve"> — the register, the workflow, the calibration and competency checks, the billing, the portal. The order is deliberate: prove the risky parts first, then build the ordinary ones.</w:t>
      </w:r>
    </w:p>
    <w:p>
      <w:pPr>
        <w:pStyle w:val="Heading3"/>
        <w:keepNext/>
        <w:spacing w:after="90" w:before="240"/>
      </w:pPr>
      <w:r>
        <w:rPr>
          <w:rFonts w:ascii="Calibri" w:cs="Calibri" w:eastAsia="Calibri" w:hAnsi="Calibri"/>
          <w:b/>
          <w:bCs/>
          <w:color w:val="1A1A1A"/>
          <w:sz w:val="22"/>
          <w:szCs w:val="22"/>
        </w:rPr>
        <w:t xml:space="preserve">One decision has changed since the first draft</w:t>
      </w:r>
    </w:p>
    <w:p>
      <w:pPr>
        <w:spacing w:after="130" w:before="0" w:line="276"/>
        <w:jc w:val="left"/>
      </w:pPr>
      <w:r>
        <w:rPr>
          <w:rFonts w:ascii="Calibri" w:cs="Calibri" w:eastAsia="Calibri" w:hAnsi="Calibri"/>
          <w:color w:val="1A1A1A"/>
        </w:rPr>
        <w:t xml:space="preserve">The earlier draft assumed this system would sit alongside a separate business software package that would hold the customer list, raise the invoices and keep the stock. The unit runs no such package, so that assumption has been withdrawn. </w:t>
      </w:r>
      <w:r>
        <w:rPr>
          <w:rFonts w:ascii="Calibri" w:cs="Calibri" w:eastAsia="Calibri" w:hAnsi="Calibri"/>
          <w:b/>
          <w:bCs/>
          <w:color w:val="1A1A1A"/>
        </w:rPr>
        <w:t xml:space="preserve">This system now stands on its own.</w:t>
      </w:r>
      <w:r>
        <w:rPr>
          <w:rFonts w:ascii="Calibri" w:cs="Calibri" w:eastAsia="Calibri" w:hAnsi="Calibri"/>
          <w:color w:val="1A1A1A"/>
        </w:rPr>
        <w:t xml:space="preserve"> It keeps its own customer records, raises and numbers its own invoices and receipts, and holds its own consumable stock and equipment records, so nothing else has to be bought or installed before it can run. The accounts wing keeps the general ledger exactly as it does today. If the Board ever adopts an accounting package, a connection to it is already described in this document and can be switched on then.</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One change of premise: the original note put the customer master in CloudZoo ERP. The unit runs no such system, so this system owns the customer master itself, along with its tax invoice numbering, its receipts and its stock (ARC-14, M22-17); M22 specifies an interface to an accounting system generically and delivers it switched off.</w:t>
            </w:r>
            <w:r>
              <w:rPr>
                <w:rFonts w:ascii="Calibri" w:cs="Calibri" w:eastAsia="Calibri" w:hAnsi="Calibri"/>
                <w:color w:val="1A1A1A"/>
                <w:sz w:val="18"/>
                <w:szCs w:val="18"/>
              </w:rPr>
              <w:t xml:space="preserve"> Beyond that: 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grade tables you work to</w:t>
            </w:r>
            <w:r>
              <w:rPr>
                <w:rFonts w:ascii="Calibri" w:cs="Calibri" w:eastAsia="Calibri" w:hAnsi="Calibri"/>
                <w:color w:val="1A1A1A"/>
                <w:sz w:val="18"/>
                <w:szCs w:val="18"/>
              </w:rPr>
              <w:t xml:space="preserve"> — the limit values for 4A, 3A, 2A, A, B, C, D and E, for each characteristic, in each size category. A photocopy of the page is perfect.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grading is built but will not produce a grade without them. We deliberately did not invent the numbers, because a grade that looks right and is wrong is settled against in money and nobody can tell by looking. This is the one place the software refuses to guess and simply stops.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t>
            </w:r>
            <w:r>
              <w:rPr>
                <w:rFonts w:ascii="Calibri" w:cs="Calibri" w:eastAsia="Calibri" w:hAnsi="Calibri"/>
                <w:b/>
                <w:bCs/>
                <w:color w:val="1A1A1A"/>
                <w:sz w:val="18"/>
                <w:szCs w:val="18"/>
              </w:rPr>
              <w:t xml:space="preserve">beyond the laboratory's own indent</w:t>
            </w:r>
            <w:r>
              <w:rPr>
                <w:rFonts w:ascii="Calibri" w:cs="Calibri" w:eastAsia="Calibri" w:hAnsi="Calibri"/>
                <w:color w:val="1A1A1A"/>
                <w:sz w:val="18"/>
                <w:szCs w:val="18"/>
              </w:rPr>
              <w:t xml:space="preserve"> — sanction, tender, GeM purchase, purchase order approval, and payment to the supplier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owned by the unit's accounts wing. The LIMS </w:t>
            </w:r>
            <w:r>
              <w:rPr>
                <w:rFonts w:ascii="Calibri" w:cs="Calibri" w:eastAsia="Calibri" w:hAnsi="Calibri"/>
                <w:b/>
                <w:bCs/>
                <w:color w:val="1A1A1A"/>
                <w:sz w:val="18"/>
                <w:szCs w:val="18"/>
              </w:rPr>
              <w:t xml:space="preserve">does</w:t>
            </w:r>
            <w:r>
              <w:rPr>
                <w:rFonts w:ascii="Calibri" w:cs="Calibri" w:eastAsia="Calibri" w:hAnsi="Calibri"/>
                <w:color w:val="1A1A1A"/>
                <w:sz w:val="18"/>
                <w:szCs w:val="18"/>
              </w:rPr>
              <w:t xml:space="preserve"> raise and approve the laboratory's own purchase indent, with its technical acceptance criteria per line (M12-21), and prints it for that process; it then records what stock arrived and what it was used for. It goes no further down the chain.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beyond the laboratory's own indent</w:t>
      </w:r>
      <w:r>
        <w:rPr>
          <w:rFonts w:ascii="Calibri" w:cs="Calibri" w:eastAsia="Calibri" w:hAnsi="Calibri"/>
          <w:color w:val="1A1A1A"/>
        </w:rPr>
        <w:t xml:space="preserve"> — sanction, tender, purchase order approval and payment to the supplier. The laboratory's own indent, with the technical acceptance criteria against which the goods are checked on receipt, is raised and approved inside the system (M12-21) and printed for the unit's purchasing process.</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creates no charge on the customer ledger,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the customer ledger, the invoice register or the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and no entry on the customer ledger,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This system keeps a </w:t>
      </w:r>
      <w:r>
        <w:rPr>
          <w:rFonts w:ascii="Calibri" w:cs="Calibri" w:eastAsia="Calibri" w:hAnsi="Calibri"/>
          <w:b/>
          <w:bCs/>
          <w:color w:val="1A1A1A"/>
        </w:rPr>
        <w:t xml:space="preserve">working asset record</w:t>
      </w:r>
      <w:r>
        <w:rPr>
          <w:rFonts w:ascii="Calibri" w:cs="Calibri" w:eastAsia="Calibri" w:hAnsi="Calibri"/>
          <w:color w:val="1A1A1A"/>
        </w:rPr>
        <w:t xml:space="preserve"> — supplier, purchase document, cost, date put to use, useful life, physical verification, condemnation reference — alongside the </w:t>
      </w:r>
      <w:r>
        <w:rPr>
          <w:rFonts w:ascii="Calibri" w:cs="Calibri" w:eastAsia="Calibri" w:hAnsi="Calibri"/>
          <w:b/>
          <w:bCs/>
          <w:color w:val="1A1A1A"/>
        </w:rPr>
        <w:t xml:space="preserve">metrological control register</w:t>
      </w:r>
      <w:r>
        <w:rPr>
          <w:rFonts w:ascii="Calibri" w:cs="Calibri" w:eastAsia="Calibri" w:hAnsi="Calibri"/>
          <w:color w:val="1A1A1A"/>
        </w:rPr>
        <w:t xml:space="preserve"> (range, interval, calibration result, correction factors, out-of-service status). What it does not keep is the financial fixed-asset register: capitalisation, depreciation and book value stay with the unit's accounts wing and the parent institute, outside this software. Both records exist; they are not the same register.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six series are length-constrained — invoice, bill of supply, advance receipt voucher, refund voucher, credit note and debit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A demand only: it creates no charge on the customer ledger and no entry in the invoice register.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Debit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DVM/D/2627/0006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 Raised only where the taxable value or the tax charged on an issued invoice was </w:t>
            </w:r>
            <w:r>
              <w:rPr>
                <w:rFonts w:ascii="Calibri" w:cs="Calibri" w:eastAsia="Calibri" w:hAnsi="Calibri"/>
                <w:b/>
                <w:bCs/>
                <w:color w:val="1A1A1A"/>
                <w:sz w:val="18"/>
                <w:szCs w:val="18"/>
              </w:rPr>
              <w:t xml:space="preserve">less</w:t>
            </w:r>
            <w:r>
              <w:rPr>
                <w:rFonts w:ascii="Calibri" w:cs="Calibri" w:eastAsia="Calibri" w:hAnsi="Calibri"/>
                <w:color w:val="1A1A1A"/>
                <w:sz w:val="18"/>
                <w:szCs w:val="18"/>
              </w:rPr>
              <w:t xml:space="preserve"> than what is payable.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debit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2026-08-20T05:45:29.461Z</dcterms:created>
  <dcterms:modified xsi:type="dcterms:W3CDTF">2026-08-20T05:45:29.462Z</dcterms:modified>
</cp:coreProperties>
</file>

<file path=docProps/custom.xml><?xml version="1.0" encoding="utf-8"?>
<Properties xmlns="http://schemas.openxmlformats.org/officeDocument/2006/custom-properties" xmlns:vt="http://schemas.openxmlformats.org/officeDocument/2006/docPropsVTypes"/>
</file>