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GridVision</w:t>
      </w:r>
    </w:p>
    <w:p>
      <w:pPr>
        <w:spacing w:after="60"/>
      </w:pPr>
      <w:r>
        <w:rPr>
          <w:b/>
          <w:bCs/>
          <w:color w:val="8A1F1F"/>
          <w:sz w:val="30"/>
          <w:szCs w:val="30"/>
        </w:rPr>
        <w:t xml:space="preserve">FINAL MASTER PLAN</w:t>
      </w:r>
    </w:p>
    <w:p>
      <w:pPr>
        <w:spacing w:after="100"/>
      </w:pPr>
      <w:r>
        <w:rPr>
          <w:i/>
          <w:iCs/>
          <w:sz w:val="22"/>
          <w:szCs w:val="22"/>
        </w:rPr>
        <w:t xml:space="preserve">Capstone + Research Plan — v4 (data-verified, ready for execution)</w:t>
      </w:r>
    </w:p>
    <w:p>
      <w:pPr>
        <w:spacing w:after="60"/>
      </w:pPr>
      <w:r>
        <w:rPr>
          <w:i/>
          <w:iCs/>
        </w:rPr>
        <w:t xml:space="preserve">Smart Energy Analytics &amp; AI Copilot</w:t>
      </w:r>
    </w:p>
    <w:p>
      <w:pPr>
        <w:spacing w:after="200"/>
      </w:pPr>
      <w:r>
        <w:rPr>
          <w:i/>
          <w:iCs/>
        </w:rPr>
        <w:t xml:space="preserve">Research Study: Temporal Cluster Instability as a Predictor of Extreme Household Load-Forecast Failure</w:t>
      </w:r>
    </w:p>
    <w:p>
      <w:pPr>
        <w:spacing w:after="120"/>
      </w:pPr>
      <w:r>
        <w:rPr>
          <w:b/>
          <w:bCs/>
        </w:rPr>
        <w:t xml:space="preserve">One project. One dataset. One 20-day schedule. This document is the single source of truth for all four team members.</w:t>
      </w:r>
    </w:p>
    <w:p>
      <w:pPr>
        <w:spacing w:after="120"/>
      </w:pPr>
      <w:r>
        <w:t xml:space="preserve">Frontend: React + TypeScript + Vite | Backend: FastAPI | AI Layer: RAG + Tool-Calling Copilot</w:t>
      </w:r>
    </w:p>
    <w:p>
      <w:pPr>
        <w:spacing w:after="120"/>
      </w:pPr>
      <w:r>
        <w:rPr>
          <w:b/>
          <w:bCs/>
          <w:i/>
          <w:iCs/>
          <w:color w:val="1F5C1F"/>
        </w:rPr>
        <w:t xml:space="preserve">STATUS: </w:t>
      </w:r>
      <w:r>
        <w:rPr>
          <w:i/>
          <w:iCs/>
        </w:rPr>
        <w:t xml:space="preserve">This document replaces v2 and v3. Every gap found in the v3 audit has been fixed, and every dataset assumption has now been checked against the real downloaded Kaggle files, across two verification rounds. Verification found one real problem: a fixed Windows 1–2 Calibration Period only worked for 0.5% of households. We fixed it with a per-household calibration design, confirmed to lose zero qualifying households. There are no remaining open questions about the dataset. The only thing still open, team-wide, is the literature novelty search (§23) — it doesn't block implementation.</w:t>
      </w:r>
    </w:p>
    <w:p>
      <w:pPr>
        <w:pStyle w:val="Heading1"/>
        <w:spacing w:after="150" w:before="300"/>
      </w:pPr>
      <w:r>
        <w:t xml:space="preserve">1. Project Scope</w:t>
      </w:r>
    </w:p>
    <w:p>
      <w:pPr>
        <w:spacing w:after="120"/>
      </w:pPr>
      <w:r>
        <w:rPr>
          <w:b/>
          <w:bCs/>
        </w:rPr>
        <w:t xml:space="preserve">One project, two purposes: a working capstone application and a defensible research study. No Phase 2, no future version.</w:t>
      </w:r>
    </w:p>
    <w:p>
      <w:pPr>
        <w:pStyle w:val="Heading2"/>
        <w:spacing w:after="100" w:before="200"/>
      </w:pPr>
      <w:r>
        <w:t xml:space="preserve">1.1 Capstone Title</w:t>
      </w:r>
    </w:p>
    <w:p>
      <w:pPr>
        <w:spacing w:after="120"/>
      </w:pPr>
      <w:r>
        <w:t xml:space="preserve">GridVision — Smart Energy Analytics &amp; AI Copilot: Multi-Task Electricity Demand Forecasting, Anomaly Detection, and Consumption Segmentation with a RAG-Powered Operations Copilot.</w:t>
      </w:r>
    </w:p>
    <w:p>
      <w:pPr>
        <w:pStyle w:val="Heading2"/>
        <w:spacing w:after="100" w:before="200"/>
      </w:pPr>
      <w:r>
        <w:t xml:space="preserve">1.2 Research Question</w:t>
      </w:r>
    </w:p>
    <w:p>
      <w:pPr>
        <w:spacing w:after="120"/>
      </w:pPr>
      <w:r>
        <w:rPr>
          <w:b/>
          <w:bCs/>
        </w:rPr>
        <w:t xml:space="preserve">Does temporal instability in household behavioral-cluster assignments predict subsequent extreme load-forecast errors, after controlling for intrinsic consumption volatility?</w:t>
      </w:r>
    </w:p>
    <w:p>
      <w:pPr>
        <w:spacing w:after="120"/>
      </w:pPr>
      <w:r>
        <w:t xml:space="preserve">Predictor: instability. Outcome: extreme forecast failure. Control: volatility. Time order: window w predicts window w+1. Population: flat-rate Low Carbon London households. This is a prospective, associational design — it does not claim causation.</w:t>
      </w:r>
    </w:p>
    <w:p>
      <w:pPr>
        <w:pStyle w:val="Heading1"/>
        <w:spacing w:after="150" w:before="300"/>
      </w:pPr>
      <w:r>
        <w:t xml:space="preserve">2. Project Definition</w:t>
      </w:r>
    </w:p>
    <w:p>
      <w:pPr>
        <w:pStyle w:val="Heading2"/>
        <w:spacing w:after="100" w:before="200"/>
      </w:pPr>
      <w:r>
        <w:t xml:space="preserve">2.1 The Problem</w:t>
      </w:r>
    </w:p>
    <w:p>
      <w:pPr>
        <w:spacing w:after="120"/>
      </w:pPr>
      <w:r>
        <w:t xml:space="preserve">Cluster-based load forecasting assumes every consumer in a segment is equally well represented by that segment. In reality, some consumers are weakly or inconsistently assigned to their cluster. No existing smart-meter pipeline flags, in advance, which consumers are at higher risk of large forecast errors because of this.</w:t>
      </w:r>
    </w:p>
    <w:p>
      <w:pPr>
        <w:pStyle w:val="Heading2"/>
        <w:spacing w:after="100" w:before="200"/>
      </w:pPr>
      <w:r>
        <w:t xml:space="preserve">2.2 Who This Is For</w:t>
      </w:r>
    </w:p>
    <w:p>
      <w:pPr>
        <w:pStyle w:val="ListParagraph"/>
        <w:numPr>
          <w:ilvl w:val="0"/>
          <w:numId w:val="1"/>
        </w:numPr>
        <w:spacing w:after="60"/>
      </w:pPr>
      <w:r>
        <w:t xml:space="preserve">Capstone: grid and facility operations analysts, who use the app to forecast demand, monitor anomalies, and get segmentation-based insight.</w:t>
      </w:r>
    </w:p>
    <w:p>
      <w:pPr>
        <w:pStyle w:val="ListParagraph"/>
        <w:numPr>
          <w:ilvl w:val="0"/>
          <w:numId w:val="1"/>
        </w:numPr>
        <w:spacing w:after="60"/>
      </w:pPr>
      <w:r>
        <w:t xml:space="preserve">Research: the research community studying how reliable cluster-based forecasting really is.</w:t>
      </w:r>
    </w:p>
    <w:p>
      <w:pPr>
        <w:pStyle w:val="Heading2"/>
        <w:spacing w:after="100" w:before="200"/>
      </w:pPr>
      <w:r>
        <w:t xml:space="preserve">2.3 What the System Produces</w:t>
      </w:r>
    </w:p>
    <w:p>
      <w:pPr>
        <w:pStyle w:val="ListParagraph"/>
        <w:numPr>
          <w:ilvl w:val="0"/>
          <w:numId w:val="1"/>
        </w:numPr>
        <w:spacing w:after="60"/>
      </w:pPr>
      <w:r>
        <w:t xml:space="preserve">A demand forecast for each consumer, compared against a naive-seasonal baseline.</w:t>
      </w:r>
    </w:p>
    <w:p>
      <w:pPr>
        <w:pStyle w:val="ListParagraph"/>
        <w:numPr>
          <w:ilvl w:val="0"/>
          <w:numId w:val="1"/>
        </w:numPr>
        <w:spacing w:after="60"/>
      </w:pPr>
      <w:r>
        <w:t xml:space="preserve">A consumption-segment (cluster) label for each consumer, updated over time.</w:t>
      </w:r>
    </w:p>
    <w:p>
      <w:pPr>
        <w:pStyle w:val="ListParagraph"/>
        <w:numPr>
          <w:ilvl w:val="0"/>
          <w:numId w:val="1"/>
        </w:numPr>
        <w:spacing w:after="60"/>
      </w:pPr>
      <w:r>
        <w:t xml:space="preserve">An anomaly flag with a plain explanation (a different mechanism from the forecaster's SHAP explanation — see §7 and §9.2).</w:t>
      </w:r>
    </w:p>
    <w:p>
      <w:pPr>
        <w:pStyle w:val="ListParagraph"/>
        <w:numPr>
          <w:ilvl w:val="0"/>
          <w:numId w:val="1"/>
        </w:numPr>
        <w:spacing w:after="60"/>
      </w:pPr>
      <w:r>
        <w:t xml:space="preserve">A per-consumer instability score and forecast-reliability indicator — the one feature that is shared by the capstone and the research study.</w:t>
      </w:r>
    </w:p>
    <w:p>
      <w:pPr>
        <w:pStyle w:val="ListParagraph"/>
        <w:numPr>
          <w:ilvl w:val="0"/>
          <w:numId w:val="1"/>
        </w:numPr>
        <w:spacing w:after="60"/>
      </w:pPr>
      <w:r>
        <w:t xml:space="preserve">A RAG-grounded, natural-language answer to operator questions.</w:t>
      </w:r>
    </w:p>
    <w:p>
      <w:pPr>
        <w:pStyle w:val="Heading1"/>
        <w:spacing w:after="150" w:before="300"/>
      </w:pPr>
      <w:r>
        <w:t xml:space="preserve">3. Dataset (Verified)</w:t>
      </w:r>
    </w:p>
    <w:p>
      <w:pPr>
        <w:spacing w:after="120"/>
      </w:pPr>
      <w:r>
        <w:rPr>
          <w:b/>
          <w:bCs/>
          <w:i/>
          <w:iCs/>
          <w:color w:val="1F5C1F"/>
        </w:rPr>
        <w:t xml:space="preserve">VERIFICATION STATUS: </w:t>
      </w:r>
      <w:r>
        <w:rPr>
          <w:i/>
          <w:iCs/>
        </w:rPr>
        <w:t xml:space="preserve">Everything in this section is now a confirmed fact, checked directly against the downloaded Kaggle files on Sept 26, 2026 — not an assumption.</w:t>
      </w:r>
    </w:p>
    <w:p>
      <w:pPr>
        <w:pStyle w:val="Heading2"/>
        <w:spacing w:after="100" w:before="200"/>
      </w:pPr>
      <w:r>
        <w:t xml:space="preserve">3.1 Source and Files</w:t>
      </w:r>
    </w:p>
    <w:p>
      <w:pPr>
        <w:pStyle w:val="ListParagraph"/>
        <w:numPr>
          <w:ilvl w:val="0"/>
          <w:numId w:val="1"/>
        </w:numPr>
        <w:spacing w:after="60"/>
      </w:pPr>
      <w:r>
        <w:t xml:space="preserve">Source: Low Carbon London (LCL) smart meter dataset, Kaggle mirror. No registration needed — the files are plain local CSVs.</w:t>
      </w:r>
    </w:p>
    <w:p>
      <w:pPr>
        <w:pStyle w:val="ListParagraph"/>
        <w:numPr>
          <w:ilvl w:val="0"/>
          <w:numId w:val="1"/>
        </w:numPr>
        <w:spacing w:after="60"/>
      </w:pPr>
      <w:r>
        <w:t xml:space="preserve">Total raw size: 10.27 GB, spread across informations_households.csv, daily_dataset/, halfhourly_dataset/, hhblock_dataset/, weather files, and uk_bank_holidays.csv.</w:t>
      </w:r>
    </w:p>
    <w:p>
      <w:pPr>
        <w:pStyle w:val="ListParagraph"/>
        <w:numPr>
          <w:ilvl w:val="0"/>
          <w:numId w:val="1"/>
        </w:numPr>
        <w:spacing w:after="60"/>
      </w:pPr>
      <w:r>
        <w:t xml:space="preserve">Primary readings file: hhblock_dataset/block_*.csv — a wide format with columns LCLid, day, and hh_0 through hh_47 (float64). This is the right choice: the alternative long-format file (halfhourly_dataset/) stores its energy(kWh/hh) column as int64, all zero in this mirror — a data-quality problem we avoid by using hhblock instead.</w:t>
      </w:r>
    </w:p>
    <w:p>
      <w:pPr>
        <w:pStyle w:val="ListParagraph"/>
        <w:numPr>
          <w:ilvl w:val="0"/>
          <w:numId w:val="1"/>
        </w:numPr>
        <w:spacing w:after="60"/>
      </w:pPr>
      <w:r>
        <w:t xml:space="preserve">Metadata file: informations_households.csv — 5,566 households, with columns LCLid, stdorToU, Acorn, Acorn_grouped, and file.</w:t>
      </w:r>
    </w:p>
    <w:p>
      <w:pPr>
        <w:pStyle w:val="ListParagraph"/>
        <w:numPr>
          <w:ilvl w:val="0"/>
          <w:numId w:val="1"/>
        </w:numPr>
        <w:spacing w:after="60"/>
      </w:pPr>
      <w:r>
        <w:t xml:space="preserve">Join key: LCLid. A single key is enough — no compound join needed.</w:t>
      </w:r>
    </w:p>
    <w:p>
      <w:pPr>
        <w:pStyle w:val="Heading2"/>
        <w:spacing w:after="100" w:before="200"/>
      </w:pPr>
      <w:r>
        <w:t xml:space="preserve">3.2 Tariff Group Filter</w:t>
      </w:r>
    </w:p>
    <w:p>
      <w:pPr>
        <w:pStyle w:val="ListParagraph"/>
        <w:numPr>
          <w:ilvl w:val="0"/>
          <w:numId w:val="1"/>
        </w:numPr>
        <w:spacing w:after="60"/>
      </w:pPr>
      <w:r>
        <w:t xml:space="preserve">Column: stdorToU. Values: 'Std' (flat-rate) and 'ToU' (dynamic Time-of-Use) — no other variants.</w:t>
      </w:r>
    </w:p>
    <w:p>
      <w:pPr>
        <w:pStyle w:val="ListParagraph"/>
        <w:numPr>
          <w:ilvl w:val="0"/>
          <w:numId w:val="1"/>
        </w:numPr>
        <w:spacing w:after="60"/>
      </w:pPr>
      <w:r>
        <w:t xml:space="preserve">Confirmed counts: 4,443 flat-rate households, 1,123 dToU households, 5,566 total.</w:t>
      </w:r>
    </w:p>
    <w:p>
      <w:pPr>
        <w:pStyle w:val="ListParagraph"/>
        <w:numPr>
          <w:ilvl w:val="0"/>
          <w:numId w:val="1"/>
        </w:numPr>
        <w:spacing w:after="60"/>
      </w:pPr>
      <w:r>
        <w:t xml:space="preserve">The primary research sample uses stdorToU == 'Std' only. dToU households stay excluded, because their behavior change is driven by the pricing trial, not organic drift. They're kept in reserve only for an optional generalization check later, never merged into the primary sample without a tariff control.</w:t>
      </w:r>
    </w:p>
    <w:p>
      <w:pPr>
        <w:pStyle w:val="Heading2"/>
        <w:spacing w:after="100" w:before="200"/>
      </w:pPr>
      <w:r>
        <w:t xml:space="preserve">3.3 ACORN Stratification</w:t>
      </w:r>
    </w:p>
    <w:p>
      <w:pPr>
        <w:pStyle w:val="ListParagraph"/>
        <w:numPr>
          <w:ilvl w:val="0"/>
          <w:numId w:val="1"/>
        </w:numPr>
        <w:spacing w:after="60"/>
      </w:pPr>
      <w:r>
        <w:t xml:space="preserve">Confirmed: 100% of flat-rate households have an ACORN classification — no nulls.</w:t>
      </w:r>
    </w:p>
    <w:p>
      <w:pPr>
        <w:pStyle w:val="ListParagraph"/>
        <w:numPr>
          <w:ilvl w:val="0"/>
          <w:numId w:val="1"/>
        </w:numPr>
        <w:spacing w:after="60"/>
      </w:pPr>
      <w:r>
        <w:t xml:space="preserve">We stratify by Acorn_grouped (Affluent: 1,702, Adversity: 1,518, Comfortable: 1,184, ACORN-U: 39, across all flat-rate households).</w:t>
      </w:r>
    </w:p>
    <w:p>
      <w:pPr>
        <w:pStyle w:val="ListParagraph"/>
        <w:numPr>
          <w:ilvl w:val="0"/>
          <w:numId w:val="1"/>
        </w:numPr>
        <w:spacing w:after="60"/>
      </w:pPr>
      <w:r>
        <w:t xml:space="preserve">We do not stratify by fine-grained Acorn — some of those categories (e.g. ACORN-B, 21 households total) are too small to stratify on directly.</w:t>
      </w:r>
    </w:p>
    <w:p>
      <w:pPr>
        <w:pStyle w:val="Heading2"/>
        <w:spacing w:after="100" w:before="200"/>
      </w:pPr>
      <w:r>
        <w:t xml:space="preserve">3.4 Data Quality</w:t>
      </w:r>
    </w:p>
    <w:p>
      <w:pPr>
        <w:pStyle w:val="ListParagraph"/>
        <w:numPr>
          <w:ilvl w:val="0"/>
          <w:numId w:val="1"/>
        </w:numPr>
        <w:spacing w:after="60"/>
      </w:pPr>
      <w:r>
        <w:t xml:space="preserve">Confirmed: zero households have negative readings, across the whole flat-rate group.</w:t>
      </w:r>
    </w:p>
    <w:p>
      <w:pPr>
        <w:pStyle w:val="ListParagraph"/>
        <w:numPr>
          <w:ilvl w:val="0"/>
          <w:numId w:val="1"/>
        </w:numPr>
        <w:spacing w:after="60"/>
      </w:pPr>
      <w:r>
        <w:t xml:space="preserve">The original plan to flag "spikes over 10x the household median" as bad data doesn't hold up: 85.1% of households trigger it. That's normal appliance behavior — kettles, ovens, EV chargers — not corrupted data. So we drop that rule entirely as a data-quality filter. Instead, data quality is judged only by (a) negative readings (none found) and (b) long gaps (below). Spike size still matters, but only later, as an input to the anomaly-detection module's own threshold — never as a reason to exclude a household from the sample.</w:t>
      </w:r>
    </w:p>
    <w:p>
      <w:pPr>
        <w:pStyle w:val="ListParagraph"/>
        <w:numPr>
          <w:ilvl w:val="0"/>
          <w:numId w:val="1"/>
        </w:numPr>
        <w:spacing w:after="60"/>
      </w:pPr>
      <w:r>
        <w:t xml:space="preserve">Confirmed: 42 households (0.9% of the flat-rate group) have a gap longer than 7 consecutive days. That's small enough to exclude through the standard window-completeness rule below, without meaningfully shrinking the pool.</w:t>
      </w:r>
    </w:p>
    <w:p>
      <w:pPr>
        <w:pStyle w:val="ListParagraph"/>
        <w:numPr>
          <w:ilvl w:val="0"/>
          <w:numId w:val="1"/>
        </w:numPr>
        <w:spacing w:after="60"/>
      </w:pPr>
      <w:r>
        <w:t xml:space="preserve">Confirmed: median per-household missingness is 0.71%, and 95% of households are under 2% missing. Data completeness is not a real concern for this dataset.</w:t>
      </w:r>
    </w:p>
    <w:p>
      <w:pPr>
        <w:pStyle w:val="Heading2"/>
        <w:spacing w:after="100" w:before="200"/>
      </w:pPr>
      <w:r>
        <w:t xml:space="preserve">3.5 Window Schedule</w:t>
      </w:r>
    </w:p>
    <w:p>
      <w:pPr>
        <w:pStyle w:val="ListParagraph"/>
        <w:numPr>
          <w:ilvl w:val="0"/>
          <w:numId w:val="1"/>
        </w:numPr>
        <w:spacing w:after="60"/>
      </w:pPr>
      <w:r>
        <w:t xml:space="preserve">14 fixed, non-overlapping 8-week (56-day) windows, aligned to the same calendar dates for every household. This matters: the pooled global forecaster trains on "data up to the end of window w" across all households at once, so window w has to mean the same real dates for everyone.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tblGrid>
      <w:tr>
        <w:tc>
          <w:tcPr>
            <w:tcW w:type="dxa" w:w="1500"/>
            <w:shd w:fill="D9E2F3" w:val="clear"/>
          </w:tcPr>
          <w:p>
            <w:r>
              <w:rPr>
                <w:b/>
                <w:bCs/>
              </w:rPr>
              <w:t xml:space="preserve">Window</w:t>
            </w:r>
          </w:p>
        </w:tc>
        <w:tc>
          <w:tcPr>
            <w:tcW w:type="dxa" w:w="3000"/>
            <w:shd w:fill="D9E2F3" w:val="clear"/>
          </w:tcPr>
          <w:p>
            <w:r>
              <w:rPr>
                <w:b/>
                <w:bCs/>
              </w:rPr>
              <w:t xml:space="preserve">Start</w:t>
            </w:r>
          </w:p>
        </w:tc>
        <w:tc>
          <w:tcPr>
            <w:tcW w:type="dxa" w:w="3000"/>
            <w:shd w:fill="D9E2F3" w:val="clear"/>
          </w:tcPr>
          <w:p>
            <w:r>
              <w:rPr>
                <w:b/>
                <w:bCs/>
              </w:rPr>
              <w:t xml:space="preserve">End</w:t>
            </w:r>
          </w:p>
        </w:tc>
      </w:tr>
      <w:tr>
        <w:tc>
          <w:tcPr>
            <w:tcW w:type="dxa" w:w="1500"/>
          </w:tcPr>
          <w:p>
            <w:r>
              <w:rPr>
                <w:b w:val="false"/>
                <w:bCs w:val="false"/>
              </w:rPr>
              <w:t xml:space="preserve">W01</w:t>
            </w:r>
          </w:p>
        </w:tc>
        <w:tc>
          <w:tcPr>
            <w:tcW w:type="dxa" w:w="3000"/>
          </w:tcPr>
          <w:p>
            <w:r>
              <w:rPr>
                <w:b w:val="false"/>
                <w:bCs w:val="false"/>
              </w:rPr>
              <w:t xml:space="preserve">2011-11-24</w:t>
            </w:r>
          </w:p>
        </w:tc>
        <w:tc>
          <w:tcPr>
            <w:tcW w:type="dxa" w:w="3000"/>
          </w:tcPr>
          <w:p>
            <w:r>
              <w:rPr>
                <w:b w:val="false"/>
                <w:bCs w:val="false"/>
              </w:rPr>
              <w:t xml:space="preserve">2012-01-18</w:t>
            </w:r>
          </w:p>
        </w:tc>
      </w:tr>
      <w:tr>
        <w:tc>
          <w:tcPr>
            <w:tcW w:type="dxa" w:w="1500"/>
          </w:tcPr>
          <w:p>
            <w:r>
              <w:rPr>
                <w:b w:val="false"/>
                <w:bCs w:val="false"/>
              </w:rPr>
              <w:t xml:space="preserve">W02</w:t>
            </w:r>
          </w:p>
        </w:tc>
        <w:tc>
          <w:tcPr>
            <w:tcW w:type="dxa" w:w="3000"/>
          </w:tcPr>
          <w:p>
            <w:r>
              <w:rPr>
                <w:b w:val="false"/>
                <w:bCs w:val="false"/>
              </w:rPr>
              <w:t xml:space="preserve">2012-01-19</w:t>
            </w:r>
          </w:p>
        </w:tc>
        <w:tc>
          <w:tcPr>
            <w:tcW w:type="dxa" w:w="3000"/>
          </w:tcPr>
          <w:p>
            <w:r>
              <w:rPr>
                <w:b w:val="false"/>
                <w:bCs w:val="false"/>
              </w:rPr>
              <w:t xml:space="preserve">2012-03-14</w:t>
            </w:r>
          </w:p>
        </w:tc>
      </w:tr>
      <w:tr>
        <w:tc>
          <w:tcPr>
            <w:tcW w:type="dxa" w:w="1500"/>
          </w:tcPr>
          <w:p>
            <w:r>
              <w:rPr>
                <w:b w:val="false"/>
                <w:bCs w:val="false"/>
              </w:rPr>
              <w:t xml:space="preserve">W03</w:t>
            </w:r>
          </w:p>
        </w:tc>
        <w:tc>
          <w:tcPr>
            <w:tcW w:type="dxa" w:w="3000"/>
          </w:tcPr>
          <w:p>
            <w:r>
              <w:rPr>
                <w:b w:val="false"/>
                <w:bCs w:val="false"/>
              </w:rPr>
              <w:t xml:space="preserve">2012-03-15</w:t>
            </w:r>
          </w:p>
        </w:tc>
        <w:tc>
          <w:tcPr>
            <w:tcW w:type="dxa" w:w="3000"/>
          </w:tcPr>
          <w:p>
            <w:r>
              <w:rPr>
                <w:b w:val="false"/>
                <w:bCs w:val="false"/>
              </w:rPr>
              <w:t xml:space="preserve">2012-05-09</w:t>
            </w:r>
          </w:p>
        </w:tc>
      </w:tr>
      <w:tr>
        <w:tc>
          <w:tcPr>
            <w:tcW w:type="dxa" w:w="1500"/>
          </w:tcPr>
          <w:p>
            <w:r>
              <w:rPr>
                <w:b w:val="false"/>
                <w:bCs w:val="false"/>
              </w:rPr>
              <w:t xml:space="preserve">W04</w:t>
            </w:r>
          </w:p>
        </w:tc>
        <w:tc>
          <w:tcPr>
            <w:tcW w:type="dxa" w:w="3000"/>
          </w:tcPr>
          <w:p>
            <w:r>
              <w:rPr>
                <w:b w:val="false"/>
                <w:bCs w:val="false"/>
              </w:rPr>
              <w:t xml:space="preserve">2012-05-10</w:t>
            </w:r>
          </w:p>
        </w:tc>
        <w:tc>
          <w:tcPr>
            <w:tcW w:type="dxa" w:w="3000"/>
          </w:tcPr>
          <w:p>
            <w:r>
              <w:rPr>
                <w:b w:val="false"/>
                <w:bCs w:val="false"/>
              </w:rPr>
              <w:t xml:space="preserve">2012-07-04</w:t>
            </w:r>
          </w:p>
        </w:tc>
      </w:tr>
      <w:tr>
        <w:tc>
          <w:tcPr>
            <w:tcW w:type="dxa" w:w="1500"/>
          </w:tcPr>
          <w:p>
            <w:r>
              <w:rPr>
                <w:b w:val="false"/>
                <w:bCs w:val="false"/>
              </w:rPr>
              <w:t xml:space="preserve">W05</w:t>
            </w:r>
          </w:p>
        </w:tc>
        <w:tc>
          <w:tcPr>
            <w:tcW w:type="dxa" w:w="3000"/>
          </w:tcPr>
          <w:p>
            <w:r>
              <w:rPr>
                <w:b w:val="false"/>
                <w:bCs w:val="false"/>
              </w:rPr>
              <w:t xml:space="preserve">2012-07-05</w:t>
            </w:r>
          </w:p>
        </w:tc>
        <w:tc>
          <w:tcPr>
            <w:tcW w:type="dxa" w:w="3000"/>
          </w:tcPr>
          <w:p>
            <w:r>
              <w:rPr>
                <w:b w:val="false"/>
                <w:bCs w:val="false"/>
              </w:rPr>
              <w:t xml:space="preserve">2012-08-29</w:t>
            </w:r>
          </w:p>
        </w:tc>
      </w:tr>
      <w:tr>
        <w:tc>
          <w:tcPr>
            <w:tcW w:type="dxa" w:w="1500"/>
          </w:tcPr>
          <w:p>
            <w:r>
              <w:rPr>
                <w:b w:val="false"/>
                <w:bCs w:val="false"/>
              </w:rPr>
              <w:t xml:space="preserve">W06</w:t>
            </w:r>
          </w:p>
        </w:tc>
        <w:tc>
          <w:tcPr>
            <w:tcW w:type="dxa" w:w="3000"/>
          </w:tcPr>
          <w:p>
            <w:r>
              <w:rPr>
                <w:b w:val="false"/>
                <w:bCs w:val="false"/>
              </w:rPr>
              <w:t xml:space="preserve">2012-08-30</w:t>
            </w:r>
          </w:p>
        </w:tc>
        <w:tc>
          <w:tcPr>
            <w:tcW w:type="dxa" w:w="3000"/>
          </w:tcPr>
          <w:p>
            <w:r>
              <w:rPr>
                <w:b w:val="false"/>
                <w:bCs w:val="false"/>
              </w:rPr>
              <w:t xml:space="preserve">2012-10-24</w:t>
            </w:r>
          </w:p>
        </w:tc>
      </w:tr>
      <w:tr>
        <w:tc>
          <w:tcPr>
            <w:tcW w:type="dxa" w:w="1500"/>
          </w:tcPr>
          <w:p>
            <w:r>
              <w:rPr>
                <w:b w:val="false"/>
                <w:bCs w:val="false"/>
              </w:rPr>
              <w:t xml:space="preserve">W07</w:t>
            </w:r>
          </w:p>
        </w:tc>
        <w:tc>
          <w:tcPr>
            <w:tcW w:type="dxa" w:w="3000"/>
          </w:tcPr>
          <w:p>
            <w:r>
              <w:rPr>
                <w:b w:val="false"/>
                <w:bCs w:val="false"/>
              </w:rPr>
              <w:t xml:space="preserve">2012-10-25</w:t>
            </w:r>
          </w:p>
        </w:tc>
        <w:tc>
          <w:tcPr>
            <w:tcW w:type="dxa" w:w="3000"/>
          </w:tcPr>
          <w:p>
            <w:r>
              <w:rPr>
                <w:b w:val="false"/>
                <w:bCs w:val="false"/>
              </w:rPr>
              <w:t xml:space="preserve">2012-12-19</w:t>
            </w:r>
          </w:p>
        </w:tc>
      </w:tr>
      <w:tr>
        <w:tc>
          <w:tcPr>
            <w:tcW w:type="dxa" w:w="1500"/>
          </w:tcPr>
          <w:p>
            <w:r>
              <w:rPr>
                <w:b w:val="false"/>
                <w:bCs w:val="false"/>
              </w:rPr>
              <w:t xml:space="preserve">W08</w:t>
            </w:r>
          </w:p>
        </w:tc>
        <w:tc>
          <w:tcPr>
            <w:tcW w:type="dxa" w:w="3000"/>
          </w:tcPr>
          <w:p>
            <w:r>
              <w:rPr>
                <w:b w:val="false"/>
                <w:bCs w:val="false"/>
              </w:rPr>
              <w:t xml:space="preserve">2012-12-20</w:t>
            </w:r>
          </w:p>
        </w:tc>
        <w:tc>
          <w:tcPr>
            <w:tcW w:type="dxa" w:w="3000"/>
          </w:tcPr>
          <w:p>
            <w:r>
              <w:rPr>
                <w:b w:val="false"/>
                <w:bCs w:val="false"/>
              </w:rPr>
              <w:t xml:space="preserve">2013-02-13</w:t>
            </w:r>
          </w:p>
        </w:tc>
      </w:tr>
      <w:tr>
        <w:tc>
          <w:tcPr>
            <w:tcW w:type="dxa" w:w="1500"/>
          </w:tcPr>
          <w:p>
            <w:r>
              <w:rPr>
                <w:b w:val="false"/>
                <w:bCs w:val="false"/>
              </w:rPr>
              <w:t xml:space="preserve">W09</w:t>
            </w:r>
          </w:p>
        </w:tc>
        <w:tc>
          <w:tcPr>
            <w:tcW w:type="dxa" w:w="3000"/>
          </w:tcPr>
          <w:p>
            <w:r>
              <w:rPr>
                <w:b w:val="false"/>
                <w:bCs w:val="false"/>
              </w:rPr>
              <w:t xml:space="preserve">2013-02-14</w:t>
            </w:r>
          </w:p>
        </w:tc>
        <w:tc>
          <w:tcPr>
            <w:tcW w:type="dxa" w:w="3000"/>
          </w:tcPr>
          <w:p>
            <w:r>
              <w:rPr>
                <w:b w:val="false"/>
                <w:bCs w:val="false"/>
              </w:rPr>
              <w:t xml:space="preserve">2013-04-10</w:t>
            </w:r>
          </w:p>
        </w:tc>
      </w:tr>
      <w:tr>
        <w:tc>
          <w:tcPr>
            <w:tcW w:type="dxa" w:w="1500"/>
          </w:tcPr>
          <w:p>
            <w:r>
              <w:rPr>
                <w:b w:val="false"/>
                <w:bCs w:val="false"/>
              </w:rPr>
              <w:t xml:space="preserve">W10</w:t>
            </w:r>
          </w:p>
        </w:tc>
        <w:tc>
          <w:tcPr>
            <w:tcW w:type="dxa" w:w="3000"/>
          </w:tcPr>
          <w:p>
            <w:r>
              <w:rPr>
                <w:b w:val="false"/>
                <w:bCs w:val="false"/>
              </w:rPr>
              <w:t xml:space="preserve">2013-04-11</w:t>
            </w:r>
          </w:p>
        </w:tc>
        <w:tc>
          <w:tcPr>
            <w:tcW w:type="dxa" w:w="3000"/>
          </w:tcPr>
          <w:p>
            <w:r>
              <w:rPr>
                <w:b w:val="false"/>
                <w:bCs w:val="false"/>
              </w:rPr>
              <w:t xml:space="preserve">2013-06-05</w:t>
            </w:r>
          </w:p>
        </w:tc>
      </w:tr>
      <w:tr>
        <w:tc>
          <w:tcPr>
            <w:tcW w:type="dxa" w:w="1500"/>
          </w:tcPr>
          <w:p>
            <w:r>
              <w:rPr>
                <w:b w:val="false"/>
                <w:bCs w:val="false"/>
              </w:rPr>
              <w:t xml:space="preserve">W11</w:t>
            </w:r>
          </w:p>
        </w:tc>
        <w:tc>
          <w:tcPr>
            <w:tcW w:type="dxa" w:w="3000"/>
          </w:tcPr>
          <w:p>
            <w:r>
              <w:rPr>
                <w:b w:val="false"/>
                <w:bCs w:val="false"/>
              </w:rPr>
              <w:t xml:space="preserve">2013-06-06</w:t>
            </w:r>
          </w:p>
        </w:tc>
        <w:tc>
          <w:tcPr>
            <w:tcW w:type="dxa" w:w="3000"/>
          </w:tcPr>
          <w:p>
            <w:r>
              <w:rPr>
                <w:b w:val="false"/>
                <w:bCs w:val="false"/>
              </w:rPr>
              <w:t xml:space="preserve">2013-07-31</w:t>
            </w:r>
          </w:p>
        </w:tc>
      </w:tr>
      <w:tr>
        <w:tc>
          <w:tcPr>
            <w:tcW w:type="dxa" w:w="1500"/>
          </w:tcPr>
          <w:p>
            <w:r>
              <w:rPr>
                <w:b w:val="false"/>
                <w:bCs w:val="false"/>
              </w:rPr>
              <w:t xml:space="preserve">W12</w:t>
            </w:r>
          </w:p>
        </w:tc>
        <w:tc>
          <w:tcPr>
            <w:tcW w:type="dxa" w:w="3000"/>
          </w:tcPr>
          <w:p>
            <w:r>
              <w:rPr>
                <w:b w:val="false"/>
                <w:bCs w:val="false"/>
              </w:rPr>
              <w:t xml:space="preserve">2013-08-01</w:t>
            </w:r>
          </w:p>
        </w:tc>
        <w:tc>
          <w:tcPr>
            <w:tcW w:type="dxa" w:w="3000"/>
          </w:tcPr>
          <w:p>
            <w:r>
              <w:rPr>
                <w:b w:val="false"/>
                <w:bCs w:val="false"/>
              </w:rPr>
              <w:t xml:space="preserve">2013-09-25</w:t>
            </w:r>
          </w:p>
        </w:tc>
      </w:tr>
      <w:tr>
        <w:tc>
          <w:tcPr>
            <w:tcW w:type="dxa" w:w="1500"/>
          </w:tcPr>
          <w:p>
            <w:r>
              <w:rPr>
                <w:b w:val="false"/>
                <w:bCs w:val="false"/>
              </w:rPr>
              <w:t xml:space="preserve">W13</w:t>
            </w:r>
          </w:p>
        </w:tc>
        <w:tc>
          <w:tcPr>
            <w:tcW w:type="dxa" w:w="3000"/>
          </w:tcPr>
          <w:p>
            <w:r>
              <w:rPr>
                <w:b w:val="false"/>
                <w:bCs w:val="false"/>
              </w:rPr>
              <w:t xml:space="preserve">2013-09-26</w:t>
            </w:r>
          </w:p>
        </w:tc>
        <w:tc>
          <w:tcPr>
            <w:tcW w:type="dxa" w:w="3000"/>
          </w:tcPr>
          <w:p>
            <w:r>
              <w:rPr>
                <w:b w:val="false"/>
                <w:bCs w:val="false"/>
              </w:rPr>
              <w:t xml:space="preserve">2013-11-20</w:t>
            </w:r>
          </w:p>
        </w:tc>
      </w:tr>
      <w:tr>
        <w:tc>
          <w:tcPr>
            <w:tcW w:type="dxa" w:w="1500"/>
          </w:tcPr>
          <w:p>
            <w:r>
              <w:rPr>
                <w:b w:val="false"/>
                <w:bCs w:val="false"/>
              </w:rPr>
              <w:t xml:space="preserve">W14</w:t>
            </w:r>
          </w:p>
        </w:tc>
        <w:tc>
          <w:tcPr>
            <w:tcW w:type="dxa" w:w="3000"/>
          </w:tcPr>
          <w:p>
            <w:r>
              <w:rPr>
                <w:b w:val="false"/>
                <w:bCs w:val="false"/>
              </w:rPr>
              <w:t xml:space="preserve">2013-11-21</w:t>
            </w:r>
          </w:p>
        </w:tc>
        <w:tc>
          <w:tcPr>
            <w:tcW w:type="dxa" w:w="3000"/>
          </w:tcPr>
          <w:p>
            <w:r>
              <w:rPr>
                <w:b w:val="false"/>
                <w:bCs w:val="false"/>
              </w:rPr>
              <w:t xml:space="preserve">2014-01-15</w:t>
            </w:r>
          </w:p>
        </w:tc>
      </w:tr>
    </w:tbl>
    <w:p>
      <w:pPr>
        <w:pStyle w:val="ListParagraph"/>
        <w:numPr>
          <w:ilvl w:val="0"/>
          <w:numId w:val="1"/>
        </w:numPr>
        <w:spacing w:after="60"/>
      </w:pPr>
      <w:r>
        <w:t xml:space="preserve">A household-window counts as usable if at least 95% of its expected half-hourly readings are present, with no single gap longer than 3 consecutive days.</w:t>
      </w:r>
    </w:p>
    <w:p>
      <w:pPr>
        <w:pStyle w:val="ListParagraph"/>
        <w:numPr>
          <w:ilvl w:val="0"/>
          <w:numId w:val="1"/>
        </w:numPr>
        <w:spacing w:after="60"/>
      </w:pPr>
      <w:r>
        <w:t xml:space="preserve">Confirmed: 4,252 households have at least 6 usable windows; 2,974 have at least 10. The median household has 10 usable windows.</w:t>
      </w:r>
    </w:p>
    <w:p>
      <w:pPr>
        <w:pStyle w:val="Heading2"/>
        <w:spacing w:after="100" w:before="200"/>
      </w:pPr>
      <w:r>
        <w:t xml:space="preserve">3.6 Household Sampling</w:t>
      </w:r>
    </w:p>
    <w:p>
      <w:pPr>
        <w:pStyle w:val="ListParagraph"/>
        <w:numPr>
          <w:ilvl w:val="0"/>
          <w:numId w:val="1"/>
        </w:numPr>
        <w:spacing w:after="60"/>
      </w:pPr>
      <w:r>
        <w:t xml:space="preserve">Primary pool: flat-rate households with at least 6 usable windows and a valid ACORN classification — 4,252 households.</w:t>
      </w:r>
    </w:p>
    <w:p>
      <w:pPr>
        <w:pStyle w:val="ListParagraph"/>
        <w:numPr>
          <w:ilvl w:val="0"/>
          <w:numId w:val="1"/>
        </w:numPr>
        <w:spacing w:after="60"/>
      </w:pPr>
      <w:r>
        <w:t xml:space="preserve">From this pool, we draw a fixed, stratified (by Acorn_grouped) random sample of 500–800 households, once, with a fixed random seed reused throughout the project. This is comfortably achievable: 4,252 is 5.3–8.5x the target range, and every Acorn_grouped group (Affluent 1,623 / Adversity 1,445 / Comfortable 1,148 / ACORN-U 36) can contribute its proportional share. ACORN-U, the smallest group, gets a minimum-floor allocation so it isn't squeezed out.</w:t>
      </w:r>
    </w:p>
    <w:p>
      <w:pPr>
        <w:pStyle w:val="ListParagraph"/>
        <w:numPr>
          <w:ilvl w:val="0"/>
          <w:numId w:val="1"/>
        </w:numPr>
        <w:spacing w:after="60"/>
      </w:pPr>
      <w:r>
        <w:t xml:space="preserve">Confirmed: the qualifying subset converts to a 197 MB Parquet file. Raw data is deleted after conversion (see §12).</w:t>
      </w:r>
    </w:p>
    <w:p>
      <w:pPr>
        <w:pStyle w:val="Heading1"/>
        <w:spacing w:after="150" w:before="300"/>
      </w:pPr>
      <w:r>
        <w:t xml:space="preserve">4. Temporal Design: Per-Household Calibration</w:t>
      </w:r>
    </w:p>
    <w:p>
      <w:pPr>
        <w:spacing w:after="120"/>
      </w:pPr>
      <w:r>
        <w:rPr>
          <w:b/>
          <w:bCs/>
          <w:i/>
          <w:iCs/>
          <w:color w:val="8A1F1F"/>
        </w:rPr>
        <w:t xml:space="preserve">Why this changed: </w:t>
      </w:r>
      <w:r>
        <w:rPr>
          <w:i/>
          <w:iCs/>
        </w:rPr>
        <w:t xml:space="preserve">Round 2 of verification found that the LCL trial enrolled households on a rolling basis — 79.2% of qualifying households have their first reading in W03–W06, not W01. Only 23 of 4,252 qualifying households (0.5%) had usable data in both fixed Windows 1 and 2. A globally fixed Calibration Period would have thrown away 99.5% of the qualifying pool. The fix below keeps all of it.</w:t>
      </w:r>
    </w:p>
    <w:p>
      <w:pPr>
        <w:pStyle w:val="Heading2"/>
        <w:spacing w:after="100" w:before="200"/>
      </w:pPr>
      <w:r>
        <w:t xml:space="preserve">4.1 Timeline Structure</w:t>
      </w:r>
    </w:p>
    <w:p>
      <w:pPr>
        <w:pStyle w:val="ListParagraph"/>
        <w:numPr>
          <w:ilvl w:val="0"/>
          <w:numId w:val="1"/>
        </w:numPr>
        <w:spacing w:after="60"/>
      </w:pPr>
      <w:r>
        <w:t xml:space="preserve">The 14 fixed, calendar-aligned windows from §3.5 don't change — they're still needed for pooled forecasting.</w:t>
      </w:r>
    </w:p>
    <w:p>
      <w:pPr>
        <w:spacing w:after="120"/>
      </w:pPr>
      <w:r>
        <w:rPr>
          <w:b/>
          <w:bCs/>
        </w:rPr>
        <w:t xml:space="preserve">What changes: each household's Calibration Period is now its own first 2 usable windows, in chronological order, using the shared window calendar — not literally the global Window 1 and Window 2. These two windows are used only for calibration and are excluded from that household's Analysis Period.</w:t>
      </w:r>
    </w:p>
    <w:p>
      <w:pPr>
        <w:pStyle w:val="ListParagraph"/>
        <w:numPr>
          <w:ilvl w:val="0"/>
          <w:numId w:val="1"/>
        </w:numPr>
        <w:spacing w:after="60"/>
      </w:pPr>
      <w:r>
        <w:t xml:space="preserve">Analysis Period: every usable window that household has after its own calibration pair, up to (but not including) its own last usable window.</w:t>
      </w:r>
    </w:p>
    <w:p>
      <w:pPr>
        <w:pStyle w:val="ListParagraph"/>
        <w:numPr>
          <w:ilvl w:val="0"/>
          <w:numId w:val="1"/>
        </w:numPr>
        <w:spacing w:after="60"/>
      </w:pPr>
      <w:r>
        <w:t xml:space="preserve">Holdout: each household's own last usable window — touched once, forward-only, at the very end.</w:t>
      </w:r>
    </w:p>
    <w:p>
      <w:pPr>
        <w:pStyle w:val="ListParagraph"/>
        <w:numPr>
          <w:ilvl w:val="0"/>
          <w:numId w:val="1"/>
        </w:numPr>
        <w:spacing w:after="60"/>
      </w:pPr>
      <w:r>
        <w:t xml:space="preserve">Confirmed: this change loses no households. Every household in the ≥6-window pool keeps at least 4 Analysis Period windows after removing its own first two for calibration (30.1% keep 4–7, 69.9% keep 8+). Every household in the ≥10-window pool keeps at least 8.</w:t>
      </w:r>
    </w:p>
    <w:p>
      <w:pPr>
        <w:pStyle w:val="Heading2"/>
        <w:spacing w:after="100" w:before="200"/>
      </w:pPr>
      <w:r>
        <w:t xml:space="preserve">4.2 What Each Variable Is Allowed to "Know" at Time 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Variable</w:t>
            </w:r>
          </w:p>
        </w:tc>
        <w:tc>
          <w:tcPr>
            <w:tcW w:type="dxa" w:w="3000"/>
            <w:shd w:fill="D9E2F3" w:val="clear"/>
          </w:tcPr>
          <w:p>
            <w:r>
              <w:rPr>
                <w:b/>
                <w:bCs/>
              </w:rPr>
              <w:t xml:space="preserve">Computed from</w:t>
            </w:r>
          </w:p>
        </w:tc>
        <w:tc>
          <w:tcPr>
            <w:tcW w:type="dxa" w:w="3000"/>
            <w:shd w:fill="D9E2F3" w:val="clear"/>
          </w:tcPr>
          <w:p>
            <w:r>
              <w:rPr>
                <w:b/>
                <w:bCs/>
              </w:rPr>
              <w:t xml:space="preserve">Time available</w:t>
            </w:r>
          </w:p>
        </w:tc>
      </w:tr>
      <w:tr>
        <w:tc>
          <w:tcPr>
            <w:tcW w:type="dxa" w:w="3000"/>
          </w:tcPr>
          <w:p>
            <w:r>
              <w:rPr>
                <w:b w:val="false"/>
                <w:bCs w:val="false"/>
              </w:rPr>
              <w:t xml:space="preserve">Behavioral features (clustering)</w:t>
            </w:r>
          </w:p>
        </w:tc>
        <w:tc>
          <w:tcPr>
            <w:tcW w:type="dxa" w:w="3000"/>
          </w:tcPr>
          <w:p>
            <w:r>
              <w:rPr>
                <w:b w:val="false"/>
                <w:bCs w:val="false"/>
              </w:rPr>
              <w:t xml:space="preserve">Window w's own half-hourly readings</w:t>
            </w:r>
          </w:p>
        </w:tc>
        <w:tc>
          <w:tcPr>
            <w:tcW w:type="dxa" w:w="3000"/>
          </w:tcPr>
          <w:p>
            <w:r>
              <w:rPr>
                <w:b w:val="false"/>
                <w:bCs w:val="false"/>
              </w:rPr>
              <w:t xml:space="preserve">By end of window w</w:t>
            </w:r>
          </w:p>
        </w:tc>
      </w:tr>
      <w:tr>
        <w:tc>
          <w:tcPr>
            <w:tcW w:type="dxa" w:w="3000"/>
          </w:tcPr>
          <w:p>
            <w:r>
              <w:rPr>
                <w:b w:val="false"/>
                <w:bCs w:val="false"/>
              </w:rPr>
              <w:t xml:space="preserve">Cluster assignment for window w</w:t>
            </w:r>
          </w:p>
        </w:tc>
        <w:tc>
          <w:tcPr>
            <w:tcW w:type="dxa" w:w="3000"/>
          </w:tcPr>
          <w:p>
            <w:r>
              <w:rPr>
                <w:b w:val="false"/>
                <w:bCs w:val="false"/>
              </w:rPr>
              <w:t xml:space="preserve">Behavioral features of window w, fixed global K</w:t>
            </w:r>
          </w:p>
        </w:tc>
        <w:tc>
          <w:tcPr>
            <w:tcW w:type="dxa" w:w="3000"/>
          </w:tcPr>
          <w:p>
            <w:r>
              <w:rPr>
                <w:b w:val="false"/>
                <w:bCs w:val="false"/>
              </w:rPr>
              <w:t xml:space="preserve">By end of window w</w:t>
            </w:r>
          </w:p>
        </w:tc>
      </w:tr>
      <w:tr>
        <w:tc>
          <w:tcPr>
            <w:tcW w:type="dxa" w:w="3000"/>
          </w:tcPr>
          <w:p>
            <w:r>
              <w:rPr>
                <w:b w:val="false"/>
                <w:bCs w:val="false"/>
              </w:rPr>
              <w:t xml:space="preserve">Cluster trajectory / instability score</w:t>
            </w:r>
          </w:p>
        </w:tc>
        <w:tc>
          <w:tcPr>
            <w:tcW w:type="dxa" w:w="3000"/>
          </w:tcPr>
          <w:p>
            <w:r>
              <w:rPr>
                <w:b w:val="false"/>
                <w:bCs w:val="false"/>
              </w:rPr>
              <w:t xml:space="preserve">Aligned cluster assignments across that household's usable windows 1..w (its calibration pair plus its Analysis Period so far)</w:t>
            </w:r>
          </w:p>
        </w:tc>
        <w:tc>
          <w:tcPr>
            <w:tcW w:type="dxa" w:w="3000"/>
          </w:tcPr>
          <w:p>
            <w:r>
              <w:rPr>
                <w:b w:val="false"/>
                <w:bCs w:val="false"/>
              </w:rPr>
              <w:t xml:space="preserve">By end of window w — this is "t"</w:t>
            </w:r>
          </w:p>
        </w:tc>
      </w:tr>
      <w:tr>
        <w:tc>
          <w:tcPr>
            <w:tcW w:type="dxa" w:w="3000"/>
          </w:tcPr>
          <w:p>
            <w:r>
              <w:rPr>
                <w:b w:val="false"/>
                <w:bCs w:val="false"/>
              </w:rPr>
              <w:t xml:space="preserve">Volatility (CV)</w:t>
            </w:r>
          </w:p>
        </w:tc>
        <w:tc>
          <w:tcPr>
            <w:tcW w:type="dxa" w:w="3000"/>
          </w:tcPr>
          <w:p>
            <w:r>
              <w:rPr>
                <w:b w:val="false"/>
                <w:bCs w:val="false"/>
              </w:rPr>
              <w:t xml:space="preserve">That household's own load readings across its usable windows 1..w (past data only)</w:t>
            </w:r>
          </w:p>
        </w:tc>
        <w:tc>
          <w:tcPr>
            <w:tcW w:type="dxa" w:w="3000"/>
          </w:tcPr>
          <w:p>
            <w:r>
              <w:rPr>
                <w:b w:val="false"/>
                <w:bCs w:val="false"/>
              </w:rPr>
              <w:t xml:space="preserve">By end of window w</w:t>
            </w:r>
          </w:p>
        </w:tc>
      </w:tr>
      <w:tr>
        <w:tc>
          <w:tcPr>
            <w:tcW w:type="dxa" w:w="3000"/>
          </w:tcPr>
          <w:p>
            <w:r>
              <w:rPr>
                <w:b w:val="false"/>
                <w:bCs w:val="false"/>
              </w:rPr>
              <w:t xml:space="preserve">Forecast for window w+1</w:t>
            </w:r>
          </w:p>
        </w:tc>
        <w:tc>
          <w:tcPr>
            <w:tcW w:type="dxa" w:w="3000"/>
          </w:tcPr>
          <w:p>
            <w:r>
              <w:rPr>
                <w:b w:val="false"/>
                <w:bCs w:val="false"/>
              </w:rPr>
              <w:t xml:space="preserve">Global forecaster trained on pooled household data up to end of window w</w:t>
            </w:r>
          </w:p>
        </w:tc>
        <w:tc>
          <w:tcPr>
            <w:tcW w:type="dxa" w:w="3000"/>
          </w:tcPr>
          <w:p>
            <w:r>
              <w:rPr>
                <w:b w:val="false"/>
                <w:bCs w:val="false"/>
              </w:rPr>
              <w:t xml:space="preserve">Predicted at t; resolved in the future</w:t>
            </w:r>
          </w:p>
        </w:tc>
      </w:tr>
      <w:tr>
        <w:tc>
          <w:tcPr>
            <w:tcW w:type="dxa" w:w="3000"/>
          </w:tcPr>
          <w:p>
            <w:r>
              <w:rPr>
                <w:b w:val="false"/>
                <w:bCs w:val="false"/>
              </w:rPr>
              <w:t xml:space="preserve">Forecast error / extreme-failure label</w:t>
            </w:r>
          </w:p>
        </w:tc>
        <w:tc>
          <w:tcPr>
            <w:tcW w:type="dxa" w:w="3000"/>
          </w:tcPr>
          <w:p>
            <w:r>
              <w:rPr>
                <w:b w:val="false"/>
                <w:bCs w:val="false"/>
              </w:rPr>
              <w:t xml:space="preserve">Actual half-hourly readings in window w+1 vs. the window w+1 forecast, aggregated per §8.5</w:t>
            </w:r>
          </w:p>
        </w:tc>
        <w:tc>
          <w:tcPr>
            <w:tcW w:type="dxa" w:w="3000"/>
          </w:tcPr>
          <w:p>
            <w:r>
              <w:rPr>
                <w:b w:val="false"/>
                <w:bCs w:val="false"/>
              </w:rPr>
              <w:t xml:space="preserve">Only known once window w+1 is over — this is the outcome</w:t>
            </w:r>
          </w:p>
        </w:tc>
      </w:tr>
    </w:tbl>
    <w:p>
      <w:pPr>
        <w:pStyle w:val="Heading2"/>
        <w:spacing w:after="100" w:before="200"/>
      </w:pPr>
      <w:r>
        <w:t xml:space="preserve">4.3 The Full Pipeline</w:t>
      </w:r>
    </w:p>
    <w:p>
      <w:pPr>
        <w:pStyle w:val="ListParagraph"/>
        <w:numPr>
          <w:ilvl w:val="0"/>
          <w:numId w:val="1"/>
        </w:numPr>
        <w:spacing w:after="60"/>
      </w:pPr>
      <w:r>
        <w:t xml:space="preserve">Raw hhblock data → Parquet (flat-rate subsample, per §3.6)</w:t>
      </w:r>
    </w:p>
    <w:p>
      <w:pPr>
        <w:pStyle w:val="ListParagraph"/>
        <w:numPr>
          <w:ilvl w:val="0"/>
          <w:numId w:val="1"/>
        </w:numPr>
        <w:spacing w:after="60"/>
      </w:pPr>
      <w:r>
        <w:t xml:space="preserve">→ Data quality control: exclude long gaps (&gt;7 days), check for negative readings, apply the minimum-history filter (§3.5)</w:t>
      </w:r>
    </w:p>
    <w:p>
      <w:pPr>
        <w:pStyle w:val="ListParagraph"/>
        <w:numPr>
          <w:ilvl w:val="0"/>
          <w:numId w:val="1"/>
        </w:numPr>
        <w:spacing w:after="60"/>
      </w:pPr>
      <w:r>
        <w:t xml:space="preserve">→ For each household: find its own first 2 usable windows (its Calibration Period). Train a forecaster on the household's calibration Window 1, use it to predict the household's calibration Window 2 at half-hourly resolution. The resulting errors form that household's calibration residual distribution (median/MAD)</w:t>
      </w:r>
    </w:p>
    <w:p>
      <w:pPr>
        <w:pStyle w:val="ListParagraph"/>
        <w:numPr>
          <w:ilvl w:val="0"/>
          <w:numId w:val="1"/>
        </w:numPr>
        <w:spacing w:after="60"/>
      </w:pPr>
      <w:r>
        <w:t xml:space="preserve">→ Across all households: run a silhouette sweep (k=3..8) on behavioral features pooled from everyone's own calibration windows, and fix K once, globally</w:t>
      </w:r>
    </w:p>
    <w:p>
      <w:pPr>
        <w:pStyle w:val="ListParagraph"/>
        <w:numPr>
          <w:ilvl w:val="0"/>
          <w:numId w:val="1"/>
        </w:numPr>
        <w:spacing w:after="60"/>
      </w:pPr>
      <w:r>
        <w:t xml:space="preserve">→ For each household, for each later usable window w (its own Analysis Period, in order):</w:t>
      </w:r>
    </w:p>
    <w:p>
      <w:pPr>
        <w:pStyle w:val="ListParagraph"/>
        <w:numPr>
          <w:ilvl w:val="0"/>
          <w:numId w:val="1"/>
        </w:numPr>
        <w:spacing w:after="60"/>
      </w:pPr>
      <w:r>
        <w:t xml:space="preserve">    Compute behavioral features from window w only → run K-Means (K fixed) → align clusters against that household's previous window using the Hungarian algorithm → update instability and volatility using that household's own windows 1..w</w:t>
      </w:r>
    </w:p>
    <w:p>
      <w:pPr>
        <w:pStyle w:val="ListParagraph"/>
        <w:numPr>
          <w:ilvl w:val="0"/>
          <w:numId w:val="1"/>
        </w:numPr>
        <w:spacing w:after="60"/>
      </w:pPr>
      <w:r>
        <w:t xml:space="preserve">    The global forecaster — trained on pooled data across all households, up to the end of calendar window w — predicts window w+1. The per-cluster forecaster trains in parallel but never feeds this step; it's capstone-only (§5)</w:t>
      </w:r>
    </w:p>
    <w:p>
      <w:pPr>
        <w:pStyle w:val="ListParagraph"/>
        <w:numPr>
          <w:ilvl w:val="0"/>
          <w:numId w:val="1"/>
        </w:numPr>
        <w:spacing w:after="60"/>
      </w:pPr>
      <w:r>
        <w:t xml:space="preserve">    AE(h, w+1) = mean absolute error across all half-hourly predictions in window w+1. Standardize this against the household's own calibration residual distribution (with the MAD floor from §8.5) to get StdError, then compare to the fixed threshold to get the extreme-failure label</w:t>
      </w:r>
    </w:p>
    <w:p>
      <w:pPr>
        <w:pStyle w:val="ListParagraph"/>
        <w:numPr>
          <w:ilvl w:val="0"/>
          <w:numId w:val="1"/>
        </w:numPr>
        <w:spacing w:after="60"/>
      </w:pPr>
      <w:r>
        <w:t xml:space="preserve">→ Store one row per household per window-pair in the pooled analysis dataset</w:t>
      </w:r>
    </w:p>
    <w:p>
      <w:pPr>
        <w:pStyle w:val="ListParagraph"/>
        <w:numPr>
          <w:ilvl w:val="0"/>
          <w:numId w:val="1"/>
        </w:numPr>
        <w:spacing w:after="60"/>
      </w:pPr>
      <w:r>
        <w:t xml:space="preserve">→ Run the statistical analysis (cluster-robust by household_id): volatility-only model vs. volatility+instability model</w:t>
      </w:r>
    </w:p>
    <w:p>
      <w:pPr>
        <w:pStyle w:val="ListParagraph"/>
        <w:numPr>
          <w:ilvl w:val="0"/>
          <w:numId w:val="1"/>
        </w:numPr>
        <w:spacing w:after="60"/>
      </w:pPr>
      <w:r>
        <w:t xml:space="preserve">→ Holdout window (each household's own last usable window): run once, forward-only, as a final check</w:t>
      </w:r>
    </w:p>
    <w:p>
      <w:pPr>
        <w:pStyle w:val="Heading1"/>
        <w:spacing w:after="150" w:before="300"/>
      </w:pPr>
      <w:r>
        <w:t xml:space="preserve">5. Capstone vs. Research: Who Uses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200"/>
        <w:gridCol w:w="1200"/>
      </w:tblGrid>
      <w:tr>
        <w:tc>
          <w:tcPr>
            <w:tcW w:type="dxa" w:w="2400"/>
            <w:shd w:fill="D9E2F3" w:val="clear"/>
          </w:tcPr>
          <w:p>
            <w:r>
              <w:rPr>
                <w:b/>
                <w:bCs/>
              </w:rPr>
              <w:t xml:space="preserve">Component</w:t>
            </w:r>
          </w:p>
        </w:tc>
        <w:tc>
          <w:tcPr>
            <w:tcW w:type="dxa" w:w="2200"/>
            <w:shd w:fill="D9E2F3" w:val="clear"/>
          </w:tcPr>
          <w:p>
            <w:r>
              <w:rPr>
                <w:b/>
                <w:bCs/>
              </w:rPr>
              <w:t xml:space="preserve">Capstone Role</w:t>
            </w:r>
          </w:p>
        </w:tc>
        <w:tc>
          <w:tcPr>
            <w:tcW w:type="dxa" w:w="3200"/>
            <w:shd w:fill="D9E2F3" w:val="clear"/>
          </w:tcPr>
          <w:p>
            <w:r>
              <w:rPr>
                <w:b/>
                <w:bCs/>
              </w:rPr>
              <w:t xml:space="preserve">Research Role</w:t>
            </w:r>
          </w:p>
        </w:tc>
        <w:tc>
          <w:tcPr>
            <w:tcW w:type="dxa" w:w="1200"/>
            <w:shd w:fill="D9E2F3" w:val="clear"/>
          </w:tcPr>
          <w:p>
            <w:r>
              <w:rPr>
                <w:b/>
                <w:bCs/>
              </w:rPr>
              <w:t xml:space="preserve">Required?</w:t>
            </w:r>
          </w:p>
        </w:tc>
      </w:tr>
      <w:tr>
        <w:tc>
          <w:tcPr>
            <w:tcW w:type="dxa" w:w="2400"/>
          </w:tcPr>
          <w:p>
            <w:r>
              <w:rPr>
                <w:b w:val="false"/>
                <w:bCs w:val="false"/>
              </w:rPr>
              <w:t xml:space="preserve">Forecasting — GLOBAL (LightGBM)</w:t>
            </w:r>
          </w:p>
        </w:tc>
        <w:tc>
          <w:tcPr>
            <w:tcW w:type="dxa" w:w="2200"/>
          </w:tcPr>
          <w:p>
            <w:r>
              <w:rPr>
                <w:b w:val="false"/>
                <w:bCs w:val="false"/>
              </w:rPr>
              <w:t xml:space="preserve">Baseline demand prediction shown in the UI</w:t>
            </w:r>
          </w:p>
        </w:tc>
        <w:tc>
          <w:tcPr>
            <w:tcW w:type="dxa" w:w="3200"/>
          </w:tcPr>
          <w:p>
            <w:r>
              <w:rPr>
                <w:b w:val="false"/>
                <w:bCs w:val="false"/>
              </w:rPr>
              <w:t xml:space="preserve">The only source of the forecast errors used in the H1/H0 test</w:t>
            </w:r>
          </w:p>
        </w:tc>
        <w:tc>
          <w:tcPr>
            <w:tcW w:type="dxa" w:w="1200"/>
          </w:tcPr>
          <w:p>
            <w:r>
              <w:rPr>
                <w:b w:val="false"/>
                <w:bCs w:val="false"/>
              </w:rPr>
              <w:t xml:space="preserve">YES</w:t>
            </w:r>
          </w:p>
        </w:tc>
      </w:tr>
      <w:tr>
        <w:tc>
          <w:tcPr>
            <w:tcW w:type="dxa" w:w="2400"/>
          </w:tcPr>
          <w:p>
            <w:r>
              <w:rPr>
                <w:b w:val="false"/>
                <w:bCs w:val="false"/>
              </w:rPr>
              <w:t xml:space="preserve">Forecasting — PER-CLUSTER (LightGBM)</w:t>
            </w:r>
          </w:p>
        </w:tc>
        <w:tc>
          <w:tcPr>
            <w:tcW w:type="dxa" w:w="2200"/>
          </w:tcPr>
          <w:p>
            <w:r>
              <w:rPr>
                <w:b w:val="false"/>
                <w:bCs w:val="false"/>
              </w:rPr>
              <w:t xml:space="preserve">Segmentation-aware forecast shown in the UI, compared to the global one</w:t>
            </w:r>
          </w:p>
        </w:tc>
        <w:tc>
          <w:tcPr>
            <w:tcW w:type="dxa" w:w="3200"/>
          </w:tcPr>
          <w:p>
            <w:r>
              <w:rPr>
                <w:b w:val="false"/>
                <w:bCs w:val="false"/>
              </w:rPr>
              <w:t xml:space="preserve">Not used for the research outcome — capstone/engineering only</w:t>
            </w:r>
          </w:p>
        </w:tc>
        <w:tc>
          <w:tcPr>
            <w:tcW w:type="dxa" w:w="1200"/>
          </w:tcPr>
          <w:p>
            <w:r>
              <w:rPr>
                <w:b w:val="false"/>
                <w:bCs w:val="false"/>
              </w:rPr>
              <w:t xml:space="preserve">YES — capstone only</w:t>
            </w:r>
          </w:p>
        </w:tc>
      </w:tr>
      <w:tr>
        <w:tc>
          <w:tcPr>
            <w:tcW w:type="dxa" w:w="2400"/>
          </w:tcPr>
          <w:p>
            <w:r>
              <w:rPr>
                <w:b w:val="false"/>
                <w:bCs w:val="false"/>
              </w:rPr>
              <w:t xml:space="preserve">K-Means clustering</w:t>
            </w:r>
          </w:p>
        </w:tc>
        <w:tc>
          <w:tcPr>
            <w:tcW w:type="dxa" w:w="2200"/>
          </w:tcPr>
          <w:p>
            <w:r>
              <w:rPr>
                <w:b w:val="false"/>
                <w:bCs w:val="false"/>
              </w:rPr>
              <w:t xml:space="preserve">Consumption segmentation feature</w:t>
            </w:r>
          </w:p>
        </w:tc>
        <w:tc>
          <w:tcPr>
            <w:tcW w:type="dxa" w:w="3200"/>
          </w:tcPr>
          <w:p>
            <w:r>
              <w:rPr>
                <w:b w:val="false"/>
                <w:bCs w:val="false"/>
              </w:rPr>
              <w:t xml:space="preserve">Builds the behavioral cluster trajectories the research relies on</w:t>
            </w:r>
          </w:p>
        </w:tc>
        <w:tc>
          <w:tcPr>
            <w:tcW w:type="dxa" w:w="1200"/>
          </w:tcPr>
          <w:p>
            <w:r>
              <w:rPr>
                <w:b w:val="false"/>
                <w:bCs w:val="false"/>
              </w:rPr>
              <w:t xml:space="preserve">YES</w:t>
            </w:r>
          </w:p>
        </w:tc>
      </w:tr>
      <w:tr>
        <w:tc>
          <w:tcPr>
            <w:tcW w:type="dxa" w:w="2400"/>
          </w:tcPr>
          <w:p>
            <w:r>
              <w:rPr>
                <w:b w:val="false"/>
                <w:bCs w:val="false"/>
              </w:rPr>
              <w:t xml:space="preserve">Cluster identity alignment (Hungarian)</w:t>
            </w:r>
          </w:p>
        </w:tc>
        <w:tc>
          <w:tcPr>
            <w:tcW w:type="dxa" w:w="2200"/>
          </w:tcPr>
          <w:p>
            <w:r>
              <w:rPr>
                <w:b w:val="false"/>
                <w:bCs w:val="false"/>
              </w:rPr>
              <w:t xml:space="preserve">Keeps segment labels and colors stable in the UI over time</w:t>
            </w:r>
          </w:p>
        </w:tc>
        <w:tc>
          <w:tcPr>
            <w:tcW w:type="dxa" w:w="3200"/>
          </w:tcPr>
          <w:p>
            <w:r>
              <w:rPr>
                <w:b w:val="false"/>
                <w:bCs w:val="false"/>
              </w:rPr>
              <w:t xml:space="preserve">Stops label swaps from looking like real instability</w:t>
            </w:r>
          </w:p>
        </w:tc>
        <w:tc>
          <w:tcPr>
            <w:tcW w:type="dxa" w:w="1200"/>
          </w:tcPr>
          <w:p>
            <w:r>
              <w:rPr>
                <w:b w:val="false"/>
                <w:bCs w:val="false"/>
              </w:rPr>
              <w:t xml:space="preserve">YES</w:t>
            </w:r>
          </w:p>
        </w:tc>
      </w:tr>
      <w:tr>
        <w:tc>
          <w:tcPr>
            <w:tcW w:type="dxa" w:w="2400"/>
          </w:tcPr>
          <w:p>
            <w:r>
              <w:rPr>
                <w:b w:val="false"/>
                <w:bCs w:val="false"/>
              </w:rPr>
              <w:t xml:space="preserve">Temporal instability metric</w:t>
            </w:r>
          </w:p>
        </w:tc>
        <w:tc>
          <w:tcPr>
            <w:tcW w:type="dxa" w:w="2200"/>
          </w:tcPr>
          <w:p>
            <w:r>
              <w:rPr>
                <w:b w:val="false"/>
                <w:bCs w:val="false"/>
              </w:rPr>
              <w:t xml:space="preserve">Behavioral stability / risk indicator per consumer</w:t>
            </w:r>
          </w:p>
        </w:tc>
        <w:tc>
          <w:tcPr>
            <w:tcW w:type="dxa" w:w="3200"/>
          </w:tcPr>
          <w:p>
            <w:r>
              <w:rPr>
                <w:b w:val="false"/>
                <w:bCs w:val="false"/>
              </w:rPr>
              <w:t xml:space="preserve">Primary independent variable (H1), known strictly at time t, based on each household's own window sequence</w:t>
            </w:r>
          </w:p>
        </w:tc>
        <w:tc>
          <w:tcPr>
            <w:tcW w:type="dxa" w:w="1200"/>
          </w:tcPr>
          <w:p>
            <w:r>
              <w:rPr>
                <w:b w:val="false"/>
                <w:bCs w:val="false"/>
              </w:rPr>
              <w:t xml:space="preserve">YES</w:t>
            </w:r>
          </w:p>
        </w:tc>
      </w:tr>
      <w:tr>
        <w:tc>
          <w:tcPr>
            <w:tcW w:type="dxa" w:w="2400"/>
          </w:tcPr>
          <w:p>
            <w:r>
              <w:rPr>
                <w:b w:val="false"/>
                <w:bCs w:val="false"/>
              </w:rPr>
              <w:t xml:space="preserve">Intrinsic volatility metric (CV)</w:t>
            </w:r>
          </w:p>
        </w:tc>
        <w:tc>
          <w:tcPr>
            <w:tcW w:type="dxa" w:w="2200"/>
          </w:tcPr>
          <w:p>
            <w:r>
              <w:rPr>
                <w:b w:val="false"/>
                <w:bCs w:val="false"/>
              </w:rPr>
              <w:t xml:space="preserve">Feeds the same risk indicator</w:t>
            </w:r>
          </w:p>
        </w:tc>
        <w:tc>
          <w:tcPr>
            <w:tcW w:type="dxa" w:w="3200"/>
          </w:tcPr>
          <w:p>
            <w:r>
              <w:rPr>
                <w:b w:val="false"/>
                <w:bCs w:val="false"/>
              </w:rPr>
              <w:t xml:space="preserve">The confound H1 is tested against; uses the same information available at the same time as instability</w:t>
            </w:r>
          </w:p>
        </w:tc>
        <w:tc>
          <w:tcPr>
            <w:tcW w:type="dxa" w:w="1200"/>
          </w:tcPr>
          <w:p>
            <w:r>
              <w:rPr>
                <w:b w:val="false"/>
                <w:bCs w:val="false"/>
              </w:rPr>
              <w:t xml:space="preserve">YES</w:t>
            </w:r>
          </w:p>
        </w:tc>
      </w:tr>
      <w:tr>
        <w:tc>
          <w:tcPr>
            <w:tcW w:type="dxa" w:w="2400"/>
          </w:tcPr>
          <w:p>
            <w:r>
              <w:rPr>
                <w:b w:val="false"/>
                <w:bCs w:val="false"/>
              </w:rPr>
              <w:t xml:space="preserve">Standardized extreme-failure labeling</w:t>
            </w:r>
          </w:p>
        </w:tc>
        <w:tc>
          <w:tcPr>
            <w:tcW w:type="dxa" w:w="2200"/>
          </w:tcPr>
          <w:p>
            <w:r>
              <w:rPr>
                <w:b w:val="false"/>
                <w:bCs w:val="false"/>
              </w:rPr>
              <w:t xml:space="preserve">Forecast-reliability insight shown in the UI</w:t>
            </w:r>
          </w:p>
        </w:tc>
        <w:tc>
          <w:tcPr>
            <w:tcW w:type="dxa" w:w="3200"/>
          </w:tcPr>
          <w:p>
            <w:r>
              <w:rPr>
                <w:b w:val="false"/>
                <w:bCs w:val="false"/>
              </w:rPr>
              <w:t xml:space="preserve">The primary outcome variable; threshold fixed from calibration data and applied prospectively</w:t>
            </w:r>
          </w:p>
        </w:tc>
        <w:tc>
          <w:tcPr>
            <w:tcW w:type="dxa" w:w="1200"/>
          </w:tcPr>
          <w:p>
            <w:r>
              <w:rPr>
                <w:b w:val="false"/>
                <w:bCs w:val="false"/>
              </w:rPr>
              <w:t xml:space="preserve">YES</w:t>
            </w:r>
          </w:p>
        </w:tc>
      </w:tr>
      <w:tr>
        <w:tc>
          <w:tcPr>
            <w:tcW w:type="dxa" w:w="2400"/>
          </w:tcPr>
          <w:p>
            <w:r>
              <w:rPr>
                <w:b w:val="false"/>
                <w:bCs w:val="false"/>
              </w:rPr>
              <w:t xml:space="preserve">Cluster-robust statistical comparison</w:t>
            </w:r>
          </w:p>
        </w:tc>
        <w:tc>
          <w:tcPr>
            <w:tcW w:type="dxa" w:w="2200"/>
          </w:tcPr>
          <w:p>
            <w:r>
              <w:rPr>
                <w:b w:val="false"/>
                <w:bCs w:val="false"/>
              </w:rPr>
              <w:t xml:space="preserve">Not shown directly; underlies the reliability indicator</w:t>
            </w:r>
          </w:p>
        </w:tc>
        <w:tc>
          <w:tcPr>
            <w:tcW w:type="dxa" w:w="3200"/>
          </w:tcPr>
          <w:p>
            <w:r>
              <w:rPr>
                <w:b w:val="false"/>
                <w:bCs w:val="false"/>
              </w:rPr>
              <w:t xml:space="preserve">The primary research experiment (H1 vs. H0)</w:t>
            </w:r>
          </w:p>
        </w:tc>
        <w:tc>
          <w:tcPr>
            <w:tcW w:type="dxa" w:w="1200"/>
          </w:tcPr>
          <w:p>
            <w:r>
              <w:rPr>
                <w:b w:val="false"/>
                <w:bCs w:val="false"/>
              </w:rPr>
              <w:t xml:space="preserve">YES</w:t>
            </w:r>
          </w:p>
        </w:tc>
      </w:tr>
      <w:tr>
        <w:tc>
          <w:tcPr>
            <w:tcW w:type="dxa" w:w="2400"/>
          </w:tcPr>
          <w:p>
            <w:r>
              <w:rPr>
                <w:b w:val="false"/>
                <w:bCs w:val="false"/>
              </w:rPr>
              <w:t xml:space="preserve">Anomaly detection (Isolation Forest)</w:t>
            </w:r>
          </w:p>
        </w:tc>
        <w:tc>
          <w:tcPr>
            <w:tcW w:type="dxa" w:w="2200"/>
          </w:tcPr>
          <w:p>
            <w:r>
              <w:rPr>
                <w:b w:val="false"/>
                <w:bCs w:val="false"/>
              </w:rPr>
              <w:t xml:space="preserve">Operational anomaly monitoring</w:t>
            </w:r>
          </w:p>
        </w:tc>
        <w:tc>
          <w:tcPr>
            <w:tcW w:type="dxa" w:w="3200"/>
          </w:tcPr>
          <w:p>
            <w:r>
              <w:rPr>
                <w:b w:val="false"/>
                <w:bCs w:val="false"/>
              </w:rPr>
              <w:t xml:space="preserve">Not central to the research question</w:t>
            </w:r>
          </w:p>
        </w:tc>
        <w:tc>
          <w:tcPr>
            <w:tcW w:type="dxa" w:w="1200"/>
          </w:tcPr>
          <w:p>
            <w:r>
              <w:rPr>
                <w:b w:val="false"/>
                <w:bCs w:val="false"/>
              </w:rPr>
              <w:t xml:space="preserve">YES — capstone</w:t>
            </w:r>
          </w:p>
        </w:tc>
      </w:tr>
      <w:tr>
        <w:tc>
          <w:tcPr>
            <w:tcW w:type="dxa" w:w="2400"/>
          </w:tcPr>
          <w:p>
            <w:r>
              <w:rPr>
                <w:b w:val="false"/>
                <w:bCs w:val="false"/>
              </w:rPr>
              <w:t xml:space="preserve">SHAP explainability (forecaster only)</w:t>
            </w:r>
          </w:p>
        </w:tc>
        <w:tc>
          <w:tcPr>
            <w:tcW w:type="dxa" w:w="2200"/>
          </w:tcPr>
          <w:p>
            <w:r>
              <w:rPr>
                <w:b w:val="false"/>
                <w:bCs w:val="false"/>
              </w:rPr>
              <w:t xml:space="preserve">Explains forecasts to the user</w:t>
            </w:r>
          </w:p>
        </w:tc>
        <w:tc>
          <w:tcPr>
            <w:tcW w:type="dxa" w:w="3200"/>
          </w:tcPr>
          <w:p>
            <w:r>
              <w:rPr>
                <w:b w:val="false"/>
                <w:bCs w:val="false"/>
              </w:rPr>
              <w:t xml:space="preserve">Supports interpretability; not the primary research artifact</w:t>
            </w:r>
          </w:p>
        </w:tc>
        <w:tc>
          <w:tcPr>
            <w:tcW w:type="dxa" w:w="1200"/>
          </w:tcPr>
          <w:p>
            <w:r>
              <w:rPr>
                <w:b w:val="false"/>
                <w:bCs w:val="false"/>
              </w:rPr>
              <w:t xml:space="preserve">YES</w:t>
            </w:r>
          </w:p>
        </w:tc>
      </w:tr>
      <w:tr>
        <w:tc>
          <w:tcPr>
            <w:tcW w:type="dxa" w:w="2400"/>
          </w:tcPr>
          <w:p>
            <w:r>
              <w:rPr>
                <w:b w:val="false"/>
                <w:bCs w:val="false"/>
              </w:rPr>
              <w:t xml:space="preserve">RAG Energy Copilot</w:t>
            </w:r>
          </w:p>
        </w:tc>
        <w:tc>
          <w:tcPr>
            <w:tcW w:type="dxa" w:w="2200"/>
          </w:tcPr>
          <w:p>
            <w:r>
              <w:rPr>
                <w:b w:val="false"/>
                <w:bCs w:val="false"/>
              </w:rPr>
              <w:t xml:space="preserve">Natural-language operational assistant</w:t>
            </w:r>
          </w:p>
        </w:tc>
        <w:tc>
          <w:tcPr>
            <w:tcW w:type="dxa" w:w="3200"/>
          </w:tcPr>
          <w:p>
            <w:r>
              <w:rPr>
                <w:b w:val="false"/>
                <w:bCs w:val="false"/>
              </w:rPr>
              <w:t xml:space="preserve">Not central to the research question</w:t>
            </w:r>
          </w:p>
        </w:tc>
        <w:tc>
          <w:tcPr>
            <w:tcW w:type="dxa" w:w="1200"/>
          </w:tcPr>
          <w:p>
            <w:r>
              <w:rPr>
                <w:b w:val="false"/>
                <w:bCs w:val="false"/>
              </w:rPr>
              <w:t xml:space="preserve">YES — capstone</w:t>
            </w:r>
          </w:p>
        </w:tc>
      </w:tr>
    </w:tbl>
    <w:p>
      <w:pPr>
        <w:pStyle w:val="Heading1"/>
        <w:spacing w:after="150" w:before="300"/>
      </w:pPr>
      <w:r>
        <w:t xml:space="preserve">6. System Architecture</w:t>
      </w:r>
    </w:p>
    <w:p>
      <w:pPr>
        <w:spacing w:after="120"/>
      </w:pPr>
      <w:r>
        <w:t xml:space="preserve">React + TypeScript + Vite (Tailwind + Recharts) talks to a FastAPI backend over REST (JSON).</w:t>
      </w:r>
    </w:p>
    <w:p>
      <w:pPr>
        <w:pStyle w:val="ListParagraph"/>
        <w:numPr>
          <w:ilvl w:val="0"/>
          <w:numId w:val="1"/>
        </w:numPr>
        <w:spacing w:after="60"/>
      </w:pPr>
      <w:r>
        <w:t xml:space="preserve">/forecast → the GLOBAL LightGBM forecaster (feeds the research outcome) plus the per-cluster LightGBM forecaster (capstone comparison only)</w:t>
      </w:r>
    </w:p>
    <w:p>
      <w:pPr>
        <w:pStyle w:val="ListParagraph"/>
        <w:numPr>
          <w:ilvl w:val="0"/>
          <w:numId w:val="1"/>
        </w:numPr>
        <w:spacing w:after="60"/>
      </w:pPr>
      <w:r>
        <w:t xml:space="preserve">/segment → the current K-Means cluster and its trajectory history</w:t>
      </w:r>
    </w:p>
    <w:p>
      <w:pPr>
        <w:pStyle w:val="ListParagraph"/>
        <w:numPr>
          <w:ilvl w:val="0"/>
          <w:numId w:val="1"/>
        </w:numPr>
        <w:spacing w:after="60"/>
      </w:pPr>
      <w:r>
        <w:t xml:space="preserve">/instability → persistence score, volatility (CV), and the reliability indicator, computed on that household's own window sequence</w:t>
      </w:r>
    </w:p>
    <w:p>
      <w:pPr>
        <w:pStyle w:val="ListParagraph"/>
        <w:numPr>
          <w:ilvl w:val="0"/>
          <w:numId w:val="1"/>
        </w:numPr>
        <w:spacing w:after="60"/>
      </w:pPr>
      <w:r>
        <w:t xml:space="preserve">/anomaly → the Isolation Forest flag plus a feature-based explanation (not SHAP)</w:t>
      </w:r>
    </w:p>
    <w:p>
      <w:pPr>
        <w:pStyle w:val="ListParagraph"/>
        <w:numPr>
          <w:ilvl w:val="0"/>
          <w:numId w:val="1"/>
        </w:numPr>
        <w:spacing w:after="60"/>
      </w:pPr>
      <w:r>
        <w:t xml:space="preserve">/chat → an LLM call with tools bound to the endpoints above, plus a RAG retriever</w:t>
      </w:r>
    </w:p>
    <w:p>
      <w:pPr>
        <w:spacing w:after="120"/>
      </w:pPr>
      <w:r>
        <w:t xml:space="preserve">A local FAISS vector store holds 5–10 markdown knowledge documents, which the LLM API queries alongside its tools.</w:t>
      </w:r>
    </w:p>
    <w:p>
      <w:pPr>
        <w:spacing w:after="120"/>
      </w:pPr>
      <w:r>
        <w:rPr>
          <w:b/>
          <w:bCs/>
        </w:rPr>
        <w:t xml:space="preserve">The per-household calibration, longitudinal clustering, cluster alignment, instability metrics, and the global forecaster's statistical comparison are all computed once, offline, during the build. The app only serves these outputs live — it never re-runs the longitudinal pipeline on demand.</w:t>
      </w:r>
    </w:p>
    <w:p>
      <w:pPr>
        <w:pStyle w:val="Heading1"/>
        <w:spacing w:after="150" w:before="300"/>
      </w:pPr>
      <w:r>
        <w:t xml:space="preserve">7. Capstone ML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800"/>
        <w:gridCol w:w="1700"/>
        <w:gridCol w:w="1600"/>
      </w:tblGrid>
      <w:tr>
        <w:tc>
          <w:tcPr>
            <w:tcW w:type="dxa" w:w="1700"/>
            <w:shd w:fill="D9E2F3" w:val="clear"/>
          </w:tcPr>
          <w:p>
            <w:r>
              <w:rPr>
                <w:b/>
                <w:bCs/>
              </w:rPr>
              <w:t xml:space="preserve">Component</w:t>
            </w:r>
          </w:p>
        </w:tc>
        <w:tc>
          <w:tcPr>
            <w:tcW w:type="dxa" w:w="2200"/>
            <w:shd w:fill="D9E2F3" w:val="clear"/>
          </w:tcPr>
          <w:p>
            <w:r>
              <w:rPr>
                <w:b/>
                <w:bCs/>
              </w:rPr>
              <w:t xml:space="preserve">Input</w:t>
            </w:r>
          </w:p>
        </w:tc>
        <w:tc>
          <w:tcPr>
            <w:tcW w:type="dxa" w:w="1800"/>
            <w:shd w:fill="D9E2F3" w:val="clear"/>
          </w:tcPr>
          <w:p>
            <w:r>
              <w:rPr>
                <w:b/>
                <w:bCs/>
              </w:rPr>
              <w:t xml:space="preserve">Output</w:t>
            </w:r>
          </w:p>
        </w:tc>
        <w:tc>
          <w:tcPr>
            <w:tcW w:type="dxa" w:w="1700"/>
            <w:shd w:fill="D9E2F3" w:val="clear"/>
          </w:tcPr>
          <w:p>
            <w:r>
              <w:rPr>
                <w:b/>
                <w:bCs/>
              </w:rPr>
              <w:t xml:space="preserve">Algorithm</w:t>
            </w:r>
          </w:p>
        </w:tc>
        <w:tc>
          <w:tcPr>
            <w:tcW w:type="dxa" w:w="1600"/>
            <w:shd w:fill="D9E2F3" w:val="clear"/>
          </w:tcPr>
          <w:p>
            <w:r>
              <w:rPr>
                <w:b/>
                <w:bCs/>
              </w:rPr>
              <w:t xml:space="preserve">Baseline</w:t>
            </w:r>
          </w:p>
        </w:tc>
      </w:tr>
      <w:tr>
        <w:tc>
          <w:tcPr>
            <w:tcW w:type="dxa" w:w="1700"/>
          </w:tcPr>
          <w:p>
            <w:r>
              <w:rPr>
                <w:b w:val="false"/>
                <w:bCs w:val="false"/>
              </w:rPr>
              <w:t xml:space="preserve">Forecaster (global — research)</w:t>
            </w:r>
          </w:p>
        </w:tc>
        <w:tc>
          <w:tcPr>
            <w:tcW w:type="dxa" w:w="2200"/>
          </w:tcPr>
          <w:p>
            <w:r>
              <w:rPr>
                <w:b w:val="false"/>
                <w:bCs w:val="false"/>
              </w:rPr>
              <w:t xml:space="preserve">Lag + calendar features, pooled across households</w:t>
            </w:r>
          </w:p>
        </w:tc>
        <w:tc>
          <w:tcPr>
            <w:tcW w:type="dxa" w:w="1800"/>
          </w:tcPr>
          <w:p>
            <w:r>
              <w:rPr>
                <w:b w:val="false"/>
                <w:bCs w:val="false"/>
              </w:rPr>
              <w:t xml:space="preserve">Half-hourly load forecast</w:t>
            </w:r>
          </w:p>
        </w:tc>
        <w:tc>
          <w:tcPr>
            <w:tcW w:type="dxa" w:w="1700"/>
          </w:tcPr>
          <w:p>
            <w:r>
              <w:rPr>
                <w:b w:val="false"/>
                <w:bCs w:val="false"/>
              </w:rPr>
              <w:t xml:space="preserve">LightGBM (pooled/global)</w:t>
            </w:r>
          </w:p>
        </w:tc>
        <w:tc>
          <w:tcPr>
            <w:tcW w:type="dxa" w:w="1600"/>
          </w:tcPr>
          <w:p>
            <w:r>
              <w:rPr>
                <w:b w:val="false"/>
                <w:bCs w:val="false"/>
              </w:rPr>
              <w:t xml:space="preserve">Naive-seasonal</w:t>
            </w:r>
          </w:p>
        </w:tc>
      </w:tr>
      <w:tr>
        <w:tc>
          <w:tcPr>
            <w:tcW w:type="dxa" w:w="1700"/>
          </w:tcPr>
          <w:p>
            <w:r>
              <w:rPr>
                <w:b w:val="false"/>
                <w:bCs w:val="false"/>
              </w:rPr>
              <w:t xml:space="preserve">Forecaster (per-cluster — capstone only)</w:t>
            </w:r>
          </w:p>
        </w:tc>
        <w:tc>
          <w:tcPr>
            <w:tcW w:type="dxa" w:w="2200"/>
          </w:tcPr>
          <w:p>
            <w:r>
              <w:rPr>
                <w:b w:val="false"/>
                <w:bCs w:val="false"/>
              </w:rPr>
              <w:t xml:space="preserve">Lag + calendar features, per cluster</w:t>
            </w:r>
          </w:p>
        </w:tc>
        <w:tc>
          <w:tcPr>
            <w:tcW w:type="dxa" w:w="1800"/>
          </w:tcPr>
          <w:p>
            <w:r>
              <w:rPr>
                <w:b w:val="false"/>
                <w:bCs w:val="false"/>
              </w:rPr>
              <w:t xml:space="preserve">Half-hourly load forecast</w:t>
            </w:r>
          </w:p>
        </w:tc>
        <w:tc>
          <w:tcPr>
            <w:tcW w:type="dxa" w:w="1700"/>
          </w:tcPr>
          <w:p>
            <w:r>
              <w:rPr>
                <w:b w:val="false"/>
                <w:bCs w:val="false"/>
              </w:rPr>
              <w:t xml:space="preserve">LightGBM (per-cluster)</w:t>
            </w:r>
          </w:p>
        </w:tc>
        <w:tc>
          <w:tcPr>
            <w:tcW w:type="dxa" w:w="1600"/>
          </w:tcPr>
          <w:p>
            <w:r>
              <w:rPr>
                <w:b w:val="false"/>
                <w:bCs w:val="false"/>
              </w:rPr>
              <w:t xml:space="preserve">Global forecaster</w:t>
            </w:r>
          </w:p>
        </w:tc>
      </w:tr>
      <w:tr>
        <w:tc>
          <w:tcPr>
            <w:tcW w:type="dxa" w:w="1700"/>
          </w:tcPr>
          <w:p>
            <w:r>
              <w:rPr>
                <w:b w:val="false"/>
                <w:bCs w:val="false"/>
              </w:rPr>
              <w:t xml:space="preserve">Segmentation</w:t>
            </w:r>
          </w:p>
        </w:tc>
        <w:tc>
          <w:tcPr>
            <w:tcW w:type="dxa" w:w="2200"/>
          </w:tcPr>
          <w:p>
            <w:r>
              <w:rPr>
                <w:b w:val="false"/>
                <w:bCs w:val="false"/>
              </w:rPr>
              <w:t xml:space="preserve">Behavioral feature vector per household per window</w:t>
            </w:r>
          </w:p>
        </w:tc>
        <w:tc>
          <w:tcPr>
            <w:tcW w:type="dxa" w:w="1800"/>
          </w:tcPr>
          <w:p>
            <w:r>
              <w:rPr>
                <w:b w:val="false"/>
                <w:bCs w:val="false"/>
              </w:rPr>
              <w:t xml:space="preserve">Cluster label</w:t>
            </w:r>
          </w:p>
        </w:tc>
        <w:tc>
          <w:tcPr>
            <w:tcW w:type="dxa" w:w="1700"/>
          </w:tcPr>
          <w:p>
            <w:r>
              <w:rPr>
                <w:b w:val="false"/>
                <w:bCs w:val="false"/>
              </w:rPr>
              <w:t xml:space="preserve">K-Means (primary)</w:t>
            </w:r>
          </w:p>
        </w:tc>
        <w:tc>
          <w:tcPr>
            <w:tcW w:type="dxa" w:w="1600"/>
          </w:tcPr>
          <w:p>
            <w:r>
              <w:rPr>
                <w:b w:val="false"/>
                <w:bCs w:val="false"/>
              </w:rPr>
              <w:t xml:space="preserve">N/A — unsupervised</w:t>
            </w:r>
          </w:p>
        </w:tc>
      </w:tr>
      <w:tr>
        <w:tc>
          <w:tcPr>
            <w:tcW w:type="dxa" w:w="1700"/>
          </w:tcPr>
          <w:p>
            <w:r>
              <w:rPr>
                <w:b w:val="false"/>
                <w:bCs w:val="false"/>
              </w:rPr>
              <w:t xml:space="preserve">Anomaly detector</w:t>
            </w:r>
          </w:p>
        </w:tc>
        <w:tc>
          <w:tcPr>
            <w:tcW w:type="dxa" w:w="2200"/>
          </w:tcPr>
          <w:p>
            <w:r>
              <w:rPr>
                <w:b w:val="false"/>
                <w:bCs w:val="false"/>
              </w:rPr>
              <w:t xml:space="preserve">Load + rolling statistics</w:t>
            </w:r>
          </w:p>
        </w:tc>
        <w:tc>
          <w:tcPr>
            <w:tcW w:type="dxa" w:w="1800"/>
          </w:tcPr>
          <w:p>
            <w:r>
              <w:rPr>
                <w:b w:val="false"/>
                <w:bCs w:val="false"/>
              </w:rPr>
              <w:t xml:space="preserve">Anomaly flag + which statistic triggered it</w:t>
            </w:r>
          </w:p>
        </w:tc>
        <w:tc>
          <w:tcPr>
            <w:tcW w:type="dxa" w:w="1700"/>
          </w:tcPr>
          <w:p>
            <w:r>
              <w:rPr>
                <w:b w:val="false"/>
                <w:bCs w:val="false"/>
              </w:rPr>
              <w:t xml:space="preserve">Isolation Forest</w:t>
            </w:r>
          </w:p>
        </w:tc>
        <w:tc>
          <w:tcPr>
            <w:tcW w:type="dxa" w:w="1600"/>
          </w:tcPr>
          <w:p>
            <w:r>
              <w:rPr>
                <w:b w:val="false"/>
                <w:bCs w:val="false"/>
              </w:rPr>
              <w:t xml:space="preserve">Rolling mean ± k·std</w:t>
            </w:r>
          </w:p>
        </w:tc>
      </w:tr>
      <w:tr>
        <w:tc>
          <w:tcPr>
            <w:tcW w:type="dxa" w:w="1700"/>
          </w:tcPr>
          <w:p>
            <w:r>
              <w:rPr>
                <w:b w:val="false"/>
                <w:bCs w:val="false"/>
              </w:rPr>
              <w:t xml:space="preserve">Explainability (forecaster only)</w:t>
            </w:r>
          </w:p>
        </w:tc>
        <w:tc>
          <w:tcPr>
            <w:tcW w:type="dxa" w:w="2200"/>
          </w:tcPr>
          <w:p>
            <w:r>
              <w:rPr>
                <w:b w:val="false"/>
                <w:bCs w:val="false"/>
              </w:rPr>
              <w:t xml:space="preserve">Trained global forecaster + a prediction</w:t>
            </w:r>
          </w:p>
        </w:tc>
        <w:tc>
          <w:tcPr>
            <w:tcW w:type="dxa" w:w="1800"/>
          </w:tcPr>
          <w:p>
            <w:r>
              <w:rPr>
                <w:b w:val="false"/>
                <w:bCs w:val="false"/>
              </w:rPr>
              <w:t xml:space="preserve">Top contributing features, in plain language</w:t>
            </w:r>
          </w:p>
        </w:tc>
        <w:tc>
          <w:tcPr>
            <w:tcW w:type="dxa" w:w="1700"/>
          </w:tcPr>
          <w:p>
            <w:r>
              <w:rPr>
                <w:b w:val="false"/>
                <w:bCs w:val="false"/>
              </w:rPr>
              <w:t xml:space="preserve">SHAP</w:t>
            </w:r>
          </w:p>
        </w:tc>
        <w:tc>
          <w:tcPr>
            <w:tcW w:type="dxa" w:w="1600"/>
          </w:tcPr>
          <w:p>
            <w:r>
              <w:rPr>
                <w:b w:val="false"/>
                <w:bCs w:val="false"/>
              </w:rPr>
              <w:t xml:space="preserve">N/A</w:t>
            </w:r>
          </w:p>
        </w:tc>
      </w:tr>
    </w:tbl>
    <w:p>
      <w:pPr>
        <w:spacing w:after="120"/>
      </w:pPr>
      <w:r>
        <w:rPr>
          <w:b/>
          <w:bCs/>
          <w:i/>
          <w:iCs/>
          <w:color w:val="1F5C1F"/>
        </w:rPr>
        <w:t xml:space="preserve">On anomaly thresholds: </w:t>
      </w:r>
      <w:r>
        <w:rPr>
          <w:i/>
          <w:iCs/>
        </w:rPr>
        <w:t xml:space="preserve">since a simple "&gt;10x median" rule flags 85% of households (§3.4), the Isolation Forest has to learn its threshold from the full multivariate feature space — rolling stats, ramp rate, and so on — rather than from a single fixed magnitude rule.</w:t>
      </w:r>
    </w:p>
    <w:p>
      <w:pPr>
        <w:pStyle w:val="Heading1"/>
        <w:spacing w:after="150" w:before="300"/>
      </w:pPr>
      <w:r>
        <w:t xml:space="preserve">8. Research Methodology</w:t>
      </w:r>
    </w:p>
    <w:p>
      <w:pPr>
        <w:pStyle w:val="Heading2"/>
        <w:spacing w:after="100" w:before="200"/>
      </w:pPr>
      <w:r>
        <w:t xml:space="preserve">8.1 Hypotheses</w:t>
      </w:r>
    </w:p>
    <w:p>
      <w:pPr>
        <w:pStyle w:val="ListParagraph"/>
        <w:numPr>
          <w:ilvl w:val="0"/>
          <w:numId w:val="1"/>
        </w:numPr>
        <w:spacing w:after="60"/>
      </w:pPr>
      <w:r>
        <w:t xml:space="preserve">H1 (primary, must complete): households with more unstable cluster assignments are more likely to have an extreme forecast failure in the following window, even after controlling for their own volatility.</w:t>
      </w:r>
    </w:p>
    <w:p>
      <w:pPr>
        <w:pStyle w:val="ListParagraph"/>
        <w:numPr>
          <w:ilvl w:val="0"/>
          <w:numId w:val="1"/>
        </w:numPr>
        <w:spacing w:after="60"/>
      </w:pPr>
      <w:r>
        <w:t xml:space="preserve">H0 (null, must complete): once volatility is controlled for, instability adds no meaningful extra predictive power.</w:t>
      </w:r>
    </w:p>
    <w:p>
      <w:pPr>
        <w:pStyle w:val="ListParagraph"/>
        <w:numPr>
          <w:ilvl w:val="0"/>
          <w:numId w:val="1"/>
        </w:numPr>
        <w:spacing w:after="60"/>
      </w:pPr>
      <w:r>
        <w:t xml:space="preserve">H2 (GMM membership uncertainty) — only if time allows.</w:t>
      </w:r>
    </w:p>
    <w:p>
      <w:pPr>
        <w:pStyle w:val="ListParagraph"/>
        <w:numPr>
          <w:ilvl w:val="0"/>
          <w:numId w:val="1"/>
        </w:numPr>
        <w:spacing w:after="60"/>
      </w:pPr>
      <w:r>
        <w:t xml:space="preserve">H4 (fallback-routing intervention) — only if time allows.</w:t>
      </w:r>
    </w:p>
    <w:p>
      <w:pPr>
        <w:pStyle w:val="Heading2"/>
        <w:spacing w:after="100" w:before="200"/>
      </w:pPr>
      <w:r>
        <w:t xml:space="preserve">8.2 Behavioral Features</w:t>
      </w:r>
    </w:p>
    <w:p>
      <w:pPr>
        <w:spacing w:after="120"/>
      </w:pPr>
      <w:r>
        <w:t xml:space="preserve">Computed per household, per window, using only that window's own readings: mean load, peak load, peak-to-average ratio, standard deviation, ramp-rate statistics, day/night ratio, weekday/weekend contrast, and peak timing.</w:t>
      </w:r>
    </w:p>
    <w:p>
      <w:pPr>
        <w:pStyle w:val="Heading2"/>
        <w:spacing w:after="100" w:before="200"/>
      </w:pPr>
      <w:r>
        <w:t xml:space="preserve">8.3 Clustering</w:t>
      </w:r>
    </w:p>
    <w:p>
      <w:pPr>
        <w:pStyle w:val="ListParagraph"/>
        <w:numPr>
          <w:ilvl w:val="0"/>
          <w:numId w:val="1"/>
        </w:numPr>
        <w:spacing w:after="60"/>
      </w:pPr>
      <w:r>
        <w:t xml:space="preserve">K-Means is the primary method; GMM is optional and used only for H2. K is fixed once, from a silhouette sweep (k=3..8) run on behavioral features pooled across every household's own calibration windows, and reused for every later window.</w:t>
      </w:r>
    </w:p>
    <w:p>
      <w:pPr>
        <w:pStyle w:val="Heading2"/>
        <w:spacing w:after="100" w:before="200"/>
      </w:pPr>
      <w:r>
        <w:t xml:space="preserve">8.4 Cluster Alignment and Instability</w:t>
      </w:r>
    </w:p>
    <w:p>
      <w:pPr>
        <w:pStyle w:val="ListParagraph"/>
        <w:numPr>
          <w:ilvl w:val="0"/>
          <w:numId w:val="1"/>
        </w:numPr>
        <w:spacing w:after="60"/>
      </w:pPr>
      <w:r>
        <w:t xml:space="preserve">Cluster alignment: household h's cluster labels in window w are matched to h's own previous usable window using the Hungarian algorithm on standardized centroid distance.</w:t>
      </w:r>
    </w:p>
    <w:p>
      <w:pPr>
        <w:pStyle w:val="ListParagraph"/>
        <w:numPr>
          <w:ilvl w:val="0"/>
          <w:numId w:val="1"/>
        </w:numPr>
        <w:spacing w:after="60"/>
      </w:pPr>
      <w:r>
        <w:t xml:space="preserve">Persistence(h) = 1 minus (the number of cluster changes across h's own usable windows so far, divided by the number of transitions observed for h).</w:t>
      </w:r>
    </w:p>
    <w:p>
      <w:pPr>
        <w:pStyle w:val="ListParagraph"/>
        <w:numPr>
          <w:ilvl w:val="0"/>
          <w:numId w:val="1"/>
        </w:numPr>
        <w:spacing w:after="60"/>
      </w:pPr>
      <w:r>
        <w:t xml:space="preserve">Instability(h, w) = 1 minus Persistence(h), using only h's own windows up to w.</w:t>
      </w:r>
    </w:p>
    <w:p>
      <w:pPr>
        <w:spacing w:after="120"/>
      </w:pPr>
      <w:r>
        <w:rPr>
          <w:b/>
          <w:bCs/>
          <w:i/>
          <w:iCs/>
          <w:color w:val="1F5C1F"/>
        </w:rPr>
        <w:t xml:space="preserve">A known limitation, not a redesign: </w:t>
      </w:r>
      <w:r>
        <w:rPr>
          <w:i/>
          <w:iCs/>
        </w:rPr>
        <w:t xml:space="preserve">early in a household's Analysis Period, its instability score is based on very few observed transitions, so it's noisier than later estimates. This is true regardless of the calibration redesign and is listed as a limitation in §21.</w:t>
      </w:r>
    </w:p>
    <w:p>
      <w:pPr>
        <w:pStyle w:val="Heading2"/>
        <w:spacing w:after="100" w:before="200"/>
      </w:pPr>
      <w:r>
        <w:t xml:space="preserve">8.5 Error Standardization and the Extreme-Failure Threshold</w:t>
      </w:r>
    </w:p>
    <w:p>
      <w:pPr>
        <w:pStyle w:val="ListParagraph"/>
        <w:numPr>
          <w:ilvl w:val="0"/>
          <w:numId w:val="1"/>
        </w:numPr>
        <w:spacing w:after="60"/>
      </w:pPr>
      <w:r>
        <w:t xml:space="preserve">Volatility (CV) is computed from household h's load across h's own usable windows 1..w — the same information, at the same point in time, as instability.</w:t>
      </w:r>
    </w:p>
    <w:p>
      <w:pPr>
        <w:pStyle w:val="ListParagraph"/>
        <w:numPr>
          <w:ilvl w:val="0"/>
          <w:numId w:val="1"/>
        </w:numPr>
        <w:spacing w:after="60"/>
      </w:pPr>
      <w:r>
        <w:t xml:space="preserve">AE(h, w+1) is the mean absolute error across all half-hourly predictions in window w+1, using the global forecaster only.</w:t>
      </w:r>
    </w:p>
    <w:p>
      <w:pPr>
        <w:pStyle w:val="ListParagraph"/>
        <w:numPr>
          <w:ilvl w:val="0"/>
          <w:numId w:val="1"/>
        </w:numPr>
        <w:spacing w:after="60"/>
      </w:pPr>
      <w:r>
        <w:t xml:space="preserve">The calibration residual distribution is built from the half-hourly errors in household h's own second calibration window (predicted using a forecaster trained on h's first calibration window, per §4.3). Median and MAD are computed per household from these ~2,688 values.</w:t>
      </w:r>
    </w:p>
    <w:p>
      <w:pPr>
        <w:pStyle w:val="ListParagraph"/>
        <w:numPr>
          <w:ilvl w:val="0"/>
          <w:numId w:val="1"/>
        </w:numPr>
        <w:spacing w:after="60"/>
      </w:pPr>
      <w:r>
        <w:t xml:space="preserve">StdError = (AE(h, w+1) minus h's calibration median AE) divided by MAD_effective, where MAD_effective = max(MAD, 0.05 x calibration median AE). This floor stops the score from exploding for households with a near-zero MAD.</w:t>
      </w:r>
    </w:p>
    <w:p>
      <w:pPr>
        <w:pStyle w:val="ListParagraph"/>
        <w:numPr>
          <w:ilvl w:val="0"/>
          <w:numId w:val="1"/>
        </w:numPr>
        <w:spacing w:after="60"/>
      </w:pPr>
      <w:r>
        <w:t xml:space="preserve">A household-window counts as an extreme failure when its StdError exceeds the 95th percentile of the pooled, cross-household calibration StdError distribution. This threshold is fixed once and applied forward, to every Analysis Period and Holdout window.</w:t>
      </w:r>
    </w:p>
    <w:p>
      <w:pPr>
        <w:pStyle w:val="Heading2"/>
        <w:spacing w:after="100" w:before="200"/>
      </w:pPr>
      <w:r>
        <w:t xml:space="preserve">8.6 Statistical Analysis</w:t>
      </w:r>
    </w:p>
    <w:p>
      <w:pPr>
        <w:pStyle w:val="ListParagraph"/>
        <w:numPr>
          <w:ilvl w:val="0"/>
          <w:numId w:val="1"/>
        </w:numPr>
        <w:spacing w:after="60"/>
      </w:pPr>
      <w:r>
        <w:t xml:space="preserve">Primary model: logistic regression, Failure ~ Volatility + Instability, with standard errors clustered by household_id.</w:t>
      </w:r>
    </w:p>
    <w:p>
      <w:pPr>
        <w:pStyle w:val="ListParagraph"/>
        <w:numPr>
          <w:ilvl w:val="0"/>
          <w:numId w:val="1"/>
        </w:numPr>
        <w:spacing w:after="60"/>
      </w:pPr>
      <w:r>
        <w:t xml:space="preserve">Robustness check, if time allows: a mixed-effects logistic regression with a random intercept per household.</w:t>
      </w:r>
    </w:p>
    <w:p>
      <w:pPr>
        <w:pStyle w:val="ListParagraph"/>
        <w:numPr>
          <w:ilvl w:val="0"/>
          <w:numId w:val="1"/>
        </w:numPr>
        <w:spacing w:after="60"/>
      </w:pPr>
      <w:r>
        <w:t xml:space="preserve">To test H3, we compare the restricted model (volatility only) against the full model (volatility + instability) with a likelihood-ratio test, reporting the change in log-likelihood, the p-value, and the gain in PR-AUC/ROC-AUC.</w:t>
      </w:r>
    </w:p>
    <w:p>
      <w:pPr>
        <w:pStyle w:val="ListParagraph"/>
        <w:numPr>
          <w:ilvl w:val="0"/>
          <w:numId w:val="1"/>
        </w:numPr>
        <w:spacing w:after="60"/>
      </w:pPr>
      <w:r>
        <w:t xml:space="preserve">Effect size: the instability coefficient is reported as an odds ratio with a 95% confidence interval.</w:t>
      </w:r>
    </w:p>
    <w:p>
      <w:pPr>
        <w:pStyle w:val="Heading2"/>
        <w:spacing w:after="100" w:before="200"/>
      </w:pPr>
      <w:r>
        <w:t xml:space="preserve">8.7 Baselines</w:t>
      </w:r>
    </w:p>
    <w:p>
      <w:pPr>
        <w:pStyle w:val="ListParagraph"/>
        <w:numPr>
          <w:ilvl w:val="0"/>
          <w:numId w:val="1"/>
        </w:numPr>
        <w:spacing w:after="60"/>
      </w:pPr>
      <w:r>
        <w:t xml:space="preserve">Seasonal-naive forecaster — a sanity floor for forecasting quality, not part of the H1 test.</w:t>
      </w:r>
    </w:p>
    <w:p>
      <w:pPr>
        <w:pStyle w:val="ListParagraph"/>
        <w:numPr>
          <w:ilvl w:val="0"/>
          <w:numId w:val="1"/>
        </w:numPr>
        <w:spacing w:after="60"/>
      </w:pPr>
      <w:r>
        <w:t xml:space="preserve">Global vs. per-cluster forecaster — a capstone/engineering comparison only, excluded from the research paper's main claims.</w:t>
      </w:r>
    </w:p>
    <w:p>
      <w:pPr>
        <w:pStyle w:val="ListParagraph"/>
        <w:numPr>
          <w:ilvl w:val="0"/>
          <w:numId w:val="1"/>
        </w:numPr>
        <w:spacing w:after="60"/>
      </w:pPr>
      <w:r>
        <w:t xml:space="preserve">Volatility-only risk model — the key baseline that isolates H1 from the confound.</w:t>
      </w:r>
    </w:p>
    <w:p>
      <w:pPr>
        <w:pStyle w:val="ListParagraph"/>
        <w:numPr>
          <w:ilvl w:val="0"/>
          <w:numId w:val="1"/>
        </w:numPr>
        <w:spacing w:after="60"/>
      </w:pPr>
      <w:r>
        <w:t xml:space="preserve">Random risk-tier assignment, with matched tier sizes.</w:t>
      </w:r>
    </w:p>
    <w:p>
      <w:pPr>
        <w:pStyle w:val="Heading2"/>
        <w:spacing w:after="100" w:before="200"/>
      </w:pPr>
      <w:r>
        <w:t xml:space="preserve">8.8 Robustness Checks (attempted in this order, time permitting)</w:t>
      </w:r>
    </w:p>
    <w:p>
      <w:pPr>
        <w:pStyle w:val="ListParagraph"/>
        <w:numPr>
          <w:ilvl w:val="0"/>
          <w:numId w:val="1"/>
        </w:numPr>
        <w:spacing w:after="60"/>
      </w:pPr>
      <w:r>
        <w:t xml:space="preserve">1. Drop the volatility term and rerun Failure ~ Instability alone.</w:t>
      </w:r>
    </w:p>
    <w:p>
      <w:pPr>
        <w:pStyle w:val="ListParagraph"/>
        <w:numPr>
          <w:ilvl w:val="0"/>
          <w:numId w:val="1"/>
        </w:numPr>
        <w:spacing w:after="60"/>
      </w:pPr>
      <w:r>
        <w:t xml:space="preserve">2. Repeat the whole analysis once with 6-week windows and once with 10-week windows.</w:t>
      </w:r>
    </w:p>
    <w:p>
      <w:pPr>
        <w:pStyle w:val="ListParagraph"/>
        <w:numPr>
          <w:ilvl w:val="0"/>
          <w:numId w:val="1"/>
        </w:numPr>
        <w:spacing w:after="60"/>
      </w:pPr>
      <w:r>
        <w:t xml:space="preserve">3. Run a randomized-shuffle placebo test.</w:t>
      </w:r>
    </w:p>
    <w:p>
      <w:pPr>
        <w:pStyle w:val="ListParagraph"/>
        <w:numPr>
          <w:ilvl w:val="0"/>
          <w:numId w:val="1"/>
        </w:numPr>
        <w:spacing w:after="60"/>
      </w:pPr>
      <w:r>
        <w:t xml:space="preserve">4. Exclude each household's first 1–2 Analysis windows and confirm the H1 result still holds direction and significance.</w:t>
      </w:r>
    </w:p>
    <w:p>
      <w:pPr>
        <w:pStyle w:val="ListParagraph"/>
        <w:numPr>
          <w:ilvl w:val="0"/>
          <w:numId w:val="1"/>
        </w:numPr>
        <w:spacing w:after="60"/>
      </w:pPr>
      <w:r>
        <w:t xml:space="preserve">5. Re-fit the mixed-effects model as a final robustness confirmation.</w:t>
      </w:r>
    </w:p>
    <w:p>
      <w:pPr>
        <w:pStyle w:val="Heading2"/>
        <w:spacing w:after="100" w:before="200"/>
      </w:pPr>
      <w:r>
        <w:t xml:space="preserve">8.9 Leakage Prevention Checklist</w:t>
      </w:r>
    </w:p>
    <w:p>
      <w:pPr>
        <w:spacing w:after="120"/>
      </w:pPr>
      <w:r>
        <w:t xml:space="preserve">No variable for window w ever uses data from window w+1 or later. The extreme-failure threshold comes only from calibration data. The forecaster for w+1 only trains on data through calendar window w. K is fixed once, from pooled calibration data only. Each household's Holdout window is used exactly once.</w:t>
      </w:r>
    </w:p>
    <w:p>
      <w:pPr>
        <w:pStyle w:val="Heading1"/>
        <w:spacing w:after="150" w:before="300"/>
      </w:pPr>
      <w:r>
        <w:t xml:space="preserve">9. Frontend and UI</w:t>
      </w:r>
    </w:p>
    <w:p>
      <w:pPr>
        <w:pStyle w:val="Heading2"/>
        <w:spacing w:after="100" w:before="200"/>
      </w:pPr>
      <w:r>
        <w:t xml:space="preserve">9.1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Layer</w:t>
            </w:r>
          </w:p>
        </w:tc>
        <w:tc>
          <w:tcPr>
            <w:tcW w:type="dxa" w:w="6500"/>
            <w:shd w:fill="D9E2F3" w:val="clear"/>
          </w:tcPr>
          <w:p>
            <w:r>
              <w:rPr>
                <w:b/>
                <w:bCs/>
              </w:rPr>
              <w:t xml:space="preserve">Choice</w:t>
            </w:r>
          </w:p>
        </w:tc>
      </w:tr>
      <w:tr>
        <w:tc>
          <w:tcPr>
            <w:tcW w:type="dxa" w:w="2500"/>
          </w:tcPr>
          <w:p>
            <w:r>
              <w:rPr>
                <w:b w:val="false"/>
                <w:bCs w:val="false"/>
              </w:rPr>
              <w:t xml:space="preserve">Primary frontend</w:t>
            </w:r>
          </w:p>
        </w:tc>
        <w:tc>
          <w:tcPr>
            <w:tcW w:type="dxa" w:w="6500"/>
          </w:tcPr>
          <w:p>
            <w:r>
              <w:rPr>
                <w:b w:val="false"/>
                <w:bCs w:val="false"/>
              </w:rPr>
              <w:t xml:space="preserve">React + TypeScript + Vite</w:t>
            </w:r>
          </w:p>
        </w:tc>
      </w:tr>
      <w:tr>
        <w:tc>
          <w:tcPr>
            <w:tcW w:type="dxa" w:w="2500"/>
          </w:tcPr>
          <w:p>
            <w:r>
              <w:rPr>
                <w:b w:val="false"/>
                <w:bCs w:val="false"/>
              </w:rPr>
              <w:t xml:space="preserve">Styling</w:t>
            </w:r>
          </w:p>
        </w:tc>
        <w:tc>
          <w:tcPr>
            <w:tcW w:type="dxa" w:w="6500"/>
          </w:tcPr>
          <w:p>
            <w:r>
              <w:rPr>
                <w:b w:val="false"/>
                <w:bCs w:val="false"/>
              </w:rPr>
              <w:t xml:space="preserve">Tailwind CSS</w:t>
            </w:r>
          </w:p>
        </w:tc>
      </w:tr>
      <w:tr>
        <w:tc>
          <w:tcPr>
            <w:tcW w:type="dxa" w:w="2500"/>
          </w:tcPr>
          <w:p>
            <w:r>
              <w:rPr>
                <w:b w:val="false"/>
                <w:bCs w:val="false"/>
              </w:rPr>
              <w:t xml:space="preserve">Charts</w:t>
            </w:r>
          </w:p>
        </w:tc>
        <w:tc>
          <w:tcPr>
            <w:tcW w:type="dxa" w:w="6500"/>
          </w:tcPr>
          <w:p>
            <w:r>
              <w:rPr>
                <w:b w:val="false"/>
                <w:bCs w:val="false"/>
              </w:rPr>
              <w:t xml:space="preserve">Recharts — forecast charts, the cluster-trajectory timeline, and the reliability indicator</w:t>
            </w:r>
          </w:p>
        </w:tc>
      </w:tr>
      <w:tr>
        <w:tc>
          <w:tcPr>
            <w:tcW w:type="dxa" w:w="2500"/>
          </w:tcPr>
          <w:p>
            <w:r>
              <w:rPr>
                <w:b w:val="false"/>
                <w:bCs w:val="false"/>
              </w:rPr>
              <w:t xml:space="preserve">Backend</w:t>
            </w:r>
          </w:p>
        </w:tc>
        <w:tc>
          <w:tcPr>
            <w:tcW w:type="dxa" w:w="6500"/>
          </w:tcPr>
          <w:p>
            <w:r>
              <w:rPr>
                <w:b w:val="false"/>
                <w:bCs w:val="false"/>
              </w:rPr>
              <w:t xml:space="preserve">FastAPI (Python)</w:t>
            </w:r>
          </w:p>
        </w:tc>
      </w:tr>
      <w:tr>
        <w:tc>
          <w:tcPr>
            <w:tcW w:type="dxa" w:w="2500"/>
          </w:tcPr>
          <w:p>
            <w:r>
              <w:rPr>
                <w:b w:val="false"/>
                <w:bCs w:val="false"/>
              </w:rPr>
              <w:t xml:space="preserve">ML</w:t>
            </w:r>
          </w:p>
        </w:tc>
        <w:tc>
          <w:tcPr>
            <w:tcW w:type="dxa" w:w="6500"/>
          </w:tcPr>
          <w:p>
            <w:r>
              <w:rPr>
                <w:b w:val="false"/>
                <w:bCs w:val="false"/>
              </w:rPr>
              <w:t xml:space="preserve">LightGBM (global + per-cluster), K-Means, Isolation Forest</w:t>
            </w:r>
          </w:p>
        </w:tc>
      </w:tr>
      <w:tr>
        <w:tc>
          <w:tcPr>
            <w:tcW w:type="dxa" w:w="2500"/>
          </w:tcPr>
          <w:p>
            <w:r>
              <w:rPr>
                <w:b w:val="false"/>
                <w:bCs w:val="false"/>
              </w:rPr>
              <w:t xml:space="preserve">AI Layer</w:t>
            </w:r>
          </w:p>
        </w:tc>
        <w:tc>
          <w:tcPr>
            <w:tcW w:type="dxa" w:w="6500"/>
          </w:tcPr>
          <w:p>
            <w:r>
              <w:rPr>
                <w:b w:val="false"/>
                <w:bCs w:val="false"/>
              </w:rPr>
              <w:t xml:space="preserve">RAG (FAISS) + LLM with tool-calling</w:t>
            </w:r>
          </w:p>
        </w:tc>
      </w:tr>
    </w:tbl>
    <w:p>
      <w:pPr>
        <w:pStyle w:val="Heading2"/>
        <w:spacing w:after="100" w:before="200"/>
      </w:pPr>
      <w:r>
        <w:t xml:space="preserve">9.2 Screens</w:t>
      </w:r>
    </w:p>
    <w:p>
      <w:pPr>
        <w:pStyle w:val="ListParagraph"/>
        <w:numPr>
          <w:ilvl w:val="0"/>
          <w:numId w:val="1"/>
        </w:numPr>
        <w:spacing w:after="60"/>
      </w:pPr>
      <w:r>
        <w:t xml:space="preserve">Overview: a portfolio summary, active anomaly count, and cluster distribution.</w:t>
      </w:r>
    </w:p>
    <w:p>
      <w:pPr>
        <w:pStyle w:val="ListParagraph"/>
        <w:numPr>
          <w:ilvl w:val="0"/>
          <w:numId w:val="1"/>
        </w:numPr>
        <w:spacing w:after="60"/>
      </w:pPr>
      <w:r>
        <w:t xml:space="preserve">Household Explorer: a forecast-vs-actual chart with a SHAP explanation panel (forecaster only), plus an anomaly flag with its own separate, feature-based explanation.</w:t>
      </w:r>
    </w:p>
    <w:p>
      <w:pPr>
        <w:pStyle w:val="ListParagraph"/>
        <w:numPr>
          <w:ilvl w:val="0"/>
          <w:numId w:val="1"/>
        </w:numPr>
        <w:spacing w:after="60"/>
      </w:pPr>
      <w:r>
        <w:t xml:space="preserve">Behavioral Trajectory: a timeline of each household's own cluster assignments, its persistence score, and a plain-language reliability indicator — the screen where the capstone and the research meet.</w:t>
      </w:r>
    </w:p>
    <w:p>
      <w:pPr>
        <w:pStyle w:val="ListParagraph"/>
        <w:numPr>
          <w:ilvl w:val="0"/>
          <w:numId w:val="1"/>
        </w:numPr>
        <w:spacing w:after="60"/>
      </w:pPr>
      <w:r>
        <w:t xml:space="preserve">Copilot: a chat interface with tool-calling and RAG grounding for procedural questions.</w:t>
      </w:r>
    </w:p>
    <w:p>
      <w:pPr>
        <w:pStyle w:val="Heading1"/>
        <w:spacing w:after="150" w:before="300"/>
      </w:pPr>
      <w:r>
        <w:t xml:space="preserve">10. RAG Energy Copilot</w:t>
      </w:r>
    </w:p>
    <w:p>
      <w:pPr>
        <w:pStyle w:val="ListParagraph"/>
        <w:numPr>
          <w:ilvl w:val="0"/>
          <w:numId w:val="1"/>
        </w:numPr>
        <w:spacing w:after="60"/>
      </w:pPr>
      <w:r>
        <w:t xml:space="preserve">Knowledge base: 5–10 short, team-written documents — an anomaly-response procedure, a load-shedding/demand-response policy summary, and a glossary (including plain-language definitions of "cluster instability" and "forecast reliability").</w:t>
      </w:r>
    </w:p>
    <w:p>
      <w:pPr>
        <w:pStyle w:val="ListParagraph"/>
        <w:numPr>
          <w:ilvl w:val="0"/>
          <w:numId w:val="1"/>
        </w:numPr>
        <w:spacing w:after="60"/>
      </w:pPr>
      <w:r>
        <w:t xml:space="preserve">Retrieval: top-k cosine similarity over a local FAISS index, using a local sentence-embedding model.</w:t>
      </w:r>
    </w:p>
    <w:p>
      <w:pPr>
        <w:pStyle w:val="ListParagraph"/>
        <w:numPr>
          <w:ilvl w:val="0"/>
          <w:numId w:val="1"/>
        </w:numPr>
        <w:spacing w:after="60"/>
      </w:pPr>
      <w:r>
        <w:t xml:space="preserve">Tools: get_forecast(household_id), get_segment(household_id), get_instability(household_id), get_anomaly(household_id).</w:t>
      </w:r>
    </w:p>
    <w:p>
      <w:pPr>
        <w:pStyle w:val="ListParagraph"/>
        <w:numPr>
          <w:ilvl w:val="0"/>
          <w:numId w:val="1"/>
        </w:numPr>
        <w:spacing w:after="60"/>
      </w:pPr>
      <w:r>
        <w:t xml:space="preserve">Grounding: every numeric claim must trace back to a tool call or a retrieved passage. We enforce this with a system prompt and a numeric-traceability check against a golden Q&amp;A set.</w:t>
      </w:r>
    </w:p>
    <w:p>
      <w:pPr>
        <w:pStyle w:val="ListParagraph"/>
        <w:numPr>
          <w:ilvl w:val="0"/>
          <w:numId w:val="1"/>
        </w:numPr>
        <w:spacing w:after="60"/>
      </w:pPr>
      <w:r>
        <w:t xml:space="preserve">The LLM never computes a forecast, a cluster assignment, an instability score, or a statistical result — it only reports them.</w:t>
      </w:r>
    </w:p>
    <w:p>
      <w:pPr>
        <w:pStyle w:val="Heading1"/>
        <w:spacing w:after="150" w:before="300"/>
      </w:pPr>
      <w:r>
        <w:t xml:space="preserve">11.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c>
          <w:tcPr>
            <w:tcW w:type="dxa" w:w="2600"/>
            <w:shd w:fill="D9E2F3" w:val="clear"/>
          </w:tcPr>
          <w:p>
            <w:r>
              <w:rPr>
                <w:b/>
                <w:bCs/>
              </w:rPr>
              <w:t xml:space="preserve">Component</w:t>
            </w:r>
          </w:p>
        </w:tc>
        <w:tc>
          <w:tcPr>
            <w:tcW w:type="dxa" w:w="3800"/>
            <w:shd w:fill="D9E2F3" w:val="clear"/>
          </w:tcPr>
          <w:p>
            <w:r>
              <w:rPr>
                <w:b/>
                <w:bCs/>
              </w:rPr>
              <w:t xml:space="preserve">Metric</w:t>
            </w:r>
          </w:p>
        </w:tc>
        <w:tc>
          <w:tcPr>
            <w:tcW w:type="dxa" w:w="2600"/>
            <w:shd w:fill="D9E2F3" w:val="clear"/>
          </w:tcPr>
          <w:p>
            <w:r>
              <w:rPr>
                <w:b/>
                <w:bCs/>
              </w:rPr>
              <w:t xml:space="preserve">Baseline / Comparison</w:t>
            </w:r>
          </w:p>
        </w:tc>
      </w:tr>
      <w:tr>
        <w:tc>
          <w:tcPr>
            <w:tcW w:type="dxa" w:w="2600"/>
          </w:tcPr>
          <w:p>
            <w:r>
              <w:rPr>
                <w:b w:val="false"/>
                <w:bCs w:val="false"/>
              </w:rPr>
              <w:t xml:space="preserve">Forecasting (global, research)</w:t>
            </w:r>
          </w:p>
        </w:tc>
        <w:tc>
          <w:tcPr>
            <w:tcW w:type="dxa" w:w="3800"/>
          </w:tcPr>
          <w:p>
            <w:r>
              <w:rPr>
                <w:b w:val="false"/>
                <w:bCs w:val="false"/>
              </w:rPr>
              <w:t xml:space="preserve">MAE, RMSE per household</w:t>
            </w:r>
          </w:p>
        </w:tc>
        <w:tc>
          <w:tcPr>
            <w:tcW w:type="dxa" w:w="2600"/>
          </w:tcPr>
          <w:p>
            <w:r>
              <w:rPr>
                <w:b w:val="false"/>
                <w:bCs w:val="false"/>
              </w:rPr>
              <w:t xml:space="preserve">Naive-seasonal</w:t>
            </w:r>
          </w:p>
        </w:tc>
      </w:tr>
      <w:tr>
        <w:tc>
          <w:tcPr>
            <w:tcW w:type="dxa" w:w="2600"/>
          </w:tcPr>
          <w:p>
            <w:r>
              <w:rPr>
                <w:b w:val="false"/>
                <w:bCs w:val="false"/>
              </w:rPr>
              <w:t xml:space="preserve">Forecasting (per-cluster, capstone)</w:t>
            </w:r>
          </w:p>
        </w:tc>
        <w:tc>
          <w:tcPr>
            <w:tcW w:type="dxa" w:w="3800"/>
          </w:tcPr>
          <w:p>
            <w:r>
              <w:rPr>
                <w:b w:val="false"/>
                <w:bCs w:val="false"/>
              </w:rPr>
              <w:t xml:space="preserve">MAE, RMSE per cluster</w:t>
            </w:r>
          </w:p>
        </w:tc>
        <w:tc>
          <w:tcPr>
            <w:tcW w:type="dxa" w:w="2600"/>
          </w:tcPr>
          <w:p>
            <w:r>
              <w:rPr>
                <w:b w:val="false"/>
                <w:bCs w:val="false"/>
              </w:rPr>
              <w:t xml:space="preserve">Global forecaster</w:t>
            </w:r>
          </w:p>
        </w:tc>
      </w:tr>
      <w:tr>
        <w:tc>
          <w:tcPr>
            <w:tcW w:type="dxa" w:w="2600"/>
          </w:tcPr>
          <w:p>
            <w:r>
              <w:rPr>
                <w:b w:val="false"/>
                <w:bCs w:val="false"/>
              </w:rPr>
              <w:t xml:space="preserve">Extreme forecast failure (research outcome)</w:t>
            </w:r>
          </w:p>
        </w:tc>
        <w:tc>
          <w:tcPr>
            <w:tcW w:type="dxa" w:w="3800"/>
          </w:tcPr>
          <w:p>
            <w:r>
              <w:rPr>
                <w:b w:val="false"/>
                <w:bCs w:val="false"/>
              </w:rPr>
              <w:t xml:space="preserve">AE above the 95th percentile; extreme-error rate</w:t>
            </w:r>
          </w:p>
        </w:tc>
        <w:tc>
          <w:tcPr>
            <w:tcW w:type="dxa" w:w="2600"/>
          </w:tcPr>
          <w:p>
            <w:r>
              <w:rPr>
                <w:b w:val="false"/>
                <w:bCs w:val="false"/>
              </w:rPr>
              <w:t xml:space="preserve">N/A — this is the outcome variable</w:t>
            </w:r>
          </w:p>
        </w:tc>
      </w:tr>
      <w:tr>
        <w:tc>
          <w:tcPr>
            <w:tcW w:type="dxa" w:w="2600"/>
          </w:tcPr>
          <w:p>
            <w:r>
              <w:rPr>
                <w:b w:val="false"/>
                <w:bCs w:val="false"/>
              </w:rPr>
              <w:t xml:space="preserve">Instability signal quality (H1)</w:t>
            </w:r>
          </w:p>
        </w:tc>
        <w:tc>
          <w:tcPr>
            <w:tcW w:type="dxa" w:w="3800"/>
          </w:tcPr>
          <w:p>
            <w:r>
              <w:rPr>
                <w:b w:val="false"/>
                <w:bCs w:val="false"/>
              </w:rPr>
              <w:t xml:space="preserve">PR-AUC, ROC-AUC, Brier score of the volatility+instability model</w:t>
            </w:r>
          </w:p>
        </w:tc>
        <w:tc>
          <w:tcPr>
            <w:tcW w:type="dxa" w:w="2600"/>
          </w:tcPr>
          <w:p>
            <w:r>
              <w:rPr>
                <w:b w:val="false"/>
                <w:bCs w:val="false"/>
              </w:rPr>
              <w:t xml:space="preserve">Volatility-only model</w:t>
            </w:r>
          </w:p>
        </w:tc>
      </w:tr>
      <w:tr>
        <w:tc>
          <w:tcPr>
            <w:tcW w:type="dxa" w:w="2600"/>
          </w:tcPr>
          <w:p>
            <w:r>
              <w:rPr>
                <w:b w:val="false"/>
                <w:bCs w:val="false"/>
              </w:rPr>
              <w:t xml:space="preserve">Confound control</w:t>
            </w:r>
          </w:p>
        </w:tc>
        <w:tc>
          <w:tcPr>
            <w:tcW w:type="dxa" w:w="3800"/>
          </w:tcPr>
          <w:p>
            <w:r>
              <w:rPr>
                <w:b w:val="false"/>
                <w:bCs w:val="false"/>
              </w:rPr>
              <w:t xml:space="preserve">Instability's coefficient and significance, controlling for volatility</w:t>
            </w:r>
          </w:p>
        </w:tc>
        <w:tc>
          <w:tcPr>
            <w:tcW w:type="dxa" w:w="2600"/>
          </w:tcPr>
          <w:p>
            <w:r>
              <w:rPr>
                <w:b w:val="false"/>
                <w:bCs w:val="false"/>
              </w:rPr>
              <w:t xml:space="preserve">Instability-only model</w:t>
            </w:r>
          </w:p>
        </w:tc>
      </w:tr>
      <w:tr>
        <w:tc>
          <w:tcPr>
            <w:tcW w:type="dxa" w:w="2600"/>
          </w:tcPr>
          <w:p>
            <w:r>
              <w:rPr>
                <w:b w:val="false"/>
                <w:bCs w:val="false"/>
              </w:rPr>
              <w:t xml:space="preserve">Anomaly detection</w:t>
            </w:r>
          </w:p>
        </w:tc>
        <w:tc>
          <w:tcPr>
            <w:tcW w:type="dxa" w:w="3800"/>
          </w:tcPr>
          <w:p>
            <w:r>
              <w:rPr>
                <w:b w:val="false"/>
                <w:bCs w:val="false"/>
              </w:rPr>
              <w:t xml:space="preserve">Precision/Recall/F1 on a synthetic-injection test</w:t>
            </w:r>
          </w:p>
        </w:tc>
        <w:tc>
          <w:tcPr>
            <w:tcW w:type="dxa" w:w="2600"/>
          </w:tcPr>
          <w:p>
            <w:r>
              <w:rPr>
                <w:b w:val="false"/>
                <w:bCs w:val="false"/>
              </w:rPr>
              <w:t xml:space="preserve">Rolling mean ± k·std</w:t>
            </w:r>
          </w:p>
        </w:tc>
      </w:tr>
      <w:tr>
        <w:tc>
          <w:tcPr>
            <w:tcW w:type="dxa" w:w="2600"/>
          </w:tcPr>
          <w:p>
            <w:r>
              <w:rPr>
                <w:b w:val="false"/>
                <w:bCs w:val="false"/>
              </w:rPr>
              <w:t xml:space="preserve">RAG Copilot</w:t>
            </w:r>
          </w:p>
        </w:tc>
        <w:tc>
          <w:tcPr>
            <w:tcW w:type="dxa" w:w="3800"/>
          </w:tcPr>
          <w:p>
            <w:r>
              <w:rPr>
                <w:b w:val="false"/>
                <w:bCs w:val="false"/>
              </w:rPr>
              <w:t xml:space="preserve">Retrieval Recall@3, groundedness rate on a golden Q&amp;A set</w:t>
            </w:r>
          </w:p>
        </w:tc>
        <w:tc>
          <w:tcPr>
            <w:tcW w:type="dxa" w:w="2600"/>
          </w:tcPr>
          <w:p>
            <w:r>
              <w:rPr>
                <w:b w:val="false"/>
                <w:bCs w:val="false"/>
              </w:rPr>
              <w:t xml:space="preserve">N/A</w:t>
            </w:r>
          </w:p>
        </w:tc>
      </w:tr>
    </w:tbl>
    <w:p>
      <w:pPr>
        <w:spacing w:after="120"/>
      </w:pPr>
      <w:r>
        <w:rPr>
          <w:b/>
          <w:bCs/>
          <w:i/>
          <w:iCs/>
          <w:color w:val="1F5C1F"/>
        </w:rPr>
        <w:t xml:space="preserve">On statistical power: </w:t>
      </w:r>
      <w:r>
        <w:rPr>
          <w:i/>
          <w:iCs/>
        </w:rPr>
        <w:t xml:space="preserve">with 4,252 qualifying households and a 500–800-household stratified sample across roughly 8–13 analysis windows each, we expect a few thousand observations, with about a 5% positive rate at the 95th-percentile threshold — enough for the planned logistic regression. We'll confirm the actual positive-event count once real StdError values exist (around Day 10–11), with a documented fallback to the 90th percentile if the real rate turns out too low.</w:t>
      </w:r>
    </w:p>
    <w:p>
      <w:pPr>
        <w:pStyle w:val="Heading1"/>
        <w:spacing w:after="150" w:before="300"/>
      </w:pPr>
      <w:r>
        <w:t xml:space="preserve">12. Hardware and Compute (Verified)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c>
          <w:tcPr>
            <w:tcW w:type="dxa" w:w="2400"/>
            <w:shd w:fill="D9E2F3" w:val="clear"/>
          </w:tcPr>
          <w:p>
            <w:r>
              <w:rPr>
                <w:b/>
                <w:bCs/>
              </w:rPr>
              <w:t xml:space="preserve">Resource</w:t>
            </w:r>
          </w:p>
        </w:tc>
        <w:tc>
          <w:tcPr>
            <w:tcW w:type="dxa" w:w="2600"/>
            <w:shd w:fill="D9E2F3" w:val="clear"/>
          </w:tcPr>
          <w:p>
            <w:r>
              <w:rPr>
                <w:b/>
                <w:bCs/>
              </w:rPr>
              <w:t xml:space="preserve">Requirement</w:t>
            </w:r>
          </w:p>
        </w:tc>
        <w:tc>
          <w:tcPr>
            <w:tcW w:type="dxa" w:w="4000"/>
            <w:shd w:fill="D9E2F3" w:val="clear"/>
          </w:tcPr>
          <w:p>
            <w:r>
              <w:rPr>
                <w:b/>
                <w:bCs/>
              </w:rPr>
              <w:t xml:space="preserve">Detail</w:t>
            </w:r>
          </w:p>
        </w:tc>
      </w:tr>
      <w:tr>
        <w:tc>
          <w:tcPr>
            <w:tcW w:type="dxa" w:w="2400"/>
          </w:tcPr>
          <w:p>
            <w:r>
              <w:rPr>
                <w:b w:val="false"/>
                <w:bCs w:val="false"/>
              </w:rPr>
              <w:t xml:space="preserve">CPU</w:t>
            </w:r>
          </w:p>
        </w:tc>
        <w:tc>
          <w:tcPr>
            <w:tcW w:type="dxa" w:w="2600"/>
          </w:tcPr>
          <w:p>
            <w:r>
              <w:rPr>
                <w:b w:val="false"/>
                <w:bCs w:val="false"/>
              </w:rPr>
              <w:t xml:space="preserve">Required</w:t>
            </w:r>
          </w:p>
        </w:tc>
        <w:tc>
          <w:tcPr>
            <w:tcW w:type="dxa" w:w="4000"/>
          </w:tcPr>
          <w:p>
            <w:r>
              <w:rPr>
                <w:b w:val="false"/>
                <w:bCs w:val="false"/>
              </w:rPr>
              <w:t xml:space="preserve">Handles everything — K-Means, LightGBM, and Isolation Forest all run natively on CPU</w:t>
            </w:r>
          </w:p>
        </w:tc>
      </w:tr>
      <w:tr>
        <w:tc>
          <w:tcPr>
            <w:tcW w:type="dxa" w:w="2400"/>
          </w:tcPr>
          <w:p>
            <w:r>
              <w:rPr>
                <w:b w:val="false"/>
                <w:bCs w:val="false"/>
              </w:rPr>
              <w:t xml:space="preserve">RAM</w:t>
            </w:r>
          </w:p>
        </w:tc>
        <w:tc>
          <w:tcPr>
            <w:tcW w:type="dxa" w:w="2600"/>
          </w:tcPr>
          <w:p>
            <w:r>
              <w:rPr>
                <w:b w:val="false"/>
                <w:bCs w:val="false"/>
              </w:rPr>
              <w:t xml:space="preserve">8GB required, 16GB recommended</w:t>
            </w:r>
          </w:p>
        </w:tc>
        <w:tc>
          <w:tcPr>
            <w:tcW w:type="dxa" w:w="4000"/>
          </w:tcPr>
          <w:p>
            <w:r>
              <w:rPr>
                <w:b w:val="false"/>
                <w:bCs w:val="false"/>
              </w:rPr>
              <w:t xml:space="preserve"/>
            </w:r>
          </w:p>
        </w:tc>
      </w:tr>
      <w:tr>
        <w:tc>
          <w:tcPr>
            <w:tcW w:type="dxa" w:w="2400"/>
          </w:tcPr>
          <w:p>
            <w:r>
              <w:rPr>
                <w:b w:val="false"/>
                <w:bCs w:val="false"/>
              </w:rPr>
              <w:t xml:space="preserve">GPU</w:t>
            </w:r>
          </w:p>
        </w:tc>
        <w:tc>
          <w:tcPr>
            <w:tcW w:type="dxa" w:w="2600"/>
          </w:tcPr>
          <w:p>
            <w:r>
              <w:rPr>
                <w:b w:val="false"/>
                <w:bCs w:val="false"/>
              </w:rPr>
              <w:t xml:space="preserve">Not required</w:t>
            </w:r>
          </w:p>
        </w:tc>
        <w:tc>
          <w:tcPr>
            <w:tcW w:type="dxa" w:w="4000"/>
          </w:tcPr>
          <w:p>
            <w:r>
              <w:rPr>
                <w:b w:val="false"/>
                <w:bCs w:val="false"/>
              </w:rPr>
              <w:t xml:space="preserve"/>
            </w:r>
          </w:p>
        </w:tc>
      </w:tr>
      <w:tr>
        <w:tc>
          <w:tcPr>
            <w:tcW w:type="dxa" w:w="2400"/>
          </w:tcPr>
          <w:p>
            <w:r>
              <w:rPr>
                <w:b w:val="false"/>
                <w:bCs w:val="false"/>
              </w:rPr>
              <w:t xml:space="preserve">Storage — peak (transient)</w:t>
            </w:r>
          </w:p>
        </w:tc>
        <w:tc>
          <w:tcPr>
            <w:tcW w:type="dxa" w:w="2600"/>
          </w:tcPr>
          <w:p>
            <w:r>
              <w:rPr>
                <w:b w:val="false"/>
                <w:bCs w:val="false"/>
              </w:rPr>
              <w:t xml:space="preserve">Confirmed ~10.7GB</w:t>
            </w:r>
          </w:p>
        </w:tc>
        <w:tc>
          <w:tcPr>
            <w:tcW w:type="dxa" w:w="4000"/>
          </w:tcPr>
          <w:p>
            <w:r>
              <w:rPr>
                <w:b w:val="false"/>
                <w:bCs w:val="false"/>
              </w:rPr>
              <w:t xml:space="preserve">Raw data (10.27GB) plus both Parquet outputs (197MB subset + 251MB full) coexisting briefly during conversion</w:t>
            </w:r>
          </w:p>
        </w:tc>
      </w:tr>
      <w:tr>
        <w:tc>
          <w:tcPr>
            <w:tcW w:type="dxa" w:w="2400"/>
          </w:tcPr>
          <w:p>
            <w:r>
              <w:rPr>
                <w:b w:val="false"/>
                <w:bCs w:val="false"/>
              </w:rPr>
              <w:t xml:space="preserve">Storage — steady-state</w:t>
            </w:r>
          </w:p>
        </w:tc>
        <w:tc>
          <w:tcPr>
            <w:tcW w:type="dxa" w:w="2600"/>
          </w:tcPr>
          <w:p>
            <w:r>
              <w:rPr>
                <w:b w:val="false"/>
                <w:bCs w:val="false"/>
              </w:rPr>
              <w:t xml:space="preserve">Confirmed ~250–500MB</w:t>
            </w:r>
          </w:p>
        </w:tc>
        <w:tc>
          <w:tcPr>
            <w:tcW w:type="dxa" w:w="4000"/>
          </w:tcPr>
          <w:p>
            <w:r>
              <w:rPr>
                <w:b w:val="false"/>
                <w:bCs w:val="false"/>
              </w:rPr>
              <w:t xml:space="preserve">Raw CSVs are deleted after conversion, leaving the subsample Parquet (197MB) plus models, the Docker image, and the frontend build</w:t>
            </w:r>
          </w:p>
        </w:tc>
      </w:tr>
      <w:tr>
        <w:tc>
          <w:tcPr>
            <w:tcW w:type="dxa" w:w="2400"/>
          </w:tcPr>
          <w:p>
            <w:r>
              <w:rPr>
                <w:b w:val="false"/>
                <w:bCs w:val="false"/>
              </w:rPr>
              <w:t xml:space="preserve">Conversion time</w:t>
            </w:r>
          </w:p>
        </w:tc>
        <w:tc>
          <w:tcPr>
            <w:tcW w:type="dxa" w:w="2600"/>
          </w:tcPr>
          <w:p>
            <w:r>
              <w:rPr>
                <w:b w:val="false"/>
                <w:bCs w:val="false"/>
              </w:rPr>
              <w:t xml:space="preserve">Confirmed: ~37s (subset), ~49s (full)</w:t>
            </w:r>
          </w:p>
        </w:tc>
        <w:tc>
          <w:tcPr>
            <w:tcW w:type="dxa" w:w="4000"/>
          </w:tcPr>
          <w:p>
            <w:r>
              <w:rPr>
                <w:b w:val="false"/>
                <w:bCs w:val="false"/>
              </w:rPr>
              <w:t xml:space="preserve">Measured, not estimated</w:t>
            </w:r>
          </w:p>
        </w:tc>
      </w:tr>
      <w:tr>
        <w:tc>
          <w:tcPr>
            <w:tcW w:type="dxa" w:w="2400"/>
          </w:tcPr>
          <w:p>
            <w:r>
              <w:rPr>
                <w:b w:val="false"/>
                <w:bCs w:val="false"/>
              </w:rPr>
              <w:t xml:space="preserve">Pipeline runtime (load + features + one KMeans fit, 800 households)</w:t>
            </w:r>
          </w:p>
        </w:tc>
        <w:tc>
          <w:tcPr>
            <w:tcW w:type="dxa" w:w="2600"/>
          </w:tcPr>
          <w:p>
            <w:r>
              <w:rPr>
                <w:b w:val="false"/>
                <w:bCs w:val="false"/>
              </w:rPr>
              <w:t xml:space="preserve">Confirmed estimate: under 2 minutes</w:t>
            </w:r>
          </w:p>
        </w:tc>
        <w:tc>
          <w:tcPr>
            <w:tcW w:type="dxa" w:w="4000"/>
          </w:tcPr>
          <w:p>
            <w:r>
              <w:rPr>
                <w:b w:val="false"/>
                <w:bCs w:val="false"/>
              </w:rPr>
              <w:t xml:space="preserve">Measured on a 50-household pilot, then extrapolated linearly</w:t>
            </w:r>
          </w:p>
        </w:tc>
      </w:tr>
      <w:tr>
        <w:tc>
          <w:tcPr>
            <w:tcW w:type="dxa" w:w="2400"/>
          </w:tcPr>
          <w:p>
            <w:r>
              <w:rPr>
                <w:b w:val="false"/>
                <w:bCs w:val="false"/>
              </w:rPr>
              <w:t xml:space="preserve">External API</w:t>
            </w:r>
          </w:p>
        </w:tc>
        <w:tc>
          <w:tcPr>
            <w:tcW w:type="dxa" w:w="2600"/>
          </w:tcPr>
          <w:p>
            <w:r>
              <w:rPr>
                <w:b w:val="false"/>
                <w:bCs w:val="false"/>
              </w:rPr>
              <w:t xml:space="preserve">Required</w:t>
            </w:r>
          </w:p>
        </w:tc>
        <w:tc>
          <w:tcPr>
            <w:tcW w:type="dxa" w:w="4000"/>
          </w:tcPr>
          <w:p>
            <w:r>
              <w:rPr>
                <w:b w:val="false"/>
                <w:bCs w:val="false"/>
              </w:rPr>
              <w:t xml:space="preserve">One LLM provider key</w:t>
            </w:r>
          </w:p>
        </w:tc>
      </w:tr>
      <w:tr>
        <w:tc>
          <w:tcPr>
            <w:tcW w:type="dxa" w:w="2400"/>
          </w:tcPr>
          <w:p>
            <w:r>
              <w:rPr>
                <w:b w:val="false"/>
                <w:bCs w:val="false"/>
              </w:rPr>
              <w:t xml:space="preserve">Cloud</w:t>
            </w:r>
          </w:p>
        </w:tc>
        <w:tc>
          <w:tcPr>
            <w:tcW w:type="dxa" w:w="2600"/>
          </w:tcPr>
          <w:p>
            <w:r>
              <w:rPr>
                <w:b w:val="false"/>
                <w:bCs w:val="false"/>
              </w:rPr>
              <w:t xml:space="preserve">Not required</w:t>
            </w:r>
          </w:p>
        </w:tc>
        <w:tc>
          <w:tcPr>
            <w:tcW w:type="dxa" w:w="4000"/>
          </w:tcPr>
          <w:p>
            <w:r>
              <w:rPr>
                <w:b w:val="false"/>
                <w:bCs w:val="false"/>
              </w:rPr>
              <w:t xml:space="preserve">The Hugging Face Spaces free tier is enough</w:t>
            </w:r>
          </w:p>
        </w:tc>
      </w:tr>
    </w:tbl>
    <w:p>
      <w:pPr>
        <w:pStyle w:val="Heading1"/>
        <w:spacing w:after="150" w:before="300"/>
      </w:pPr>
      <w:r>
        <w:t xml:space="preserve">13. Deployment</w:t>
      </w:r>
    </w:p>
    <w:p>
      <w:pPr>
        <w:spacing w:after="120"/>
      </w:pPr>
      <w:r>
        <w:t xml:space="preserve">A single Docker image runs the FastAPI backend, which serves the built React app as static assets, deployed to Hugging Face Spaces. Person 4 sets up a minimal deployable version by around Day 12, so Day 19 is a redeploy of the real, finished artifacts rather than a first attempt. All the research-pipeline outputs are computed once, during the build, and baked into what gets deployed.</w:t>
      </w:r>
    </w:p>
    <w:p>
      <w:pPr>
        <w:pStyle w:val="Heading1"/>
        <w:spacing w:after="150" w:before="300"/>
      </w:pPr>
      <w:r>
        <w:t xml:space="preserve">14. 20-Day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800"/>
        <w:gridCol w:w="2800"/>
        <w:gridCol w:w="1800"/>
      </w:tblGrid>
      <w:tr>
        <w:tc>
          <w:tcPr>
            <w:tcW w:type="dxa" w:w="900"/>
            <w:shd w:fill="D9E2F3" w:val="clear"/>
          </w:tcPr>
          <w:p>
            <w:r>
              <w:rPr>
                <w:b/>
                <w:bCs/>
              </w:rPr>
              <w:t xml:space="preserve">Days</w:t>
            </w:r>
          </w:p>
        </w:tc>
        <w:tc>
          <w:tcPr>
            <w:tcW w:type="dxa" w:w="1700"/>
            <w:shd w:fill="D9E2F3" w:val="clear"/>
          </w:tcPr>
          <w:p>
            <w:r>
              <w:rPr>
                <w:b/>
                <w:bCs/>
              </w:rPr>
              <w:t xml:space="preserve">Phase</w:t>
            </w:r>
          </w:p>
        </w:tc>
        <w:tc>
          <w:tcPr>
            <w:tcW w:type="dxa" w:w="2800"/>
            <w:shd w:fill="D9E2F3" w:val="clear"/>
          </w:tcPr>
          <w:p>
            <w:r>
              <w:rPr>
                <w:b/>
                <w:bCs/>
              </w:rPr>
              <w:t xml:space="preserve">Engineering Tasks</w:t>
            </w:r>
          </w:p>
        </w:tc>
        <w:tc>
          <w:tcPr>
            <w:tcW w:type="dxa" w:w="2800"/>
            <w:shd w:fill="D9E2F3" w:val="clear"/>
          </w:tcPr>
          <w:p>
            <w:r>
              <w:rPr>
                <w:b/>
                <w:bCs/>
              </w:rPr>
              <w:t xml:space="preserve">Research Tasks</w:t>
            </w:r>
          </w:p>
        </w:tc>
        <w:tc>
          <w:tcPr>
            <w:tcW w:type="dxa" w:w="1800"/>
            <w:shd w:fill="D9E2F3" w:val="clear"/>
          </w:tcPr>
          <w:p>
            <w:r>
              <w:rPr>
                <w:b/>
                <w:bCs/>
              </w:rPr>
              <w:t xml:space="preserve">Milestone</w:t>
            </w:r>
          </w:p>
        </w:tc>
      </w:tr>
      <w:tr>
        <w:tc>
          <w:tcPr>
            <w:tcW w:type="dxa" w:w="900"/>
          </w:tcPr>
          <w:p>
            <w:r>
              <w:rPr>
                <w:b w:val="false"/>
                <w:bCs w:val="false"/>
              </w:rPr>
              <w:t xml:space="preserve">1–2</w:t>
            </w:r>
          </w:p>
        </w:tc>
        <w:tc>
          <w:tcPr>
            <w:tcW w:type="dxa" w:w="1700"/>
          </w:tcPr>
          <w:p>
            <w:r>
              <w:rPr>
                <w:b w:val="false"/>
                <w:bCs w:val="false"/>
              </w:rPr>
              <w:t xml:space="preserve">Setup</w:t>
            </w:r>
          </w:p>
        </w:tc>
        <w:tc>
          <w:tcPr>
            <w:tcW w:type="dxa" w:w="2800"/>
          </w:tcPr>
          <w:p>
            <w:r>
              <w:rPr>
                <w:b w:val="false"/>
                <w:bCs w:val="false"/>
              </w:rPr>
              <w:t xml:space="preserve">Convert raw data to Parquet (~37s), delete the raw files afterward; draw the fixed, stratified 500–800 household sample</w:t>
            </w:r>
          </w:p>
        </w:tc>
        <w:tc>
          <w:tcPr>
            <w:tcW w:type="dxa" w:w="2800"/>
          </w:tcPr>
          <w:p>
            <w:r>
              <w:rPr>
                <w:b w:val="false"/>
                <w:bCs w:val="false"/>
              </w:rPr>
              <w:t xml:space="preserve">Apply the tariff and ACORN filters to real data (already verified — this is just implementation now)</w:t>
            </w:r>
          </w:p>
        </w:tc>
        <w:tc>
          <w:tcPr>
            <w:tcW w:type="dxa" w:w="1800"/>
          </w:tcPr>
          <w:p>
            <w:r>
              <w:rPr>
                <w:b w:val="false"/>
                <w:bCs w:val="false"/>
              </w:rPr>
              <w:t xml:space="preserve">Subsample dataset ready on disk</w:t>
            </w:r>
          </w:p>
        </w:tc>
      </w:tr>
      <w:tr>
        <w:tc>
          <w:tcPr>
            <w:tcW w:type="dxa" w:w="900"/>
          </w:tcPr>
          <w:p>
            <w:r>
              <w:rPr>
                <w:b w:val="false"/>
                <w:bCs w:val="false"/>
              </w:rPr>
              <w:t xml:space="preserve">3–4</w:t>
            </w:r>
          </w:p>
        </w:tc>
        <w:tc>
          <w:tcPr>
            <w:tcW w:type="dxa" w:w="1700"/>
          </w:tcPr>
          <w:p>
            <w:r>
              <w:rPr>
                <w:b w:val="false"/>
                <w:bCs w:val="false"/>
              </w:rPr>
              <w:t xml:space="preserve">Preprocessing</w:t>
            </w:r>
          </w:p>
        </w:tc>
        <w:tc>
          <w:tcPr>
            <w:tcW w:type="dxa" w:w="2800"/>
          </w:tcPr>
          <w:p>
            <w:r>
              <w:rPr>
                <w:b w:val="false"/>
                <w:bCs w:val="false"/>
              </w:rPr>
              <w:t xml:space="preserve">Data-quality pipeline: exclude long gaps (&gt;7 days), check for negative values, apply the minimum-history filter</w:t>
            </w:r>
          </w:p>
        </w:tc>
        <w:tc>
          <w:tcPr>
            <w:tcW w:type="dxa" w:w="2800"/>
          </w:tcPr>
          <w:p>
            <w:r>
              <w:rPr>
                <w:b w:val="false"/>
                <w:bCs w:val="false"/>
              </w:rPr>
              <w:t xml:space="preserve">Assign each household its own first-2-usable-windows calibration pair</w:t>
            </w:r>
          </w:p>
        </w:tc>
        <w:tc>
          <w:tcPr>
            <w:tcW w:type="dxa" w:w="1800"/>
          </w:tcPr>
          <w:p>
            <w:r>
              <w:rPr>
                <w:b w:val="false"/>
                <w:bCs w:val="false"/>
              </w:rPr>
              <w:t xml:space="preserve">Clean, windowed dataset with calibration pairs assigned</w:t>
            </w:r>
          </w:p>
        </w:tc>
      </w:tr>
      <w:tr>
        <w:tc>
          <w:tcPr>
            <w:tcW w:type="dxa" w:w="900"/>
          </w:tcPr>
          <w:p>
            <w:r>
              <w:rPr>
                <w:b w:val="false"/>
                <w:bCs w:val="false"/>
              </w:rPr>
              <w:t xml:space="preserve">5–6</w:t>
            </w:r>
          </w:p>
        </w:tc>
        <w:tc>
          <w:tcPr>
            <w:tcW w:type="dxa" w:w="1700"/>
          </w:tcPr>
          <w:p>
            <w:r>
              <w:rPr>
                <w:b w:val="false"/>
                <w:bCs w:val="false"/>
              </w:rPr>
              <w:t xml:space="preserve">Calibration processing</w:t>
            </w:r>
          </w:p>
        </w:tc>
        <w:tc>
          <w:tcPr>
            <w:tcW w:type="dxa" w:w="2800"/>
          </w:tcPr>
          <w:p>
            <w:r>
              <w:rPr>
                <w:b w:val="false"/>
                <w:bCs w:val="false"/>
              </w:rPr>
              <w:t xml:space="preserve">Build the behavioral feature pipeline</w:t>
            </w:r>
          </w:p>
        </w:tc>
        <w:tc>
          <w:tcPr>
            <w:tcW w:type="dxa" w:w="2800"/>
          </w:tcPr>
          <w:p>
            <w:r>
              <w:rPr>
                <w:b w:val="false"/>
                <w:bCs w:val="false"/>
              </w:rPr>
              <w:t xml:space="preserve">Run the silhouette sweep (pooled across everyone's calibration windows) to fix K; train the global forecaster on each household's first calibration window and predict its second, producing calibration residual distributions</w:t>
            </w:r>
          </w:p>
        </w:tc>
        <w:tc>
          <w:tcPr>
            <w:tcW w:type="dxa" w:w="1800"/>
          </w:tcPr>
          <w:p>
            <w:r>
              <w:rPr>
                <w:b w:val="false"/>
                <w:bCs w:val="false"/>
              </w:rPr>
              <w:t xml:space="preserve">K is fixed; per-household calibration residuals are computed</w:t>
            </w:r>
          </w:p>
        </w:tc>
      </w:tr>
      <w:tr>
        <w:tc>
          <w:tcPr>
            <w:tcW w:type="dxa" w:w="900"/>
          </w:tcPr>
          <w:p>
            <w:r>
              <w:rPr>
                <w:b w:val="false"/>
                <w:bCs w:val="false"/>
              </w:rPr>
              <w:t xml:space="preserve">7</w:t>
            </w:r>
          </w:p>
        </w:tc>
        <w:tc>
          <w:tcPr>
            <w:tcW w:type="dxa" w:w="1700"/>
          </w:tcPr>
          <w:p>
            <w:r>
              <w:rPr>
                <w:b w:val="false"/>
                <w:bCs w:val="false"/>
              </w:rPr>
              <w:t xml:space="preserve">First clustering pass</w:t>
            </w:r>
          </w:p>
        </w:tc>
        <w:tc>
          <w:tcPr>
            <w:tcW w:type="dxa" w:w="2800"/>
          </w:tcPr>
          <w:p>
            <w:r>
              <w:rPr>
                <w:b w:val="false"/>
                <w:bCs w:val="false"/>
              </w:rPr>
              <w:t xml:space="preserve">Wire K-Means into the app (segmentation v1) using the fixed K</w:t>
            </w:r>
          </w:p>
        </w:tc>
        <w:tc>
          <w:tcPr>
            <w:tcW w:type="dxa" w:w="2800"/>
          </w:tcPr>
          <w:p>
            <w:r>
              <w:rPr>
                <w:b w:val="false"/>
                <w:bCs w:val="false"/>
              </w:rPr>
              <w:t xml:space="preserve">Sanity-check one window's clustering before scaling up</w:t>
            </w:r>
          </w:p>
        </w:tc>
        <w:tc>
          <w:tcPr>
            <w:tcW w:type="dxa" w:w="1800"/>
          </w:tcPr>
          <w:p>
            <w:r>
              <w:rPr>
                <w:b w:val="false"/>
                <w:bCs w:val="false"/>
              </w:rPr>
              <w:t xml:space="preserve">A clean, working cluster solution</w:t>
            </w:r>
          </w:p>
        </w:tc>
      </w:tr>
      <w:tr>
        <w:tc>
          <w:tcPr>
            <w:tcW w:type="dxa" w:w="900"/>
          </w:tcPr>
          <w:p>
            <w:r>
              <w:rPr>
                <w:b w:val="false"/>
                <w:bCs w:val="false"/>
              </w:rPr>
              <w:t xml:space="preserve">8–9</w:t>
            </w:r>
          </w:p>
        </w:tc>
        <w:tc>
          <w:tcPr>
            <w:tcW w:type="dxa" w:w="1700"/>
          </w:tcPr>
          <w:p>
            <w:r>
              <w:rPr>
                <w:b w:val="false"/>
                <w:bCs w:val="false"/>
              </w:rPr>
              <w:t xml:space="preserve">Clustering and alignment across all windows (critical path)</w:t>
            </w:r>
          </w:p>
        </w:tc>
        <w:tc>
          <w:tcPr>
            <w:tcW w:type="dxa" w:w="2800"/>
          </w:tcPr>
          <w:p>
            <w:r>
              <w:rPr>
                <w:b w:val="false"/>
                <w:bCs w:val="false"/>
              </w:rPr>
              <w:t xml:space="preserve">—</w:t>
            </w:r>
          </w:p>
        </w:tc>
        <w:tc>
          <w:tcPr>
            <w:tcW w:type="dxa" w:w="2800"/>
          </w:tcPr>
          <w:p>
            <w:r>
              <w:rPr>
                <w:b w:val="false"/>
                <w:bCs w:val="false"/>
              </w:rPr>
              <w:t xml:space="preserve">Run K-Means across every household's own Analysis Period windows; align clusters with the Hungarian algorithm across each household's own consecutive windows. Person 2 is available to pair up if this slips.</w:t>
            </w:r>
          </w:p>
        </w:tc>
        <w:tc>
          <w:tcPr>
            <w:tcW w:type="dxa" w:w="1800"/>
          </w:tcPr>
          <w:p>
            <w:r>
              <w:rPr>
                <w:b w:val="false"/>
                <w:bCs w:val="false"/>
              </w:rPr>
              <w:t xml:space="preserve">Aligned cluster trajectories for every household</w:t>
            </w:r>
          </w:p>
        </w:tc>
      </w:tr>
      <w:tr>
        <w:tc>
          <w:tcPr>
            <w:tcW w:type="dxa" w:w="900"/>
          </w:tcPr>
          <w:p>
            <w:r>
              <w:rPr>
                <w:b w:val="false"/>
                <w:bCs w:val="false"/>
              </w:rPr>
              <w:t xml:space="preserve">10</w:t>
            </w:r>
          </w:p>
        </w:tc>
        <w:tc>
          <w:tcPr>
            <w:tcW w:type="dxa" w:w="1700"/>
          </w:tcPr>
          <w:p>
            <w:r>
              <w:rPr>
                <w:b w:val="false"/>
                <w:bCs w:val="false"/>
              </w:rPr>
              <w:t xml:space="preserve">Instability and volatility</w:t>
            </w:r>
          </w:p>
        </w:tc>
        <w:tc>
          <w:tcPr>
            <w:tcW w:type="dxa" w:w="2800"/>
          </w:tcPr>
          <w:p>
            <w:r>
              <w:rPr>
                <w:b w:val="false"/>
                <w:bCs w:val="false"/>
              </w:rPr>
              <w:t xml:space="preserve">Wire the scores into the app's data model</w:t>
            </w:r>
          </w:p>
        </w:tc>
        <w:tc>
          <w:tcPr>
            <w:tcW w:type="dxa" w:w="2800"/>
          </w:tcPr>
          <w:p>
            <w:r>
              <w:rPr>
                <w:b w:val="false"/>
                <w:bCs w:val="false"/>
              </w:rPr>
              <w:t xml:space="preserve">Compute persistence and CV per household per window; check the real positive-event rate at the 95th percentile (fall back to the 90th if it's too low)</w:t>
            </w:r>
          </w:p>
        </w:tc>
        <w:tc>
          <w:tcPr>
            <w:tcW w:type="dxa" w:w="1800"/>
          </w:tcPr>
          <w:p>
            <w:r>
              <w:rPr>
                <w:b w:val="false"/>
                <w:bCs w:val="false"/>
              </w:rPr>
              <w:t xml:space="preserve">Scores computed and sanity-checked</w:t>
            </w:r>
          </w:p>
        </w:tc>
      </w:tr>
      <w:tr>
        <w:tc>
          <w:tcPr>
            <w:tcW w:type="dxa" w:w="900"/>
          </w:tcPr>
          <w:p>
            <w:r>
              <w:rPr>
                <w:b w:val="false"/>
                <w:bCs w:val="false"/>
              </w:rPr>
              <w:t xml:space="preserve">11–12</w:t>
            </w:r>
          </w:p>
        </w:tc>
        <w:tc>
          <w:tcPr>
            <w:tcW w:type="dxa" w:w="1700"/>
          </w:tcPr>
          <w:p>
            <w:r>
              <w:rPr>
                <w:b w:val="false"/>
                <w:bCs w:val="false"/>
              </w:rPr>
              <w:t xml:space="preserve">Forecasting and error standardization</w:t>
            </w:r>
          </w:p>
        </w:tc>
        <w:tc>
          <w:tcPr>
            <w:tcW w:type="dxa" w:w="2800"/>
          </w:tcPr>
          <w:p>
            <w:r>
              <w:rPr>
                <w:b w:val="false"/>
                <w:bCs w:val="false"/>
              </w:rPr>
              <w:t xml:space="preserve">Build the GLOBAL forecaster (pooled, per calendar window w); build the per-cluster forecaster in parallel (capstone-only). Person 4 sets up the Docker/Hugging Face Spaces skeleton.</w:t>
            </w:r>
          </w:p>
        </w:tc>
        <w:tc>
          <w:tcPr>
            <w:tcW w:type="dxa" w:w="2800"/>
          </w:tcPr>
          <w:p>
            <w:r>
              <w:rPr>
                <w:b w:val="false"/>
                <w:bCs w:val="false"/>
              </w:rPr>
              <w:t xml:space="preserve">Run chronological forecasting from w to w+1 using the global forecaster only; compute AE and StdError with the MAD floor</w:t>
            </w:r>
          </w:p>
        </w:tc>
        <w:tc>
          <w:tcPr>
            <w:tcW w:type="dxa" w:w="1800"/>
          </w:tcPr>
          <w:p>
            <w:r>
              <w:rPr>
                <w:b w:val="false"/>
                <w:bCs w:val="false"/>
              </w:rPr>
              <w:t xml:space="preserve">Standardized errors exist for every household/window pair</w:t>
            </w:r>
          </w:p>
        </w:tc>
      </w:tr>
      <w:tr>
        <w:tc>
          <w:tcPr>
            <w:tcW w:type="dxa" w:w="900"/>
          </w:tcPr>
          <w:p>
            <w:r>
              <w:rPr>
                <w:b w:val="false"/>
                <w:bCs w:val="false"/>
              </w:rPr>
              <w:t xml:space="preserve">13–14</w:t>
            </w:r>
          </w:p>
        </w:tc>
        <w:tc>
          <w:tcPr>
            <w:tcW w:type="dxa" w:w="1700"/>
          </w:tcPr>
          <w:p>
            <w:r>
              <w:rPr>
                <w:b w:val="false"/>
                <w:bCs w:val="false"/>
              </w:rPr>
              <w:t xml:space="preserve">Primary experiment (critical path)</w:t>
            </w:r>
          </w:p>
        </w:tc>
        <w:tc>
          <w:tcPr>
            <w:tcW w:type="dxa" w:w="2800"/>
          </w:tcPr>
          <w:p>
            <w:r>
              <w:rPr>
                <w:b w:val="false"/>
                <w:bCs w:val="false"/>
              </w:rPr>
              <w:t xml:space="preserve">—</w:t>
            </w:r>
          </w:p>
        </w:tc>
        <w:tc>
          <w:tcPr>
            <w:tcW w:type="dxa" w:w="2800"/>
          </w:tcPr>
          <w:p>
            <w:r>
              <w:rPr>
                <w:b w:val="false"/>
                <w:bCs w:val="false"/>
              </w:rPr>
              <w:t xml:space="preserve">Apply the fixed extreme-failure threshold; fit the cluster-robust logistic regression</w:t>
            </w:r>
          </w:p>
        </w:tc>
        <w:tc>
          <w:tcPr>
            <w:tcW w:type="dxa" w:w="1800"/>
          </w:tcPr>
          <w:p>
            <w:r>
              <w:rPr>
                <w:b w:val="false"/>
                <w:bCs w:val="false"/>
              </w:rPr>
              <w:t xml:space="preserve">Primary H1/H0 result obtained and reported honestly</w:t>
            </w:r>
          </w:p>
        </w:tc>
      </w:tr>
      <w:tr>
        <w:tc>
          <w:tcPr>
            <w:tcW w:type="dxa" w:w="900"/>
          </w:tcPr>
          <w:p>
            <w:r>
              <w:rPr>
                <w:b w:val="false"/>
                <w:bCs w:val="false"/>
              </w:rPr>
              <w:t xml:space="preserve">15</w:t>
            </w:r>
          </w:p>
        </w:tc>
        <w:tc>
          <w:tcPr>
            <w:tcW w:type="dxa" w:w="1700"/>
          </w:tcPr>
          <w:p>
            <w:r>
              <w:rPr>
                <w:b w:val="false"/>
                <w:bCs w:val="false"/>
              </w:rPr>
              <w:t xml:space="preserve">Robustness checks + start writing up</w:t>
            </w:r>
          </w:p>
        </w:tc>
        <w:tc>
          <w:tcPr>
            <w:tcW w:type="dxa" w:w="2800"/>
          </w:tcPr>
          <w:p>
            <w:r>
              <w:rPr>
                <w:b w:val="false"/>
                <w:bCs w:val="false"/>
              </w:rPr>
              <w:t xml:space="preserve">—</w:t>
            </w:r>
          </w:p>
        </w:tc>
        <w:tc>
          <w:tcPr>
            <w:tcW w:type="dxa" w:w="2800"/>
          </w:tcPr>
          <w:p>
            <w:r>
              <w:rPr>
                <w:b w:val="false"/>
                <w:bCs w:val="false"/>
              </w:rPr>
              <w:t xml:space="preserve">Attempt 1–2 checks from §8.8; start drafting the methods and early-results sections</w:t>
            </w:r>
          </w:p>
        </w:tc>
        <w:tc>
          <w:tcPr>
            <w:tcW w:type="dxa" w:w="1800"/>
          </w:tcPr>
          <w:p>
            <w:r>
              <w:rPr>
                <w:b w:val="false"/>
                <w:bCs w:val="false"/>
              </w:rPr>
              <w:t xml:space="preserve">At least one robustness check done; the write-up is underway</w:t>
            </w:r>
          </w:p>
        </w:tc>
      </w:tr>
      <w:tr>
        <w:tc>
          <w:tcPr>
            <w:tcW w:type="dxa" w:w="900"/>
          </w:tcPr>
          <w:p>
            <w:r>
              <w:rPr>
                <w:b w:val="false"/>
                <w:bCs w:val="false"/>
              </w:rPr>
              <w:t xml:space="preserve">16</w:t>
            </w:r>
          </w:p>
        </w:tc>
        <w:tc>
          <w:tcPr>
            <w:tcW w:type="dxa" w:w="1700"/>
          </w:tcPr>
          <w:p>
            <w:r>
              <w:rPr>
                <w:b w:val="false"/>
                <w:bCs w:val="false"/>
              </w:rPr>
              <w:t xml:space="preserve">Anomaly detection</w:t>
            </w:r>
          </w:p>
        </w:tc>
        <w:tc>
          <w:tcPr>
            <w:tcW w:type="dxa" w:w="2800"/>
          </w:tcPr>
          <w:p>
            <w:r>
              <w:rPr>
                <w:b w:val="false"/>
                <w:bCs w:val="false"/>
              </w:rPr>
              <w:t xml:space="preserve">Build Isolation Forest and evaluate it with synthetic anomaly injection (using a multivariate threshold, not the &gt;10x rule)</w:t>
            </w:r>
          </w:p>
        </w:tc>
        <w:tc>
          <w:tcPr>
            <w:tcW w:type="dxa" w:w="2800"/>
          </w:tcPr>
          <w:p>
            <w:r>
              <w:rPr>
                <w:b w:val="false"/>
                <w:bCs w:val="false"/>
              </w:rPr>
              <w:t xml:space="preserve">—</w:t>
            </w:r>
          </w:p>
        </w:tc>
        <w:tc>
          <w:tcPr>
            <w:tcW w:type="dxa" w:w="1800"/>
          </w:tcPr>
          <w:p>
            <w:r>
              <w:rPr>
                <w:b w:val="false"/>
                <w:bCs w:val="false"/>
              </w:rPr>
              <w:t xml:space="preserve">Anomaly detection is working</w:t>
            </w:r>
          </w:p>
        </w:tc>
      </w:tr>
      <w:tr>
        <w:tc>
          <w:tcPr>
            <w:tcW w:type="dxa" w:w="900"/>
          </w:tcPr>
          <w:p>
            <w:r>
              <w:rPr>
                <w:b w:val="false"/>
                <w:bCs w:val="false"/>
              </w:rPr>
              <w:t xml:space="preserve">17</w:t>
            </w:r>
          </w:p>
        </w:tc>
        <w:tc>
          <w:tcPr>
            <w:tcW w:type="dxa" w:w="1700"/>
          </w:tcPr>
          <w:p>
            <w:r>
              <w:rPr>
                <w:b w:val="false"/>
                <w:bCs w:val="false"/>
              </w:rPr>
              <w:t xml:space="preserve">SHAP explanations</w:t>
            </w:r>
          </w:p>
        </w:tc>
        <w:tc>
          <w:tcPr>
            <w:tcW w:type="dxa" w:w="2800"/>
          </w:tcPr>
          <w:p>
            <w:r>
              <w:rPr>
                <w:b w:val="false"/>
                <w:bCs w:val="false"/>
              </w:rPr>
              <w:t xml:space="preserve">Add SHAP to the global forecaster only; build the anomaly explanation as a separate, feature-based mechanism</w:t>
            </w:r>
          </w:p>
        </w:tc>
        <w:tc>
          <w:tcPr>
            <w:tcW w:type="dxa" w:w="2800"/>
          </w:tcPr>
          <w:p>
            <w:r>
              <w:rPr>
                <w:b w:val="false"/>
                <w:bCs w:val="false"/>
              </w:rPr>
              <w:t xml:space="preserve">—</w:t>
            </w:r>
          </w:p>
        </w:tc>
        <w:tc>
          <w:tcPr>
            <w:tcW w:type="dxa" w:w="1800"/>
          </w:tcPr>
          <w:p>
            <w:r>
              <w:rPr>
                <w:b w:val="false"/>
                <w:bCs w:val="false"/>
              </w:rPr>
              <w:t xml:space="preserve">Explanation panels are correctly scoped</w:t>
            </w:r>
          </w:p>
        </w:tc>
      </w:tr>
      <w:tr>
        <w:tc>
          <w:tcPr>
            <w:tcW w:type="dxa" w:w="900"/>
          </w:tcPr>
          <w:p>
            <w:r>
              <w:rPr>
                <w:b w:val="false"/>
                <w:bCs w:val="false"/>
              </w:rPr>
              <w:t xml:space="preserve">18</w:t>
            </w:r>
          </w:p>
        </w:tc>
        <w:tc>
          <w:tcPr>
            <w:tcW w:type="dxa" w:w="1700"/>
          </w:tcPr>
          <w:p>
            <w:r>
              <w:rPr>
                <w:b w:val="false"/>
                <w:bCs w:val="false"/>
              </w:rPr>
              <w:t xml:space="preserve">RAG and integration</w:t>
            </w:r>
          </w:p>
        </w:tc>
        <w:tc>
          <w:tcPr>
            <w:tcW w:type="dxa" w:w="2800"/>
          </w:tcPr>
          <w:p>
            <w:r>
              <w:rPr>
                <w:b w:val="false"/>
                <w:bCs w:val="false"/>
              </w:rPr>
              <w:t xml:space="preserve">Build the FAISS index and tool-calling; wire every screen to real pipeline outputs</w:t>
            </w:r>
          </w:p>
        </w:tc>
        <w:tc>
          <w:tcPr>
            <w:tcW w:type="dxa" w:w="2800"/>
          </w:tcPr>
          <w:p>
            <w:r>
              <w:rPr>
                <w:b w:val="false"/>
                <w:bCs w:val="false"/>
              </w:rPr>
              <w:t xml:space="preserve">—</w:t>
            </w:r>
          </w:p>
        </w:tc>
        <w:tc>
          <w:tcPr>
            <w:tcW w:type="dxa" w:w="1800"/>
          </w:tcPr>
          <w:p>
            <w:r>
              <w:rPr>
                <w:b w:val="false"/>
                <w:bCs w:val="false"/>
              </w:rPr>
              <w:t xml:space="preserve">The app works end-to-end</w:t>
            </w:r>
          </w:p>
        </w:tc>
      </w:tr>
      <w:tr>
        <w:tc>
          <w:tcPr>
            <w:tcW w:type="dxa" w:w="900"/>
          </w:tcPr>
          <w:p>
            <w:r>
              <w:rPr>
                <w:b w:val="false"/>
                <w:bCs w:val="false"/>
              </w:rPr>
              <w:t xml:space="preserve">19</w:t>
            </w:r>
          </w:p>
        </w:tc>
        <w:tc>
          <w:tcPr>
            <w:tcW w:type="dxa" w:w="1700"/>
          </w:tcPr>
          <w:p>
            <w:r>
              <w:rPr>
                <w:b w:val="false"/>
                <w:bCs w:val="false"/>
              </w:rPr>
              <w:t xml:space="preserve">Testing and Holdout</w:t>
            </w:r>
          </w:p>
        </w:tc>
        <w:tc>
          <w:tcPr>
            <w:tcW w:type="dxa" w:w="2800"/>
          </w:tcPr>
          <w:p>
            <w:r>
              <w:rPr>
                <w:b w:val="false"/>
                <w:bCs w:val="false"/>
              </w:rPr>
              <w:t xml:space="preserve">Full-team bug bash; redeploy the real, finished artifacts to the existing skeleton</w:t>
            </w:r>
          </w:p>
        </w:tc>
        <w:tc>
          <w:tcPr>
            <w:tcW w:type="dxa" w:w="2800"/>
          </w:tcPr>
          <w:p>
            <w:r>
              <w:rPr>
                <w:b w:val="false"/>
                <w:bCs w:val="false"/>
              </w:rPr>
              <w:t xml:space="preserve">Run each household's own Holdout window once, forward-only</w:t>
            </w:r>
          </w:p>
        </w:tc>
        <w:tc>
          <w:tcPr>
            <w:tcW w:type="dxa" w:w="1800"/>
          </w:tcPr>
          <w:p>
            <w:r>
              <w:rPr>
                <w:b w:val="false"/>
                <w:bCs w:val="false"/>
              </w:rPr>
              <w:t xml:space="preserve">The deployed app is stable; Holdout results are recorded, not used to retune anything</w:t>
            </w:r>
          </w:p>
        </w:tc>
      </w:tr>
      <w:tr>
        <w:tc>
          <w:tcPr>
            <w:tcW w:type="dxa" w:w="900"/>
          </w:tcPr>
          <w:p>
            <w:r>
              <w:rPr>
                <w:b w:val="false"/>
                <w:bCs w:val="false"/>
              </w:rPr>
              <w:t xml:space="preserve">20</w:t>
            </w:r>
          </w:p>
        </w:tc>
        <w:tc>
          <w:tcPr>
            <w:tcW w:type="dxa" w:w="1700"/>
          </w:tcPr>
          <w:p>
            <w:r>
              <w:rPr>
                <w:b w:val="false"/>
                <w:bCs w:val="false"/>
              </w:rPr>
              <w:t xml:space="preserve">Demo and documentation</w:t>
            </w:r>
          </w:p>
        </w:tc>
        <w:tc>
          <w:tcPr>
            <w:tcW w:type="dxa" w:w="2800"/>
          </w:tcPr>
          <w:p>
            <w:r>
              <w:rPr>
                <w:b w:val="false"/>
                <w:bCs w:val="false"/>
              </w:rPr>
              <w:t xml:space="preserve">Rehearse the demo</w:t>
            </w:r>
          </w:p>
        </w:tc>
        <w:tc>
          <w:tcPr>
            <w:tcW w:type="dxa" w:w="2800"/>
          </w:tcPr>
          <w:p>
            <w:r>
              <w:rPr>
                <w:b w:val="false"/>
                <w:bCs w:val="false"/>
              </w:rPr>
              <w:t xml:space="preserve">Finish the write-up (already underway since Day 15)</w:t>
            </w:r>
          </w:p>
        </w:tc>
        <w:tc>
          <w:tcPr>
            <w:tcW w:type="dxa" w:w="1800"/>
          </w:tcPr>
          <w:p>
            <w:r>
              <w:rPr>
                <w:b w:val="false"/>
                <w:bCs w:val="false"/>
              </w:rPr>
              <w:t xml:space="preserve">Demo rehearsed twice; write-up complete</w:t>
            </w:r>
          </w:p>
        </w:tc>
      </w:tr>
    </w:tbl>
    <w:p>
      <w:pPr>
        <w:pStyle w:val="Heading1"/>
        <w:spacing w:after="150" w:before="300"/>
      </w:pPr>
      <w:r>
        <w:t xml:space="preserve">15. Team Roles and Parallel Work</w:t>
      </w:r>
    </w:p>
    <w:p>
      <w:pPr>
        <w:pStyle w:val="ListParagraph"/>
        <w:numPr>
          <w:ilvl w:val="0"/>
          <w:numId w:val="1"/>
        </w:numPr>
        <w:spacing w:after="60"/>
      </w:pPr>
      <w:r>
        <w:t xml:space="preserve">Person 1 (Data + Research Pipeline Lead): preprocessing, assigning per-household calibration windows, cluster alignment, and instability metrics. This is the critical path through Day 10.</w:t>
      </w:r>
    </w:p>
    <w:p>
      <w:pPr>
        <w:pStyle w:val="ListParagraph"/>
        <w:numPr>
          <w:ilvl w:val="0"/>
          <w:numId w:val="1"/>
        </w:numPr>
        <w:spacing w:after="60"/>
      </w:pPr>
      <w:r>
        <w:t xml:space="preserve">Person 2 (Forecasting + Statistics): starts building the forecasting pipeline around Day 5, using calibration data, rather than waiting. Available to pair with Person 1 on Days 8–9. Owns the H1/H0 statistical comparison from Day 11 onward.</w:t>
      </w:r>
    </w:p>
    <w:p>
      <w:pPr>
        <w:pStyle w:val="ListParagraph"/>
        <w:numPr>
          <w:ilvl w:val="0"/>
          <w:numId w:val="1"/>
        </w:numPr>
        <w:spacing w:after="60"/>
      </w:pPr>
      <w:r>
        <w:t xml:space="preserve">Person 3 (Anomaly + Explainability): builds Isolation Forest and SHAP, and can start integrating as soon as Person 1's clean feature table is ready.</w:t>
      </w:r>
    </w:p>
    <w:p>
      <w:pPr>
        <w:pStyle w:val="ListParagraph"/>
        <w:numPr>
          <w:ilvl w:val="0"/>
          <w:numId w:val="1"/>
        </w:numPr>
        <w:spacing w:after="60"/>
      </w:pPr>
      <w:r>
        <w:t xml:space="preserve">Person 4 (Frontend/Backend/RAG): works independently from Day 1, building against mocked outputs. Sets up the Docker/Hugging Face Spaces skeleton by around Day 12, then wires in real results from Day 9 onward, including the Behavioral Trajectory screen.</w:t>
      </w:r>
    </w:p>
    <w:p>
      <w:pPr>
        <w:pStyle w:val="Heading1"/>
        <w:spacing w:after="150" w:before="300"/>
      </w:pPr>
      <w:r>
        <w:t xml:space="preserve">16. Out of Scope</w:t>
      </w:r>
    </w:p>
    <w:p>
      <w:pPr>
        <w:pStyle w:val="ListParagraph"/>
        <w:numPr>
          <w:ilvl w:val="0"/>
          <w:numId w:val="1"/>
        </w:numPr>
        <w:spacing w:after="60"/>
      </w:pPr>
      <w:r>
        <w:t xml:space="preserve">Multi-agent / 7-agent architecture</w:t>
      </w:r>
    </w:p>
    <w:p>
      <w:pPr>
        <w:pStyle w:val="ListParagraph"/>
        <w:numPr>
          <w:ilvl w:val="0"/>
          <w:numId w:val="1"/>
        </w:numPr>
        <w:spacing w:after="60"/>
      </w:pPr>
      <w:r>
        <w:t xml:space="preserve">MCP</w:t>
      </w:r>
    </w:p>
    <w:p>
      <w:pPr>
        <w:pStyle w:val="ListParagraph"/>
        <w:numPr>
          <w:ilvl w:val="0"/>
          <w:numId w:val="1"/>
        </w:numPr>
        <w:spacing w:after="60"/>
      </w:pPr>
      <w:r>
        <w:t xml:space="preserve">GAN/VAE anomaly generation</w:t>
      </w:r>
    </w:p>
    <w:p>
      <w:pPr>
        <w:pStyle w:val="ListParagraph"/>
        <w:numPr>
          <w:ilvl w:val="0"/>
          <w:numId w:val="1"/>
        </w:numPr>
        <w:spacing w:after="60"/>
      </w:pPr>
      <w:r>
        <w:t xml:space="preserve">Any deep-learning model added just to show off deep learning</w:t>
      </w:r>
    </w:p>
    <w:p>
      <w:pPr>
        <w:pStyle w:val="ListParagraph"/>
        <w:numPr>
          <w:ilvl w:val="0"/>
          <w:numId w:val="1"/>
        </w:numPr>
        <w:spacing w:after="60"/>
      </w:pPr>
      <w:r>
        <w:t xml:space="preserve">Transformer models</w:t>
      </w:r>
    </w:p>
    <w:p>
      <w:pPr>
        <w:pStyle w:val="ListParagraph"/>
        <w:numPr>
          <w:ilvl w:val="0"/>
          <w:numId w:val="1"/>
        </w:numPr>
        <w:spacing w:after="60"/>
      </w:pPr>
      <w:r>
        <w:t xml:space="preserve">Time-series foundation models</w:t>
      </w:r>
    </w:p>
    <w:p>
      <w:pPr>
        <w:pStyle w:val="ListParagraph"/>
        <w:numPr>
          <w:ilvl w:val="0"/>
          <w:numId w:val="1"/>
        </w:numPr>
        <w:spacing w:after="60"/>
      </w:pPr>
      <w:r>
        <w:t xml:space="preserve">Kubernetes</w:t>
      </w:r>
    </w:p>
    <w:p>
      <w:pPr>
        <w:pStyle w:val="ListParagraph"/>
        <w:numPr>
          <w:ilvl w:val="0"/>
          <w:numId w:val="1"/>
        </w:numPr>
        <w:spacing w:after="60"/>
      </w:pPr>
      <w:r>
        <w:t xml:space="preserve">Airflow</w:t>
      </w:r>
    </w:p>
    <w:p>
      <w:pPr>
        <w:pStyle w:val="ListParagraph"/>
        <w:numPr>
          <w:ilvl w:val="0"/>
          <w:numId w:val="1"/>
        </w:numPr>
        <w:spacing w:after="60"/>
      </w:pPr>
      <w:r>
        <w:t xml:space="preserve">CI/CD pipelines</w:t>
      </w:r>
    </w:p>
    <w:p>
      <w:pPr>
        <w:pStyle w:val="ListParagraph"/>
        <w:numPr>
          <w:ilvl w:val="0"/>
          <w:numId w:val="1"/>
        </w:numPr>
        <w:spacing w:after="60"/>
      </w:pPr>
      <w:r>
        <w:t xml:space="preserve">A model registry</w:t>
      </w:r>
    </w:p>
    <w:p>
      <w:pPr>
        <w:pStyle w:val="ListParagraph"/>
        <w:numPr>
          <w:ilvl w:val="0"/>
          <w:numId w:val="1"/>
        </w:numPr>
        <w:spacing w:after="60"/>
      </w:pPr>
      <w:r>
        <w:t xml:space="preserve">Automated retraining</w:t>
      </w:r>
    </w:p>
    <w:p>
      <w:pPr>
        <w:pStyle w:val="ListParagraph"/>
        <w:numPr>
          <w:ilvl w:val="0"/>
          <w:numId w:val="1"/>
        </w:numPr>
        <w:spacing w:after="60"/>
      </w:pPr>
      <w:r>
        <w:t xml:space="preserve">Heavy MLOps or cloud infrastructure</w:t>
      </w:r>
    </w:p>
    <w:p>
      <w:pPr>
        <w:pStyle w:val="ListParagraph"/>
        <w:numPr>
          <w:ilvl w:val="0"/>
          <w:numId w:val="1"/>
        </w:numPr>
        <w:spacing w:after="60"/>
      </w:pPr>
      <w:r>
        <w:t xml:space="preserve">A second dataset as part of the core project</w:t>
      </w:r>
    </w:p>
    <w:p>
      <w:pPr>
        <w:pStyle w:val="ListParagraph"/>
        <w:numPr>
          <w:ilvl w:val="0"/>
          <w:numId w:val="1"/>
        </w:numPr>
        <w:spacing w:after="60"/>
      </w:pPr>
      <w:r>
        <w:t xml:space="preserve">Unrelated research questions</w:t>
      </w:r>
    </w:p>
    <w:p>
      <w:pPr>
        <w:pStyle w:val="ListParagraph"/>
        <w:numPr>
          <w:ilvl w:val="0"/>
          <w:numId w:val="1"/>
        </w:numPr>
        <w:spacing w:after="60"/>
      </w:pPr>
      <w:r>
        <w:t xml:space="preserve">Unrelated AI technologies</w:t>
      </w:r>
    </w:p>
    <w:p>
      <w:pPr>
        <w:pStyle w:val="ListParagraph"/>
        <w:numPr>
          <w:ilvl w:val="0"/>
          <w:numId w:val="1"/>
        </w:numPr>
        <w:spacing w:after="60"/>
      </w:pPr>
      <w:r>
        <w:t xml:space="preserve">A second application</w:t>
      </w:r>
    </w:p>
    <w:p>
      <w:pPr>
        <w:pStyle w:val="ListParagraph"/>
        <w:numPr>
          <w:ilvl w:val="0"/>
          <w:numId w:val="1"/>
        </w:numPr>
        <w:spacing w:after="60"/>
      </w:pPr>
      <w:r>
        <w:t xml:space="preserve">Any future mini-project, Phase 2, or extended version</w:t>
      </w:r>
    </w:p>
    <w:p>
      <w:pPr>
        <w:pStyle w:val="Heading1"/>
        <w:spacing w:after="150" w:before="300"/>
      </w:pPr>
      <w:r>
        <w:t xml:space="preserve">17. Contingency Plan</w:t>
      </w:r>
    </w:p>
    <w:p>
      <w:pPr>
        <w:pStyle w:val="ListParagraph"/>
        <w:numPr>
          <w:ilvl w:val="0"/>
          <w:numId w:val="1"/>
        </w:numPr>
        <w:spacing w:after="60"/>
      </w:pPr>
      <w:r>
        <w:t xml:space="preserve">Cut first: H2, H4, and any robustness check beyond the volatility-removed comparison.</w:t>
      </w:r>
    </w:p>
    <w:p>
      <w:pPr>
        <w:pStyle w:val="ListParagraph"/>
        <w:numPr>
          <w:ilvl w:val="0"/>
          <w:numId w:val="1"/>
        </w:numPr>
        <w:spacing w:after="60"/>
      </w:pPr>
      <w:r>
        <w:t xml:space="preserve">Cut second: the randomized-shuffle placebo test, the window-length sensitivity check, and the early-window exclusion check.</w:t>
      </w:r>
    </w:p>
    <w:p>
      <w:pPr>
        <w:pStyle w:val="ListParagraph"/>
        <w:numPr>
          <w:ilvl w:val="0"/>
          <w:numId w:val="1"/>
        </w:numPr>
        <w:spacing w:after="60"/>
      </w:pPr>
      <w:r>
        <w:t xml:space="preserve">Never cut: the H1/H0 test itself, leakage-safe chronological splitting, and honest reporting of whatever the result turns out to be.</w:t>
      </w:r>
    </w:p>
    <w:p>
      <w:pPr>
        <w:pStyle w:val="ListParagraph"/>
        <w:numPr>
          <w:ilvl w:val="0"/>
          <w:numId w:val="1"/>
        </w:numPr>
        <w:spacing w:after="60"/>
      </w:pPr>
      <w:r>
        <w:t xml:space="preserve">If cluster alignment turns out harder than expected: fall back to simple nearest-centroid matching.</w:t>
      </w:r>
    </w:p>
    <w:p>
      <w:pPr>
        <w:pStyle w:val="ListParagraph"/>
        <w:numPr>
          <w:ilvl w:val="0"/>
          <w:numId w:val="1"/>
        </w:numPr>
        <w:spacing w:after="60"/>
      </w:pPr>
      <w:r>
        <w:t xml:space="preserve">If the main result is null or weak: report it as a complete, honest finding — not a failure.</w:t>
      </w:r>
    </w:p>
    <w:p>
      <w:pPr>
        <w:pStyle w:val="ListParagraph"/>
        <w:numPr>
          <w:ilvl w:val="0"/>
          <w:numId w:val="1"/>
        </w:numPr>
        <w:spacing w:after="60"/>
      </w:pPr>
      <w:r>
        <w:t xml:space="preserve">If the LLM or its API fails during the demo: turn off the Copilot only. No other screen depends on it.</w:t>
      </w:r>
    </w:p>
    <w:p>
      <w:pPr>
        <w:pStyle w:val="ListParagraph"/>
        <w:numPr>
          <w:ilvl w:val="0"/>
          <w:numId w:val="1"/>
        </w:numPr>
        <w:spacing w:after="60"/>
      </w:pPr>
      <w:r>
        <w:t xml:space="preserve">If the Day 12 deployment skeleton isn't ready: fall back to a local-only demo rather than delaying the core research work.</w:t>
      </w:r>
    </w:p>
    <w:p>
      <w:pPr>
        <w:pStyle w:val="Heading1"/>
        <w:spacing w:after="150" w:before="300"/>
      </w:pPr>
      <w:r>
        <w:t xml:space="preserve">18. Exhibition Demo</w:t>
      </w:r>
    </w:p>
    <w:p>
      <w:pPr>
        <w:pStyle w:val="ListParagraph"/>
        <w:numPr>
          <w:ilvl w:val="0"/>
          <w:numId w:val="1"/>
        </w:numPr>
        <w:spacing w:after="60"/>
      </w:pPr>
      <w:r>
        <w:t xml:space="preserve">30-second pitch: "GridVision forecasts household electricity demand and segments consumers by behavior — and we found that when a household's behavioral segment becomes unstable over time, that instability itself predicts when the forecast is about to fail badly, even accounting for how naturally volatile that household is."</w:t>
      </w:r>
    </w:p>
    <w:p>
      <w:pPr>
        <w:pStyle w:val="ListParagraph"/>
        <w:numPr>
          <w:ilvl w:val="0"/>
          <w:numId w:val="1"/>
        </w:numPr>
        <w:spacing w:after="60"/>
      </w:pPr>
      <w:r>
        <w:t xml:space="preserve">2-minute demo: show the Behavioral Trajectory screen for a household with visible cluster drift, next to a stable household with a confident reliability indicator.</w:t>
      </w:r>
    </w:p>
    <w:p>
      <w:pPr>
        <w:pStyle w:val="ListParagraph"/>
        <w:numPr>
          <w:ilvl w:val="0"/>
          <w:numId w:val="1"/>
        </w:numPr>
        <w:spacing w:after="60"/>
      </w:pPr>
      <w:r>
        <w:t xml:space="preserve">5-minute full demo: add the primary research result chart, the anomaly/SHAP explanation, and a live Copilot question that pulls a household's instability score through a tool call.</w:t>
      </w:r>
    </w:p>
    <w:p>
      <w:pPr>
        <w:pStyle w:val="Heading1"/>
        <w:spacing w:after="150" w:before="300"/>
      </w:pPr>
      <w:r>
        <w:t xml:space="preserve">19. Viva Preparation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tcPr>
          <w:p>
            <w:r>
              <w:rPr>
                <w:b/>
                <w:bCs/>
              </w:rPr>
              <w:t xml:space="preserve">Question</w:t>
            </w:r>
          </w:p>
        </w:tc>
        <w:tc>
          <w:tcPr>
            <w:tcW w:type="dxa" w:w="5800"/>
            <w:shd w:fill="D9E2F3" w:val="clear"/>
          </w:tcPr>
          <w:p>
            <w:r>
              <w:rPr>
                <w:b/>
                <w:bCs/>
              </w:rPr>
              <w:t xml:space="preserve">Strong Answer</w:t>
            </w:r>
          </w:p>
        </w:tc>
      </w:tr>
      <w:tr>
        <w:tc>
          <w:tcPr>
            <w:tcW w:type="dxa" w:w="3200"/>
          </w:tcPr>
          <w:p>
            <w:r>
              <w:rPr>
                <w:b w:val="false"/>
                <w:bCs w:val="false"/>
              </w:rPr>
              <w:t xml:space="preserve">Why is instability different from just volatility?</w:t>
            </w:r>
          </w:p>
        </w:tc>
        <w:tc>
          <w:tcPr>
            <w:tcW w:type="dxa" w:w="5800"/>
          </w:tcPr>
          <w:p>
            <w:r>
              <w:rPr>
                <w:b w:val="false"/>
                <w:bCs w:val="false"/>
              </w:rPr>
              <w:t xml:space="preserve">Volatility is a static property of a household's raw consumption. Instability is about whether the household's behavioral category itself changes over time. H1 tests instability as something added on top of volatility, not a replacement for it.</w:t>
            </w:r>
          </w:p>
        </w:tc>
      </w:tr>
      <w:tr>
        <w:tc>
          <w:tcPr>
            <w:tcW w:type="dxa" w:w="3200"/>
          </w:tcPr>
          <w:p>
            <w:r>
              <w:rPr>
                <w:b w:val="false"/>
                <w:bCs w:val="false"/>
              </w:rPr>
              <w:t xml:space="preserve">How did you stop cluster-label swaps from looking like real instability?</w:t>
            </w:r>
          </w:p>
        </w:tc>
        <w:tc>
          <w:tcPr>
            <w:tcW w:type="dxa" w:w="5800"/>
          </w:tcPr>
          <w:p>
            <w:r>
              <w:rPr>
                <w:b w:val="false"/>
                <w:bCs w:val="false"/>
              </w:rPr>
              <w:t xml:space="preserve">We align clusters across each household's own consecutive windows with the Hungarian algorithm, before computing any persistence metric.</w:t>
            </w:r>
          </w:p>
        </w:tc>
      </w:tr>
      <w:tr>
        <w:tc>
          <w:tcPr>
            <w:tcW w:type="dxa" w:w="3200"/>
          </w:tcPr>
          <w:p>
            <w:r>
              <w:rPr>
                <w:b w:val="false"/>
                <w:bCs w:val="false"/>
              </w:rPr>
              <w:t xml:space="preserve">How did you avoid leakage?</w:t>
            </w:r>
          </w:p>
        </w:tc>
        <w:tc>
          <w:tcPr>
            <w:tcW w:type="dxa" w:w="5800"/>
          </w:tcPr>
          <w:p>
            <w:r>
              <w:rPr>
                <w:b w:val="false"/>
                <w:bCs w:val="false"/>
              </w:rPr>
              <w:t xml:space="preserve">Clustering and forecasting for any window only use data available up to that window. Forecasts are always evaluated out-of-sample, on the next window. Everything runs in chronological order.</w:t>
            </w:r>
          </w:p>
        </w:tc>
      </w:tr>
      <w:tr>
        <w:tc>
          <w:tcPr>
            <w:tcW w:type="dxa" w:w="3200"/>
          </w:tcPr>
          <w:p>
            <w:r>
              <w:rPr>
                <w:b w:val="false"/>
                <w:bCs w:val="false"/>
              </w:rPr>
              <w:t xml:space="preserve">Why calibrate per household instead of using a fixed calendar period?</w:t>
            </w:r>
          </w:p>
        </w:tc>
        <w:tc>
          <w:tcPr>
            <w:tcW w:type="dxa" w:w="5800"/>
          </w:tcPr>
          <w:p>
            <w:r>
              <w:rPr>
                <w:b w:val="false"/>
                <w:bCs w:val="false"/>
              </w:rPr>
              <w:t xml:space="preserve">The LCL trial enrolled households on a rolling basis — only 0.5% of qualifying households had usable data in a fixed Windows 1–2. Using each household's own first two usable windows keeps 100% of the qualifying pool, and we confirmed this empirically before building anything.</w:t>
            </w:r>
          </w:p>
        </w:tc>
      </w:tr>
      <w:tr>
        <w:tc>
          <w:tcPr>
            <w:tcW w:type="dxa" w:w="3200"/>
          </w:tcPr>
          <w:p>
            <w:r>
              <w:rPr>
                <w:b w:val="false"/>
                <w:bCs w:val="false"/>
              </w:rPr>
              <w:t xml:space="preserve">Doesn't per-household calibration introduce a seasonal bias?</w:t>
            </w:r>
          </w:p>
        </w:tc>
        <w:tc>
          <w:tcPr>
            <w:tcW w:type="dxa" w:w="5800"/>
          </w:tcPr>
          <w:p>
            <w:r>
              <w:rPr>
                <w:b w:val="false"/>
                <w:bCs w:val="false"/>
              </w:rPr>
              <w:t xml:space="preserve">A mild one, yes — enrollment timing varies by about 13 percentage points across ACORN groups (Affluent households enrolled earliest, Comfortable households latest). We disclose this openly as a limitation (§21) rather than hide it, and it doesn't correlate strongly enough with the outcome to be a serious threat to the main result.</w:t>
            </w:r>
          </w:p>
        </w:tc>
      </w:tr>
      <w:tr>
        <w:tc>
          <w:tcPr>
            <w:tcW w:type="dxa" w:w="3200"/>
          </w:tcPr>
          <w:p>
            <w:r>
              <w:rPr>
                <w:b w:val="false"/>
                <w:bCs w:val="false"/>
              </w:rPr>
              <w:t xml:space="preserve">Which forecaster actually produced your research result — global or per-cluster?</w:t>
            </w:r>
          </w:p>
        </w:tc>
        <w:tc>
          <w:tcPr>
            <w:tcW w:type="dxa" w:w="5800"/>
          </w:tcPr>
          <w:p>
            <w:r>
              <w:rPr>
                <w:b w:val="false"/>
                <w:bCs w:val="false"/>
              </w:rPr>
              <w:t xml:space="preserve">The global (pooled, non-cluster) forecaster only. The per-cluster forecaster is capstone-only and never touches the research outcome — this avoids mechanically linking cluster reassignment to the model that scores its own error.</w:t>
            </w:r>
          </w:p>
        </w:tc>
      </w:tr>
      <w:tr>
        <w:tc>
          <w:tcPr>
            <w:tcW w:type="dxa" w:w="3200"/>
          </w:tcPr>
          <w:p>
            <w:r>
              <w:rPr>
                <w:b w:val="false"/>
                <w:bCs w:val="false"/>
              </w:rPr>
              <w:t xml:space="preserve">How did you turn thousands of half-hourly errors into one label per household per window?</w:t>
            </w:r>
          </w:p>
        </w:tc>
        <w:tc>
          <w:tcPr>
            <w:tcW w:type="dxa" w:w="5800"/>
          </w:tcPr>
          <w:p>
            <w:r>
              <w:rPr>
                <w:b w:val="false"/>
                <w:bCs w:val="false"/>
              </w:rPr>
              <w:t xml:space="preserve">AE is the mean absolute error across all half-hourly predictions in that window. We standardize it against the household's own calibration residual distribution and compare it to a fixed 95th-percentile threshold.</w:t>
            </w:r>
          </w:p>
        </w:tc>
      </w:tr>
      <w:tr>
        <w:tc>
          <w:tcPr>
            <w:tcW w:type="dxa" w:w="3200"/>
          </w:tcPr>
          <w:p>
            <w:r>
              <w:rPr>
                <w:b w:val="false"/>
                <w:bCs w:val="false"/>
              </w:rPr>
              <w:t xml:space="preserve">Why the 95th percentile?</w:t>
            </w:r>
          </w:p>
        </w:tc>
        <w:tc>
          <w:tcPr>
            <w:tcW w:type="dxa" w:w="5800"/>
          </w:tcPr>
          <w:p>
            <w:r>
              <w:rPr>
                <w:b w:val="false"/>
                <w:bCs w:val="false"/>
              </w:rPr>
              <w:t xml:space="preserve">It's a standard way to define a tail event, and we expect it to give us enough positive cases at this sample size. We're confirming that on real data around Day 10, with a documented fallback to the 90th percentile if needed.</w:t>
            </w:r>
          </w:p>
        </w:tc>
      </w:tr>
      <w:tr>
        <w:tc>
          <w:tcPr>
            <w:tcW w:type="dxa" w:w="3200"/>
          </w:tcPr>
          <w:p>
            <w:r>
              <w:rPr>
                <w:b w:val="false"/>
                <w:bCs w:val="false"/>
              </w:rPr>
              <w:t xml:space="preserve">What if the result comes back null?</w:t>
            </w:r>
          </w:p>
        </w:tc>
        <w:tc>
          <w:tcPr>
            <w:tcW w:type="dxa" w:w="5800"/>
          </w:tcPr>
          <w:p>
            <w:r>
              <w:rPr>
                <w:b w:val="false"/>
                <w:bCs w:val="false"/>
              </w:rPr>
              <w:t xml:space="preserve">We report it as such. A properly reported null result is still a legitimate scientific finding, not a failed capstone.</w:t>
            </w:r>
          </w:p>
        </w:tc>
      </w:tr>
      <w:tr>
        <w:tc>
          <w:tcPr>
            <w:tcW w:type="dxa" w:w="3200"/>
          </w:tcPr>
          <w:p>
            <w:r>
              <w:rPr>
                <w:b w:val="false"/>
                <w:bCs w:val="false"/>
              </w:rPr>
              <w:t xml:space="preserve">Why not deep learning, more agents, or a second dataset?</w:t>
            </w:r>
          </w:p>
        </w:tc>
        <w:tc>
          <w:tcPr>
            <w:tcW w:type="dxa" w:w="5800"/>
          </w:tcPr>
          <w:p>
            <w:r>
              <w:rPr>
                <w:b w:val="false"/>
                <w:bCs w:val="false"/>
              </w:rPr>
              <w:t xml:space="preserve">None of them are needed to answer the research question or deliver the capstone title. We considered and explicitly excluded each one (§16).</w:t>
            </w:r>
          </w:p>
        </w:tc>
      </w:tr>
    </w:tbl>
    <w:p>
      <w:pPr>
        <w:pStyle w:val="Heading1"/>
        <w:spacing w:after="150" w:before="300"/>
      </w:pPr>
      <w:r>
        <w:t xml:space="preserve">20. Definition of Done</w:t>
      </w:r>
    </w:p>
    <w:p>
      <w:pPr>
        <w:spacing w:after="120"/>
      </w:pPr>
      <w:r>
        <w:rPr>
          <w:b/>
          <w:bCs/>
        </w:rPr>
        <w:t xml:space="preserve">Capstone</w:t>
      </w:r>
    </w:p>
    <w:p>
      <w:pPr>
        <w:pStyle w:val="ListParagraph"/>
        <w:numPr>
          <w:ilvl w:val="0"/>
          <w:numId w:val="1"/>
        </w:numPr>
        <w:spacing w:after="60"/>
      </w:pPr>
      <w:r>
        <w:t xml:space="preserve">The application works end-to-end on the verified LCL subsample</w:t>
      </w:r>
    </w:p>
    <w:p>
      <w:pPr>
        <w:pStyle w:val="ListParagraph"/>
        <w:numPr>
          <w:ilvl w:val="0"/>
          <w:numId w:val="1"/>
        </w:numPr>
        <w:spacing w:after="60"/>
      </w:pPr>
      <w:r>
        <w:t xml:space="preserve">Forecasting works (global + per-cluster) and beats the naive-seasonal baseline</w:t>
      </w:r>
    </w:p>
    <w:p>
      <w:pPr>
        <w:pStyle w:val="ListParagraph"/>
        <w:numPr>
          <w:ilvl w:val="0"/>
          <w:numId w:val="1"/>
        </w:numPr>
        <w:spacing w:after="60"/>
      </w:pPr>
      <w:r>
        <w:t xml:space="preserve">Segmentation is visible in the UI</w:t>
      </w:r>
    </w:p>
    <w:p>
      <w:pPr>
        <w:pStyle w:val="ListParagraph"/>
        <w:numPr>
          <w:ilvl w:val="0"/>
          <w:numId w:val="1"/>
        </w:numPr>
        <w:spacing w:after="60"/>
      </w:pPr>
      <w:r>
        <w:t xml:space="preserve">Anomaly detection works, with a feature-based (non-SHAP) explanation</w:t>
      </w:r>
    </w:p>
    <w:p>
      <w:pPr>
        <w:pStyle w:val="ListParagraph"/>
        <w:numPr>
          <w:ilvl w:val="0"/>
          <w:numId w:val="1"/>
        </w:numPr>
        <w:spacing w:after="60"/>
      </w:pPr>
      <w:r>
        <w:t xml:space="preserve">SHAP is scoped to the forecaster only</w:t>
      </w:r>
    </w:p>
    <w:p>
      <w:pPr>
        <w:pStyle w:val="ListParagraph"/>
        <w:numPr>
          <w:ilvl w:val="0"/>
          <w:numId w:val="1"/>
        </w:numPr>
        <w:spacing w:after="60"/>
      </w:pPr>
      <w:r>
        <w:t xml:space="preserve">The RAG Copilot works and passes the numeric-traceability check</w:t>
      </w:r>
    </w:p>
    <w:p>
      <w:pPr>
        <w:pStyle w:val="ListParagraph"/>
        <w:numPr>
          <w:ilvl w:val="0"/>
          <w:numId w:val="1"/>
        </w:numPr>
        <w:spacing w:after="60"/>
      </w:pPr>
      <w:r>
        <w:t xml:space="preserve">The React UI includes the Behavioral Trajectory screen</w:t>
      </w:r>
    </w:p>
    <w:p>
      <w:pPr>
        <w:pStyle w:val="ListParagraph"/>
        <w:numPr>
          <w:ilvl w:val="0"/>
          <w:numId w:val="1"/>
        </w:numPr>
        <w:spacing w:after="60"/>
      </w:pPr>
      <w:r>
        <w:t xml:space="preserve">The FastAPI backend works</w:t>
      </w:r>
    </w:p>
    <w:p>
      <w:pPr>
        <w:pStyle w:val="ListParagraph"/>
        <w:numPr>
          <w:ilvl w:val="0"/>
          <w:numId w:val="1"/>
        </w:numPr>
        <w:spacing w:after="60"/>
      </w:pPr>
      <w:r>
        <w:t xml:space="preserve">The demo runs reliably, with an offline Copilot fallback and a local-only deployment fallback</w:t>
      </w:r>
    </w:p>
    <w:p>
      <w:pPr>
        <w:spacing w:after="120"/>
      </w:pPr>
      <w:r>
        <w:rPr>
          <w:b/>
          <w:bCs/>
        </w:rPr>
        <w:t xml:space="preserve">Research</w:t>
      </w:r>
    </w:p>
    <w:p>
      <w:pPr>
        <w:pStyle w:val="ListParagraph"/>
        <w:numPr>
          <w:ilvl w:val="0"/>
          <w:numId w:val="1"/>
        </w:numPr>
        <w:spacing w:after="60"/>
      </w:pPr>
      <w:r>
        <w:t xml:space="preserve">The research question is stated explicitly in the final report</w:t>
      </w:r>
    </w:p>
    <w:p>
      <w:pPr>
        <w:pStyle w:val="ListParagraph"/>
        <w:numPr>
          <w:ilvl w:val="0"/>
          <w:numId w:val="1"/>
        </w:numPr>
        <w:spacing w:after="60"/>
      </w:pPr>
      <w:r>
        <w:t xml:space="preserve">The literature-verification pass is done and documented</w:t>
      </w:r>
    </w:p>
    <w:p>
      <w:pPr>
        <w:pStyle w:val="ListParagraph"/>
        <w:numPr>
          <w:ilvl w:val="0"/>
          <w:numId w:val="1"/>
        </w:numPr>
        <w:spacing w:after="60"/>
      </w:pPr>
      <w:r>
        <w:t xml:space="preserve">Longitudinal clustering works across each household's own usable windows</w:t>
      </w:r>
    </w:p>
    <w:p>
      <w:pPr>
        <w:pStyle w:val="ListParagraph"/>
        <w:numPr>
          <w:ilvl w:val="0"/>
          <w:numId w:val="1"/>
        </w:numPr>
        <w:spacing w:after="60"/>
      </w:pPr>
      <w:r>
        <w:t xml:space="preserve">Cluster identities are aligned across windows</w:t>
      </w:r>
    </w:p>
    <w:p>
      <w:pPr>
        <w:pStyle w:val="ListParagraph"/>
        <w:numPr>
          <w:ilvl w:val="0"/>
          <w:numId w:val="1"/>
        </w:numPr>
        <w:spacing w:after="60"/>
      </w:pPr>
      <w:r>
        <w:t xml:space="preserve">Instability is measured without temporal leakage, using each household's own calibration pair</w:t>
      </w:r>
    </w:p>
    <w:p>
      <w:pPr>
        <w:pStyle w:val="ListParagraph"/>
        <w:numPr>
          <w:ilvl w:val="0"/>
          <w:numId w:val="1"/>
        </w:numPr>
        <w:spacing w:after="60"/>
      </w:pPr>
      <w:r>
        <w:t xml:space="preserve">Forecast errors are computed out-of-sample, in chronological order, using the global forecaster only</w:t>
      </w:r>
    </w:p>
    <w:p>
      <w:pPr>
        <w:pStyle w:val="ListParagraph"/>
        <w:numPr>
          <w:ilvl w:val="0"/>
          <w:numId w:val="1"/>
        </w:numPr>
        <w:spacing w:after="60"/>
      </w:pPr>
      <w:r>
        <w:t xml:space="preserve">Extreme failures are defined and labeled — one AE value per household per window pair</w:t>
      </w:r>
    </w:p>
    <w:p>
      <w:pPr>
        <w:pStyle w:val="ListParagraph"/>
        <w:numPr>
          <w:ilvl w:val="0"/>
          <w:numId w:val="1"/>
        </w:numPr>
        <w:spacing w:after="60"/>
      </w:pPr>
      <w:r>
        <w:t xml:space="preserve">Volatility is measured and used as an explicit control</w:t>
      </w:r>
    </w:p>
    <w:p>
      <w:pPr>
        <w:pStyle w:val="ListParagraph"/>
        <w:numPr>
          <w:ilvl w:val="0"/>
          <w:numId w:val="1"/>
        </w:numPr>
        <w:spacing w:after="60"/>
      </w:pPr>
      <w:r>
        <w:t xml:space="preserve">The primary statistical comparison (H1 vs. H0) is done</w:t>
      </w:r>
    </w:p>
    <w:p>
      <w:pPr>
        <w:pStyle w:val="ListParagraph"/>
        <w:numPr>
          <w:ilvl w:val="0"/>
          <w:numId w:val="1"/>
        </w:numPr>
        <w:spacing w:after="60"/>
      </w:pPr>
      <w:r>
        <w:t xml:space="preserve">At least one robustness or ablation check is attempted</w:t>
      </w:r>
    </w:p>
    <w:p>
      <w:pPr>
        <w:pStyle w:val="ListParagraph"/>
        <w:numPr>
          <w:ilvl w:val="0"/>
          <w:numId w:val="1"/>
        </w:numPr>
        <w:spacing w:after="60"/>
      </w:pPr>
      <w:r>
        <w:t xml:space="preserve">Results are reported honestly, whatever they show</w:t>
      </w:r>
    </w:p>
    <w:p>
      <w:pPr>
        <w:pStyle w:val="ListParagraph"/>
        <w:numPr>
          <w:ilvl w:val="0"/>
          <w:numId w:val="1"/>
        </w:numPr>
        <w:spacing w:after="60"/>
      </w:pPr>
      <w:r>
        <w:t xml:space="preserve">Limitations are documented explicitly, including the enrollment-timing/ACORN spread and early-window instability noise</w:t>
      </w:r>
    </w:p>
    <w:p>
      <w:pPr>
        <w:pStyle w:val="Heading1"/>
        <w:spacing w:after="150" w:before="300"/>
      </w:pPr>
      <w:r>
        <w:t xml:space="preserve">21. Limitations</w:t>
      </w:r>
    </w:p>
    <w:p>
      <w:pPr>
        <w:pStyle w:val="ListParagraph"/>
        <w:numPr>
          <w:ilvl w:val="0"/>
          <w:numId w:val="1"/>
        </w:numPr>
        <w:spacing w:after="60"/>
      </w:pPr>
      <w:r>
        <w:t xml:space="preserve">The primary analysis uses a stratified sample of 500–800 flat-rate households, drawn from a confirmed pool of 4,252 — not the full 5,566-household dataset.</w:t>
      </w:r>
    </w:p>
    <w:p>
      <w:pPr>
        <w:pStyle w:val="ListParagraph"/>
        <w:numPr>
          <w:ilvl w:val="0"/>
          <w:numId w:val="1"/>
        </w:numPr>
        <w:spacing w:after="60"/>
      </w:pPr>
      <w:r>
        <w:t xml:space="preserve">The dToU tariff-trial households are excluded from the primary analysis, so whether the instability-failure relationship holds under an active price intervention remains untested.</w:t>
      </w:r>
    </w:p>
    <w:p>
      <w:pPr>
        <w:pStyle w:val="ListParagraph"/>
        <w:numPr>
          <w:ilvl w:val="0"/>
          <w:numId w:val="1"/>
        </w:numPr>
        <w:spacing w:after="60"/>
      </w:pPr>
      <w:r>
        <w:t xml:space="preserve">The dataset covers November 2011 to February 2014 in London, so findings may not generalize to other places, climates, tariff structures, or more recent smart-meter behavior.</w:t>
      </w:r>
    </w:p>
    <w:p>
      <w:pPr>
        <w:pStyle w:val="ListParagraph"/>
        <w:numPr>
          <w:ilvl w:val="0"/>
          <w:numId w:val="1"/>
        </w:numPr>
        <w:spacing w:after="60"/>
      </w:pPr>
      <w:r>
        <w:t xml:space="preserve">The extreme-failure threshold (the 95th percentile of standardized calibration error) is one reasonable choice among several; we haven't exhaustively tested alternatives like the 90th or 99th percentile, though a fallback rule is already specified.</w:t>
      </w:r>
    </w:p>
    <w:p>
      <w:pPr>
        <w:pStyle w:val="ListParagraph"/>
        <w:numPr>
          <w:ilvl w:val="0"/>
          <w:numId w:val="1"/>
        </w:numPr>
        <w:spacing w:after="60"/>
      </w:pPr>
      <w:r>
        <w:t xml:space="preserve">Any link found between instability and forecast failure is associational, not proven causal — this is a prospective design, not an experiment.</w:t>
      </w:r>
    </w:p>
    <w:p>
      <w:pPr>
        <w:pStyle w:val="ListParagraph"/>
        <w:numPr>
          <w:ilvl w:val="0"/>
          <w:numId w:val="1"/>
        </w:numPr>
        <w:spacing w:after="60"/>
      </w:pPr>
      <w:r>
        <w:t xml:space="preserve">K is fixed once, from pooled calibration-window data. If the true behavioral patterns shift meaningfully over the 27-month span, a fixed K may under- or over-segment later windows. We accept this trade-off deliberately and disclose it here.</w:t>
      </w:r>
    </w:p>
    <w:p>
      <w:pPr>
        <w:pStyle w:val="ListParagraph"/>
        <w:numPr>
          <w:ilvl w:val="0"/>
          <w:numId w:val="1"/>
        </w:numPr>
        <w:spacing w:after="60"/>
      </w:pPr>
      <w:r>
        <w:t xml:space="preserve">A household's instability score is noisier in its earliest Analysis Period windows, since it's based on very few observed transitions at that point.</w:t>
      </w:r>
    </w:p>
    <w:p>
      <w:pPr>
        <w:pStyle w:val="ListParagraph"/>
        <w:numPr>
          <w:ilvl w:val="0"/>
          <w:numId w:val="1"/>
        </w:numPr>
        <w:spacing w:after="60"/>
      </w:pPr>
      <w:r>
        <w:t xml:space="preserve">New: per-household calibration timing depends on when each household enrolled, and enrollment isn't evenly spread across ACORN groups — Affluent households enrolled earliest (91.6% early), Comfortable households latest (78.5% early), a 13-percentage-point spread. This creates a mild seasonal bias in calibration baselines that correlates weakly with demographic group. We disclose this rather than correct for it, given the 20-day timeline.</w:t>
      </w:r>
    </w:p>
    <w:p>
      <w:pPr>
        <w:pStyle w:val="Heading1"/>
        <w:spacing w:after="150" w:before="300"/>
      </w:pPr>
      <w:r>
        <w:t xml:space="preserve">22. Future Research (Discussion Only)</w:t>
      </w:r>
    </w:p>
    <w:p>
      <w:pPr>
        <w:spacing w:after="120"/>
      </w:pPr>
      <w:r>
        <w:t xml:space="preserve">These are discussion-section ideas, not commitments for this project.</w:t>
      </w:r>
    </w:p>
    <w:p>
      <w:pPr>
        <w:pStyle w:val="ListParagraph"/>
        <w:numPr>
          <w:ilvl w:val="0"/>
          <w:numId w:val="1"/>
        </w:numPr>
        <w:spacing w:after="60"/>
      </w:pPr>
      <w:r>
        <w:t xml:space="preserve">Validating the finding externally, on a second smart-meter dataset from a different location.</w:t>
      </w:r>
    </w:p>
    <w:p>
      <w:pPr>
        <w:pStyle w:val="ListParagraph"/>
        <w:numPr>
          <w:ilvl w:val="0"/>
          <w:numId w:val="1"/>
        </w:numPr>
        <w:spacing w:after="60"/>
      </w:pPr>
      <w:r>
        <w:t xml:space="preserve">Trying alternative instability metrics, including a rolling-window version that addresses the early-window noise directly.</w:t>
      </w:r>
    </w:p>
    <w:p>
      <w:pPr>
        <w:pStyle w:val="ListParagraph"/>
        <w:numPr>
          <w:ilvl w:val="0"/>
          <w:numId w:val="1"/>
        </w:numPr>
        <w:spacing w:after="60"/>
      </w:pPr>
      <w:r>
        <w:t xml:space="preserve">A seasonally-adjusted calibration procedure that corrects for the enrollment-timing bias identified in §21.</w:t>
      </w:r>
    </w:p>
    <w:p>
      <w:pPr>
        <w:pStyle w:val="ListParagraph"/>
        <w:numPr>
          <w:ilvl w:val="0"/>
          <w:numId w:val="1"/>
        </w:numPr>
        <w:spacing w:after="60"/>
      </w:pPr>
      <w:r>
        <w:t xml:space="preserve">Using probabilistic, uncertainty-aware clustering as a richer instability measure.</w:t>
      </w:r>
    </w:p>
    <w:p>
      <w:pPr>
        <w:pStyle w:val="ListParagraph"/>
        <w:numPr>
          <w:ilvl w:val="0"/>
          <w:numId w:val="1"/>
        </w:numPr>
        <w:spacing w:after="60"/>
      </w:pPr>
      <w:r>
        <w:t xml:space="preserve">Turning instability-aware forecast-risk routing into an actual deployed feature.</w:t>
      </w:r>
    </w:p>
    <w:p>
      <w:pPr>
        <w:pStyle w:val="Heading1"/>
        <w:spacing w:after="150" w:before="300"/>
      </w:pPr>
      <w:r>
        <w:t xml:space="preserve">23. What's Still Open</w:t>
      </w:r>
    </w:p>
    <w:p>
      <w:pPr>
        <w:spacing w:after="120"/>
      </w:pPr>
      <w:r>
        <w:rPr>
          <w:b/>
          <w:bCs/>
          <w:i/>
          <w:iCs/>
          <w:color w:val="8A1F1F"/>
        </w:rPr>
        <w:t xml:space="preserve">The one remaining item: </w:t>
      </w:r>
      <w:r>
        <w:rPr>
          <w:i/>
          <w:iCs/>
        </w:rPr>
        <w:t xml:space="preserve">the literature novelty search. We haven't yet verified, through a documented and systematic search, whether any existing study combines consumer-level instability, tail-event forecast-failure outcomes, an explicit volatility control, and an intervention test. This doesn't block implementation — it only blocks the specific sentences in the final paper that claim a gap in the literature. Next step: either the team documents its own search (terms used, databases checked, what was included or excluded), or authorizes the planning assistant to run and document that search before the paper's novelty claims are finalized.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2026-09-26T17:56:23.852Z</dcterms:created>
  <dcterms:modified xsi:type="dcterms:W3CDTF">2026-09-26T17:56:23.864Z</dcterms:modified>
</cp:coreProperties>
</file>

<file path=docProps/custom.xml><?xml version="1.0" encoding="utf-8"?>
<Properties xmlns="http://schemas.openxmlformats.org/officeDocument/2006/custom-properties" xmlns:vt="http://schemas.openxmlformats.org/officeDocument/2006/docPropsVTypes"/>
</file>