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r>
        <w:rPr>
          <w:b/>
          <w:color w:val="1F2D3D"/>
          <w:sz w:val="60"/>
        </w:rPr>
        <w:t>Certificate Deployment Manager (CDM)</w:t>
      </w:r>
    </w:p>
    <w:p>
      <w:r>
        <w:rPr>
          <w:color w:val="2E7D32"/>
          <w:sz w:val="36"/>
        </w:rPr>
        <w:t>Requirements Specification</w:t>
      </w:r>
    </w:p>
    <w:p>
      <w:r>
        <w:rPr>
          <w:color w:val="606B7A"/>
          <w:sz w:val="23"/>
        </w:rPr>
        <w:t>Generic, secure certificate lifecycle automation for Windows, Linux, Apple, Kubernetes and more, on ServiceNow, MID Server and Sectigo</w:t>
      </w:r>
    </w:p>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4819"/>
        <w:gridCol w:w="4819"/>
      </w:tblGrid>
      <w:tr>
        <w:trPr>
          <w:tblHeader w:val="true"/>
        </w:trPr>
        <w:tc>
          <w:tcPr>
            <w:tcW w:type="dxa" w:w="1570"/>
            <w:shd w:val="clear" w:color="auto" w:fill="1F2D3D"/>
          </w:tcPr>
          <w:p>
            <w:pPr>
              <w:spacing w:after="0"/>
            </w:pPr>
            <w:r>
              <w:rPr>
                <w:b/>
                <w:color w:val="FFFFFF"/>
                <w:sz w:val="19"/>
              </w:rPr>
              <w:t>Item</w:t>
            </w:r>
          </w:p>
        </w:tc>
        <w:tc>
          <w:tcPr>
            <w:tcW w:type="dxa" w:w="5233"/>
            <w:shd w:val="clear" w:color="auto" w:fill="1F2D3D"/>
          </w:tcPr>
          <w:p>
            <w:pPr>
              <w:spacing w:after="0"/>
            </w:pPr>
            <w:r>
              <w:rPr>
                <w:b/>
                <w:color w:val="FFFFFF"/>
                <w:sz w:val="19"/>
              </w:rPr>
              <w:t>Detail</w:t>
            </w:r>
          </w:p>
        </w:tc>
      </w:tr>
      <w:tr>
        <w:trPr>
          <w:cantSplit w:val="true"/>
        </w:trPr>
        <w:tc>
          <w:tcPr>
            <w:tcW w:type="dxa" w:w="1570"/>
          </w:tcPr>
          <w:p>
            <w:pPr>
              <w:spacing w:after="0" w:line="240" w:lineRule="auto"/>
            </w:pPr>
            <w:r>
              <w:rPr>
                <w:sz w:val="19"/>
              </w:rPr>
              <w:t>Version</w:t>
            </w:r>
          </w:p>
        </w:tc>
        <w:tc>
          <w:tcPr>
            <w:tcW w:type="dxa" w:w="5233"/>
          </w:tcPr>
          <w:p>
            <w:pPr>
              <w:spacing w:after="0" w:line="240" w:lineRule="auto"/>
            </w:pPr>
            <w:r>
              <w:rPr>
                <w:sz w:val="19"/>
              </w:rPr>
              <w:t>0.1 (draft for review)</w:t>
            </w:r>
          </w:p>
        </w:tc>
      </w:tr>
      <w:tr>
        <w:trPr>
          <w:cantSplit w:val="true"/>
        </w:trPr>
        <w:tc>
          <w:tcPr>
            <w:tcW w:type="dxa" w:w="1570"/>
            <w:shd w:val="clear" w:color="auto" w:fill="F3F6F8"/>
          </w:tcPr>
          <w:p>
            <w:pPr>
              <w:spacing w:after="0" w:line="240" w:lineRule="auto"/>
            </w:pPr>
            <w:r>
              <w:rPr>
                <w:sz w:val="19"/>
              </w:rPr>
              <w:t>Date</w:t>
            </w:r>
          </w:p>
        </w:tc>
        <w:tc>
          <w:tcPr>
            <w:tcW w:type="dxa" w:w="5233"/>
            <w:shd w:val="clear" w:color="auto" w:fill="F3F6F8"/>
          </w:tcPr>
          <w:p>
            <w:pPr>
              <w:spacing w:after="0" w:line="240" w:lineRule="auto"/>
            </w:pPr>
            <w:r>
              <w:rPr>
                <w:sz w:val="19"/>
              </w:rPr>
              <w:t>2026-09-21</w:t>
            </w:r>
          </w:p>
        </w:tc>
      </w:tr>
      <w:tr>
        <w:trPr>
          <w:cantSplit w:val="true"/>
        </w:trPr>
        <w:tc>
          <w:tcPr>
            <w:tcW w:type="dxa" w:w="1570"/>
          </w:tcPr>
          <w:p>
            <w:pPr>
              <w:spacing w:after="0" w:line="240" w:lineRule="auto"/>
            </w:pPr>
            <w:r>
              <w:rPr>
                <w:sz w:val="19"/>
              </w:rPr>
              <w:t>Status</w:t>
            </w:r>
          </w:p>
        </w:tc>
        <w:tc>
          <w:tcPr>
            <w:tcW w:type="dxa" w:w="5233"/>
          </w:tcPr>
          <w:p>
            <w:pPr>
              <w:spacing w:after="0" w:line="240" w:lineRule="auto"/>
            </w:pPr>
            <w:r>
              <w:rPr>
                <w:sz w:val="19"/>
              </w:rPr>
              <w:t>Draft for review; decisions needed in chapter 14</w:t>
            </w:r>
          </w:p>
        </w:tc>
      </w:tr>
      <w:tr>
        <w:trPr>
          <w:cantSplit w:val="true"/>
        </w:trPr>
        <w:tc>
          <w:tcPr>
            <w:tcW w:type="dxa" w:w="1570"/>
            <w:shd w:val="clear" w:color="auto" w:fill="F3F6F8"/>
          </w:tcPr>
          <w:p>
            <w:pPr>
              <w:spacing w:after="0" w:line="240" w:lineRule="auto"/>
            </w:pPr>
            <w:r>
              <w:rPr>
                <w:sz w:val="19"/>
              </w:rPr>
              <w:t>Based on</w:t>
            </w:r>
          </w:p>
        </w:tc>
        <w:tc>
          <w:tcPr>
            <w:tcW w:type="dxa" w:w="5233"/>
            <w:shd w:val="clear" w:color="auto" w:fill="F3F6F8"/>
          </w:tcPr>
          <w:p>
            <w:pPr>
              <w:spacing w:after="0" w:line="240" w:lineRule="auto"/>
            </w:pPr>
            <w:r>
              <w:rPr>
                <w:sz w:val="19"/>
              </w:rPr>
              <w:t>Promp.md.txt, POC_SETUP_STATUS.md, mock_sectigo.ps1, data1.jpeg, data2.jpeg, data3.jpeg</w:t>
            </w:r>
          </w:p>
        </w:tc>
      </w:tr>
      <w:tr>
        <w:trPr>
          <w:cantSplit w:val="true"/>
        </w:trPr>
        <w:tc>
          <w:tcPr>
            <w:tcW w:type="dxa" w:w="1570"/>
          </w:tcPr>
          <w:p>
            <w:pPr>
              <w:spacing w:after="0" w:line="240" w:lineRule="auto"/>
            </w:pPr>
            <w:r>
              <w:rPr>
                <w:sz w:val="19"/>
              </w:rPr>
              <w:t>Companion files</w:t>
            </w:r>
          </w:p>
        </w:tc>
        <w:tc>
          <w:tcPr>
            <w:tcW w:type="dxa" w:w="5233"/>
          </w:tcPr>
          <w:p>
            <w:pPr>
              <w:spacing w:after="0" w:line="240" w:lineRule="auto"/>
            </w:pPr>
            <w:r>
              <w:rPr>
                <w:sz w:val="19"/>
              </w:rPr>
              <w:t>CDM_Requirements_Specification.md (same content), diagrams folder (11 PNG images)</w:t>
            </w:r>
          </w:p>
        </w:tc>
      </w:tr>
    </w:tbl>
    <w:p>
      <w:pPr>
        <w:spacing w:after="40"/>
      </w:pPr>
    </w:p>
    <w:p>
      <w:r>
        <w:br w:type="page"/>
      </w:r>
    </w:p>
    <w:p>
      <w:r>
        <w:rPr>
          <w:b/>
          <w:color w:val="1F2D3D"/>
          <w:sz w:val="36"/>
        </w:rPr>
        <w:t>Contents</w:t>
      </w:r>
    </w:p>
    <w:p>
      <w:pPr>
        <w:spacing w:after="20" w:before="60" w:line="240" w:lineRule="auto"/>
      </w:pPr>
      <w:r>
        <w:rPr>
          <w:b/>
          <w:sz w:val="20"/>
        </w:rPr>
        <w:t>Summary at a glance</w:t>
      </w:r>
    </w:p>
    <w:p>
      <w:pPr>
        <w:spacing w:after="20" w:before="60" w:line="240" w:lineRule="auto"/>
      </w:pPr>
      <w:r>
        <w:rPr>
          <w:b/>
          <w:sz w:val="20"/>
        </w:rPr>
        <w:t>1. Introduction</w:t>
      </w:r>
    </w:p>
    <w:p>
      <w:pPr>
        <w:spacing w:after="0" w:line="240" w:lineRule="auto"/>
        <w:ind w:left="454"/>
      </w:pPr>
      <w:r>
        <w:rPr>
          <w:color w:val="606B7A"/>
          <w:sz w:val="16"/>
        </w:rPr>
        <w:t>1.1 Purpose</w:t>
      </w:r>
    </w:p>
    <w:p>
      <w:pPr>
        <w:spacing w:after="0" w:line="240" w:lineRule="auto"/>
        <w:ind w:left="454"/>
      </w:pPr>
      <w:r>
        <w:rPr>
          <w:color w:val="606B7A"/>
          <w:sz w:val="16"/>
        </w:rPr>
        <w:t>1.2 Scope</w:t>
      </w:r>
    </w:p>
    <w:p>
      <w:pPr>
        <w:spacing w:after="0" w:line="240" w:lineRule="auto"/>
        <w:ind w:left="454"/>
      </w:pPr>
      <w:r>
        <w:rPr>
          <w:color w:val="606B7A"/>
          <w:sz w:val="16"/>
        </w:rPr>
        <w:t>1.3 Audience and how to read this document</w:t>
      </w:r>
    </w:p>
    <w:p>
      <w:pPr>
        <w:spacing w:after="0" w:line="240" w:lineRule="auto"/>
        <w:ind w:left="454"/>
      </w:pPr>
      <w:r>
        <w:rPr>
          <w:color w:val="606B7A"/>
          <w:sz w:val="16"/>
        </w:rPr>
        <w:t>1.4 Definitions</w:t>
      </w:r>
    </w:p>
    <w:p>
      <w:pPr>
        <w:spacing w:after="20" w:before="60" w:line="240" w:lineRule="auto"/>
      </w:pPr>
      <w:r>
        <w:rPr>
          <w:b/>
          <w:sz w:val="20"/>
        </w:rPr>
        <w:t>2. Analysis of the POC folder</w:t>
      </w:r>
    </w:p>
    <w:p>
      <w:pPr>
        <w:spacing w:after="0" w:line="240" w:lineRule="auto"/>
        <w:ind w:left="454"/>
      </w:pPr>
      <w:r>
        <w:rPr>
          <w:color w:val="606B7A"/>
          <w:sz w:val="16"/>
        </w:rPr>
        <w:t>2.1 What was found</w:t>
      </w:r>
    </w:p>
    <w:p>
      <w:pPr>
        <w:spacing w:after="0" w:line="240" w:lineRule="auto"/>
        <w:ind w:left="454"/>
      </w:pPr>
      <w:r>
        <w:rPr>
          <w:color w:val="606B7A"/>
          <w:sz w:val="16"/>
        </w:rPr>
        <w:t>2.2 What the POC does today</w:t>
      </w:r>
    </w:p>
    <w:p>
      <w:pPr>
        <w:spacing w:after="0" w:line="240" w:lineRule="auto"/>
        <w:ind w:left="454"/>
      </w:pPr>
      <w:r>
        <w:rPr>
          <w:color w:val="606B7A"/>
          <w:sz w:val="16"/>
        </w:rPr>
        <w:t>2.3 Design principles taken from the screenshots</w:t>
      </w:r>
    </w:p>
    <w:p>
      <w:pPr>
        <w:spacing w:after="0" w:line="240" w:lineRule="auto"/>
        <w:ind w:left="454"/>
      </w:pPr>
      <w:r>
        <w:rPr>
          <w:color w:val="606B7A"/>
          <w:sz w:val="16"/>
        </w:rPr>
        <w:t>2.4 Findings in the current POC</w:t>
      </w:r>
    </w:p>
    <w:p>
      <w:pPr>
        <w:spacing w:after="20" w:before="60" w:line="240" w:lineRule="auto"/>
      </w:pPr>
      <w:r>
        <w:rPr>
          <w:b/>
          <w:sz w:val="20"/>
        </w:rPr>
        <w:t>3. Product overview</w:t>
      </w:r>
    </w:p>
    <w:p>
      <w:pPr>
        <w:spacing w:after="0" w:line="240" w:lineRule="auto"/>
        <w:ind w:left="454"/>
      </w:pPr>
      <w:r>
        <w:rPr>
          <w:color w:val="606B7A"/>
          <w:sz w:val="16"/>
        </w:rPr>
        <w:t>3.1 Vision and goals</w:t>
      </w:r>
    </w:p>
    <w:p>
      <w:pPr>
        <w:spacing w:after="0" w:line="240" w:lineRule="auto"/>
        <w:ind w:left="454"/>
      </w:pPr>
      <w:r>
        <w:rPr>
          <w:color w:val="606B7A"/>
          <w:sz w:val="16"/>
        </w:rPr>
        <w:t>3.2 System context</w:t>
      </w:r>
    </w:p>
    <w:p>
      <w:pPr>
        <w:spacing w:after="0" w:line="240" w:lineRule="auto"/>
        <w:ind w:left="454"/>
      </w:pPr>
      <w:r>
        <w:rPr>
          <w:color w:val="606B7A"/>
          <w:sz w:val="16"/>
        </w:rPr>
        <w:t>3.3 Users and roles</w:t>
      </w:r>
    </w:p>
    <w:p>
      <w:pPr>
        <w:spacing w:after="0" w:line="240" w:lineRule="auto"/>
        <w:ind w:left="454"/>
      </w:pPr>
      <w:r>
        <w:rPr>
          <w:color w:val="606B7A"/>
          <w:sz w:val="16"/>
        </w:rPr>
        <w:t>3.4 Assumptions and constraints</w:t>
      </w:r>
    </w:p>
    <w:p>
      <w:pPr>
        <w:spacing w:after="0" w:line="240" w:lineRule="auto"/>
        <w:ind w:left="454"/>
      </w:pPr>
      <w:r>
        <w:rPr>
          <w:color w:val="606B7A"/>
          <w:sz w:val="16"/>
        </w:rPr>
        <w:t>3.5 Key design decisions</w:t>
      </w:r>
    </w:p>
    <w:p>
      <w:pPr>
        <w:spacing w:after="20" w:before="60" w:line="240" w:lineRule="auto"/>
      </w:pPr>
      <w:r>
        <w:rPr>
          <w:b/>
          <w:sz w:val="20"/>
        </w:rPr>
        <w:t>4. Architecture</w:t>
      </w:r>
    </w:p>
    <w:p>
      <w:pPr>
        <w:spacing w:after="0" w:line="240" w:lineRule="auto"/>
        <w:ind w:left="454"/>
      </w:pPr>
      <w:r>
        <w:rPr>
          <w:color w:val="606B7A"/>
          <w:sz w:val="16"/>
        </w:rPr>
        <w:t>4.1 Logical architecture</w:t>
      </w:r>
    </w:p>
    <w:p>
      <w:pPr>
        <w:spacing w:after="0" w:line="240" w:lineRule="auto"/>
        <w:ind w:left="454"/>
      </w:pPr>
      <w:r>
        <w:rPr>
          <w:color w:val="606B7A"/>
          <w:sz w:val="16"/>
        </w:rPr>
        <w:t>4.2 Deployment architecture and security zones</w:t>
      </w:r>
    </w:p>
    <w:p>
      <w:pPr>
        <w:spacing w:after="0" w:line="240" w:lineRule="auto"/>
        <w:ind w:left="454"/>
      </w:pPr>
      <w:r>
        <w:rPr>
          <w:color w:val="606B7A"/>
          <w:sz w:val="16"/>
        </w:rPr>
        <w:t>4.3 Components</w:t>
      </w:r>
    </w:p>
    <w:p>
      <w:pPr>
        <w:spacing w:after="0" w:line="240" w:lineRule="auto"/>
        <w:ind w:left="454"/>
      </w:pPr>
      <w:r>
        <w:rPr>
          <w:color w:val="606B7A"/>
          <w:sz w:val="16"/>
        </w:rPr>
        <w:t>4.4 Technology baseline</w:t>
      </w:r>
    </w:p>
    <w:p>
      <w:pPr>
        <w:spacing w:after="20" w:before="60" w:line="240" w:lineRule="auto"/>
      </w:pPr>
      <w:r>
        <w:rPr>
          <w:b/>
          <w:sz w:val="20"/>
        </w:rPr>
        <w:t>5. Functional requirements</w:t>
      </w:r>
    </w:p>
    <w:p>
      <w:pPr>
        <w:spacing w:after="0" w:line="240" w:lineRule="auto"/>
        <w:ind w:left="454"/>
      </w:pPr>
      <w:r>
        <w:rPr>
          <w:color w:val="606B7A"/>
          <w:sz w:val="16"/>
        </w:rPr>
        <w:t>5.1 Inventory and discovery (INV)</w:t>
      </w:r>
    </w:p>
    <w:p>
      <w:pPr>
        <w:spacing w:after="0" w:line="240" w:lineRule="auto"/>
        <w:ind w:left="454"/>
      </w:pPr>
      <w:r>
        <w:rPr>
          <w:color w:val="606B7A"/>
          <w:sz w:val="16"/>
        </w:rPr>
        <w:t>5.2 Request and approval (REQ)</w:t>
      </w:r>
    </w:p>
    <w:p>
      <w:pPr>
        <w:spacing w:after="0" w:line="240" w:lineRule="auto"/>
        <w:ind w:left="454"/>
      </w:pPr>
      <w:r>
        <w:rPr>
          <w:color w:val="606B7A"/>
          <w:sz w:val="16"/>
        </w:rPr>
        <w:t>5.3 CA integration (CA)</w:t>
      </w:r>
    </w:p>
    <w:p>
      <w:pPr>
        <w:spacing w:after="0" w:line="240" w:lineRule="auto"/>
        <w:ind w:left="454"/>
      </w:pPr>
      <w:r>
        <w:rPr>
          <w:color w:val="606B7A"/>
          <w:sz w:val="16"/>
        </w:rPr>
        <w:t>5.4 Key and CSR management (KEY)</w:t>
      </w:r>
    </w:p>
    <w:p>
      <w:pPr>
        <w:spacing w:after="0" w:line="240" w:lineRule="auto"/>
        <w:ind w:left="454"/>
      </w:pPr>
      <w:r>
        <w:rPr>
          <w:color w:val="606B7A"/>
          <w:sz w:val="16"/>
        </w:rPr>
        <w:t>5.5 Orchestration and lifecycle (ORC)</w:t>
      </w:r>
    </w:p>
    <w:p>
      <w:pPr>
        <w:spacing w:after="0" w:line="240" w:lineRule="auto"/>
        <w:ind w:left="454"/>
      </w:pPr>
      <w:r>
        <w:rPr>
          <w:color w:val="606B7A"/>
          <w:sz w:val="16"/>
        </w:rPr>
        <w:t>5.6 Adapter framework and routing (ADP)</w:t>
      </w:r>
    </w:p>
    <w:p>
      <w:pPr>
        <w:spacing w:after="0" w:line="240" w:lineRule="auto"/>
        <w:ind w:left="454"/>
      </w:pPr>
      <w:r>
        <w:rPr>
          <w:color w:val="606B7A"/>
          <w:sz w:val="16"/>
        </w:rPr>
        <w:t>5.7 Deployment safety (SAF)</w:t>
      </w:r>
    </w:p>
    <w:p>
      <w:pPr>
        <w:spacing w:after="0" w:line="240" w:lineRule="auto"/>
        <w:ind w:left="454"/>
      </w:pPr>
      <w:r>
        <w:rPr>
          <w:color w:val="606B7A"/>
          <w:sz w:val="16"/>
        </w:rPr>
        <w:t>5.8 Notifications and manual fallback (NTF)</w:t>
      </w:r>
    </w:p>
    <w:p>
      <w:pPr>
        <w:spacing w:after="0" w:line="240" w:lineRule="auto"/>
        <w:ind w:left="454"/>
      </w:pPr>
      <w:r>
        <w:rPr>
          <w:color w:val="606B7A"/>
          <w:sz w:val="16"/>
        </w:rPr>
        <w:t>5.9 Reporting and audit (RPT)</w:t>
      </w:r>
    </w:p>
    <w:p>
      <w:pPr>
        <w:spacing w:after="0" w:line="240" w:lineRule="auto"/>
        <w:ind w:left="454"/>
      </w:pPr>
      <w:r>
        <w:rPr>
          <w:color w:val="606B7A"/>
          <w:sz w:val="16"/>
        </w:rPr>
        <w:t>5.10 Administration (ADM)</w:t>
      </w:r>
    </w:p>
    <w:p>
      <w:pPr>
        <w:spacing w:after="20" w:before="60" w:line="240" w:lineRule="auto"/>
      </w:pPr>
      <w:r>
        <w:rPr>
          <w:b/>
          <w:sz w:val="20"/>
        </w:rPr>
        <w:t>6. Platform adapter specifications</w:t>
      </w:r>
    </w:p>
    <w:p>
      <w:pPr>
        <w:spacing w:after="0" w:line="240" w:lineRule="auto"/>
        <w:ind w:left="454"/>
      </w:pPr>
      <w:r>
        <w:rPr>
          <w:color w:val="606B7A"/>
          <w:sz w:val="16"/>
        </w:rPr>
        <w:t>6.1 Windows (adapter WIN, Phase 1)</w:t>
      </w:r>
    </w:p>
    <w:p>
      <w:pPr>
        <w:spacing w:after="0" w:line="240" w:lineRule="auto"/>
        <w:ind w:left="454"/>
      </w:pPr>
      <w:r>
        <w:rPr>
          <w:color w:val="606B7A"/>
          <w:sz w:val="16"/>
        </w:rPr>
        <w:t>6.2 Linux and Unix (adapter LNX, Phase 1)</w:t>
      </w:r>
    </w:p>
    <w:p>
      <w:pPr>
        <w:spacing w:after="0" w:line="240" w:lineRule="auto"/>
        <w:ind w:left="454"/>
      </w:pPr>
      <w:r>
        <w:rPr>
          <w:color w:val="606B7A"/>
          <w:sz w:val="16"/>
        </w:rPr>
        <w:t>6.3 macOS, iOS and iPadOS (adapter APL, Phase 2)</w:t>
      </w:r>
    </w:p>
    <w:p>
      <w:pPr>
        <w:spacing w:after="0" w:line="240" w:lineRule="auto"/>
        <w:ind w:left="454"/>
      </w:pPr>
      <w:r>
        <w:rPr>
          <w:color w:val="606B7A"/>
          <w:sz w:val="16"/>
        </w:rPr>
        <w:t>6.4 Kubernetes and OpenShift (adapter K8S, Phase 2)</w:t>
      </w:r>
    </w:p>
    <w:p>
      <w:pPr>
        <w:spacing w:after="0" w:line="240" w:lineRule="auto"/>
        <w:ind w:left="454"/>
      </w:pPr>
      <w:r>
        <w:rPr>
          <w:color w:val="606B7A"/>
          <w:sz w:val="16"/>
        </w:rPr>
        <w:t>6.5 Java keystores and application servers (adapter JVA, Phase 2)</w:t>
      </w:r>
    </w:p>
    <w:p>
      <w:pPr>
        <w:spacing w:after="0" w:line="240" w:lineRule="auto"/>
        <w:ind w:left="454"/>
      </w:pPr>
      <w:r>
        <w:rPr>
          <w:color w:val="606B7A"/>
          <w:sz w:val="16"/>
        </w:rPr>
        <w:t>6.6 Load balancers and firewalls (adapter LBX, Phase 2 for F5 and NetScaler, Phase 3 for others)</w:t>
      </w:r>
    </w:p>
    <w:p>
      <w:pPr>
        <w:spacing w:after="0" w:line="240" w:lineRule="auto"/>
        <w:ind w:left="454"/>
      </w:pPr>
      <w:r>
        <w:rPr>
          <w:color w:val="606B7A"/>
          <w:sz w:val="16"/>
        </w:rPr>
        <w:t>6.7 Cloud services (adapter CLD, Phase 3)</w:t>
      </w:r>
    </w:p>
    <w:p>
      <w:pPr>
        <w:spacing w:after="0" w:line="240" w:lineRule="auto"/>
        <w:ind w:left="454"/>
      </w:pPr>
      <w:r>
        <w:rPr>
          <w:color w:val="606B7A"/>
          <w:sz w:val="16"/>
        </w:rPr>
        <w:t>6.8 Databases, middleware and network devices (Phase 3)</w:t>
      </w:r>
    </w:p>
    <w:p>
      <w:pPr>
        <w:spacing w:after="20" w:before="60" w:line="240" w:lineRule="auto"/>
      </w:pPr>
      <w:r>
        <w:rPr>
          <w:b/>
          <w:sz w:val="20"/>
        </w:rPr>
        <w:t>7. Non-functional requirements</w:t>
      </w:r>
    </w:p>
    <w:p>
      <w:pPr>
        <w:spacing w:after="20" w:before="60" w:line="240" w:lineRule="auto"/>
      </w:pPr>
      <w:r>
        <w:rPr>
          <w:b/>
          <w:sz w:val="20"/>
        </w:rPr>
        <w:t>8. Data model and lifecycle states</w:t>
      </w:r>
    </w:p>
    <w:p>
      <w:pPr>
        <w:spacing w:after="20" w:before="60" w:line="240" w:lineRule="auto"/>
      </w:pPr>
      <w:r>
        <w:rPr>
          <w:b/>
          <w:sz w:val="20"/>
        </w:rPr>
        <w:t>9. External interfaces</w:t>
      </w:r>
    </w:p>
    <w:p>
      <w:pPr>
        <w:spacing w:after="20" w:before="60" w:line="240" w:lineRule="auto"/>
      </w:pPr>
      <w:r>
        <w:rPr>
          <w:b/>
          <w:sz w:val="20"/>
        </w:rPr>
        <w:t>10. Security and threat model</w:t>
      </w:r>
    </w:p>
    <w:p>
      <w:pPr>
        <w:spacing w:after="20" w:before="60" w:line="240" w:lineRule="auto"/>
      </w:pPr>
      <w:r>
        <w:rPr>
          <w:b/>
          <w:sz w:val="20"/>
        </w:rPr>
        <w:t>11. From POC to production</w:t>
      </w:r>
    </w:p>
    <w:p>
      <w:pPr>
        <w:spacing w:after="0" w:line="240" w:lineRule="auto"/>
        <w:ind w:left="454"/>
      </w:pPr>
      <w:r>
        <w:rPr>
          <w:color w:val="606B7A"/>
          <w:sz w:val="16"/>
        </w:rPr>
        <w:t>11.1 What the POC must still prove</w:t>
      </w:r>
    </w:p>
    <w:p>
      <w:pPr>
        <w:spacing w:after="0" w:line="240" w:lineRule="auto"/>
        <w:ind w:left="454"/>
      </w:pPr>
      <w:r>
        <w:rPr>
          <w:color w:val="606B7A"/>
          <w:sz w:val="16"/>
        </w:rPr>
        <w:t>11.2 POC exit criteria</w:t>
      </w:r>
    </w:p>
    <w:p>
      <w:pPr>
        <w:spacing w:after="0" w:line="240" w:lineRule="auto"/>
        <w:ind w:left="454"/>
      </w:pPr>
      <w:r>
        <w:rPr>
          <w:color w:val="606B7A"/>
          <w:sz w:val="16"/>
        </w:rPr>
        <w:t>11.3 Roadmap</w:t>
      </w:r>
    </w:p>
    <w:p>
      <w:pPr>
        <w:spacing w:after="20" w:before="60" w:line="240" w:lineRule="auto"/>
      </w:pPr>
      <w:r>
        <w:rPr>
          <w:b/>
          <w:sz w:val="20"/>
        </w:rPr>
        <w:t>12. Test and acceptance strategy</w:t>
      </w:r>
    </w:p>
    <w:p>
      <w:pPr>
        <w:spacing w:after="0" w:line="240" w:lineRule="auto"/>
        <w:ind w:left="454"/>
      </w:pPr>
      <w:r>
        <w:rPr>
          <w:color w:val="606B7A"/>
          <w:sz w:val="16"/>
        </w:rPr>
        <w:t>12.1 Representative acceptance tests</w:t>
      </w:r>
    </w:p>
    <w:p>
      <w:pPr>
        <w:spacing w:after="0" w:line="240" w:lineRule="auto"/>
        <w:ind w:left="454"/>
      </w:pPr>
      <w:r>
        <w:rPr>
          <w:color w:val="606B7A"/>
          <w:sz w:val="16"/>
        </w:rPr>
        <w:t>12.2 Phase acceptance</w:t>
      </w:r>
    </w:p>
    <w:p>
      <w:pPr>
        <w:spacing w:after="20" w:before="60" w:line="240" w:lineRule="auto"/>
      </w:pPr>
      <w:r>
        <w:rPr>
          <w:b/>
          <w:sz w:val="20"/>
        </w:rPr>
        <w:t>13. Risks and dependencies</w:t>
      </w:r>
    </w:p>
    <w:p>
      <w:pPr>
        <w:spacing w:after="20" w:before="60" w:line="240" w:lineRule="auto"/>
      </w:pPr>
      <w:r>
        <w:rPr>
          <w:b/>
          <w:sz w:val="20"/>
        </w:rPr>
        <w:t>14. Decisions and open questions</w:t>
      </w:r>
    </w:p>
    <w:p>
      <w:pPr>
        <w:spacing w:after="20" w:before="60" w:line="240" w:lineRule="auto"/>
      </w:pPr>
      <w:r>
        <w:rPr>
          <w:b/>
          <w:sz w:val="20"/>
        </w:rPr>
        <w:t>Appendix A: Adapter contract (draft)</w:t>
      </w:r>
    </w:p>
    <w:p>
      <w:pPr>
        <w:spacing w:after="20" w:before="60" w:line="240" w:lineRule="auto"/>
      </w:pPr>
      <w:r>
        <w:rPr>
          <w:b/>
          <w:sz w:val="20"/>
        </w:rPr>
        <w:t>Appendix B: Example policy (draft)</w:t>
      </w:r>
    </w:p>
    <w:p>
      <w:pPr>
        <w:spacing w:after="20" w:before="60" w:line="240" w:lineRule="auto"/>
      </w:pPr>
      <w:r>
        <w:rPr>
          <w:b/>
          <w:sz w:val="20"/>
        </w:rPr>
        <w:t>Appendix C: Sectigo Certificate Manager API (indicative)</w:t>
      </w:r>
    </w:p>
    <w:p>
      <w:pPr>
        <w:spacing w:after="20" w:before="60" w:line="240" w:lineRule="auto"/>
      </w:pPr>
      <w:r>
        <w:rPr>
          <w:b/>
          <w:sz w:val="20"/>
        </w:rPr>
        <w:t>Appendix D: Source traceability</w:t>
      </w:r>
    </w:p>
    <w:p>
      <w:r>
        <w:br w:type="page"/>
      </w:r>
    </w:p>
    <w:p>
      <w:pPr>
        <w:pStyle w:val="Heading1"/>
      </w:pPr>
      <w:r>
        <w:t>Summary at a glance</w:t>
      </w:r>
    </w:p>
    <w:p>
      <w:r>
        <w:t>The Certificate Deployment Manager (CDM) is a ServiceNow-based platform that keeps every certificate valid, correctly deployed and verified on any technology: Windows, Linux, macOS and iOS (through MDM), Kubernetes, Java, load balancers, cloud services and more. Sectigo is the first certificate authority; MID Servers in each network zone do the work; a vault holds every credential; and private keys stay on the systems that use them.</w:t>
      </w:r>
    </w:p>
    <w:p>
      <w:r>
        <w:t>How it works:</w:t>
      </w:r>
    </w:p>
    <w:p>
      <w:pPr>
        <w:spacing w:after="60"/>
        <w:ind w:left="510" w:hanging="340"/>
      </w:pPr>
      <w:r>
        <w:rPr>
          <w:b/>
        </w:rPr>
        <w:t xml:space="preserve">1.  </w:t>
      </w:r>
      <w:r>
        <w:t>A certificate is discovered or requested (or a renewal is triggered automatically before expiry).</w:t>
      </w:r>
    </w:p>
    <w:p>
      <w:pPr>
        <w:spacing w:after="60"/>
        <w:ind w:left="510" w:hanging="340"/>
      </w:pPr>
      <w:r>
        <w:rPr>
          <w:b/>
        </w:rPr>
        <w:t xml:space="preserve">2.  </w:t>
      </w:r>
      <w:r>
        <w:t>Policy checks and approvals run. Nothing goes to the CA before that.</w:t>
      </w:r>
    </w:p>
    <w:p>
      <w:pPr>
        <w:spacing w:after="60"/>
        <w:ind w:left="510" w:hanging="340"/>
      </w:pPr>
      <w:r>
        <w:rPr>
          <w:b/>
        </w:rPr>
        <w:t xml:space="preserve">3.  </w:t>
      </w:r>
      <w:r>
        <w:t>The private key and CSR are created on the target. Only the CSR travels.</w:t>
      </w:r>
    </w:p>
    <w:p>
      <w:pPr>
        <w:spacing w:after="60"/>
        <w:ind w:left="510" w:hanging="340"/>
      </w:pPr>
      <w:r>
        <w:rPr>
          <w:b/>
        </w:rPr>
        <w:t xml:space="preserve">4.  </w:t>
      </w:r>
      <w:r>
        <w:t>The CA (Sectigo first) issues the certificate. CDM validates it against the CSR and policy.</w:t>
      </w:r>
    </w:p>
    <w:p>
      <w:pPr>
        <w:spacing w:after="60"/>
        <w:ind w:left="510" w:hanging="340"/>
      </w:pPr>
      <w:r>
        <w:rPr>
          <w:b/>
        </w:rPr>
        <w:t xml:space="preserve">5.  </w:t>
      </w:r>
      <w:r>
        <w:t>The router picks one signed adapter from the target's technology and zone. A MID Server in that zone runs it with a just-in-time credential from the vault.</w:t>
      </w:r>
    </w:p>
    <w:p>
      <w:pPr>
        <w:spacing w:after="60"/>
        <w:ind w:left="510" w:hanging="340"/>
      </w:pPr>
      <w:r>
        <w:rPr>
          <w:b/>
        </w:rPr>
        <w:t xml:space="preserve">6.  </w:t>
      </w:r>
      <w:r>
        <w:t>Pre-check, backup, install, activate, then verify the live endpoint (SAN, chain, expiry, thumbprint). On any failure, roll back automatically.</w:t>
      </w:r>
    </w:p>
    <w:p>
      <w:pPr>
        <w:spacing w:after="60"/>
        <w:ind w:left="510" w:hanging="340"/>
      </w:pPr>
      <w:r>
        <w:rPr>
          <w:b/>
        </w:rPr>
        <w:t xml:space="preserve">7.  </w:t>
      </w:r>
      <w:r>
        <w:t>Inventory, audit trail and notifications are updated. Systems that cannot be automated safely get a manual task, and are still verified automatically.</w:t>
      </w:r>
    </w:p>
    <w:p>
      <w:r>
        <w:t>What the review of your POC folder found (details in chapter 2): the POC proves the routing idea well, and the screenshots give nine solid security and safety principles that are now requirements. Eight gaps (G1 to G8) should be fixed before the POC is treated as proof of the design, the most important being: the mock CA returns a fake, non-PEM string; no CSR or private key is handled; WinRM runs over HTTP with Basic authentication; one admin password does everything; and script text is pasted into the flow.</w:t>
      </w:r>
    </w:p>
    <w:p>
      <w:r>
        <w:t>Diagrams (also delivered as separate PNG files in the diagrams folder):</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710"/>
            <w:shd w:val="clear" w:color="auto" w:fill="1F2D3D"/>
          </w:tcPr>
          <w:p>
            <w:pPr>
              <w:spacing w:after="0"/>
            </w:pPr>
            <w:r>
              <w:rPr>
                <w:b/>
                <w:color w:val="FFFFFF"/>
                <w:sz w:val="17"/>
              </w:rPr>
              <w:t>Figure</w:t>
            </w:r>
          </w:p>
        </w:tc>
        <w:tc>
          <w:tcPr>
            <w:tcW w:type="dxa" w:w="5681"/>
            <w:shd w:val="clear" w:color="auto" w:fill="1F2D3D"/>
          </w:tcPr>
          <w:p>
            <w:pPr>
              <w:spacing w:after="0"/>
            </w:pPr>
            <w:r>
              <w:rPr>
                <w:b/>
                <w:color w:val="FFFFFF"/>
                <w:sz w:val="17"/>
              </w:rPr>
              <w:t>Diagram</w:t>
            </w:r>
          </w:p>
        </w:tc>
        <w:tc>
          <w:tcPr>
            <w:tcW w:type="dxa" w:w="3246"/>
            <w:shd w:val="clear" w:color="auto" w:fill="1F2D3D"/>
          </w:tcPr>
          <w:p>
            <w:pPr>
              <w:spacing w:after="0"/>
            </w:pPr>
            <w:r>
              <w:rPr>
                <w:b/>
                <w:color w:val="FFFFFF"/>
                <w:sz w:val="17"/>
              </w:rPr>
              <w:t>File</w:t>
            </w:r>
          </w:p>
        </w:tc>
      </w:tr>
      <w:tr>
        <w:trPr>
          <w:cantSplit w:val="true"/>
        </w:trPr>
        <w:tc>
          <w:tcPr>
            <w:tcW w:type="dxa" w:w="710"/>
          </w:tcPr>
          <w:p>
            <w:pPr>
              <w:spacing w:after="0" w:line="240" w:lineRule="auto"/>
            </w:pPr>
            <w:r>
              <w:rPr>
                <w:sz w:val="17"/>
              </w:rPr>
              <w:t>1</w:t>
            </w:r>
          </w:p>
        </w:tc>
        <w:tc>
          <w:tcPr>
            <w:tcW w:type="dxa" w:w="5681"/>
          </w:tcPr>
          <w:p>
            <w:pPr>
              <w:spacing w:after="0" w:line="240" w:lineRule="auto"/>
            </w:pPr>
            <w:r>
              <w:rPr>
                <w:sz w:val="17"/>
              </w:rPr>
              <w:t>Current POC topology on the single Windows laptop, with findings G1 to G8</w:t>
            </w:r>
          </w:p>
        </w:tc>
        <w:tc>
          <w:tcPr>
            <w:tcW w:type="dxa" w:w="3246"/>
          </w:tcPr>
          <w:p>
            <w:pPr>
              <w:spacing w:after="0" w:line="240" w:lineRule="auto"/>
            </w:pPr>
            <w:r>
              <w:rPr>
                <w:sz w:val="17"/>
              </w:rPr>
              <w:t>Fig01_poc_current_topology.png</w:t>
            </w:r>
          </w:p>
        </w:tc>
      </w:tr>
      <w:tr>
        <w:trPr>
          <w:cantSplit w:val="true"/>
        </w:trPr>
        <w:tc>
          <w:tcPr>
            <w:tcW w:type="dxa" w:w="710"/>
            <w:shd w:val="clear" w:color="auto" w:fill="F3F6F8"/>
          </w:tcPr>
          <w:p>
            <w:pPr>
              <w:spacing w:after="0" w:line="240" w:lineRule="auto"/>
            </w:pPr>
            <w:r>
              <w:rPr>
                <w:sz w:val="17"/>
              </w:rPr>
              <w:t>2</w:t>
            </w:r>
          </w:p>
        </w:tc>
        <w:tc>
          <w:tcPr>
            <w:tcW w:type="dxa" w:w="5681"/>
            <w:shd w:val="clear" w:color="auto" w:fill="F3F6F8"/>
          </w:tcPr>
          <w:p>
            <w:pPr>
              <w:spacing w:after="0" w:line="240" w:lineRule="auto"/>
            </w:pPr>
            <w:r>
              <w:rPr>
                <w:sz w:val="17"/>
              </w:rPr>
              <w:t>CDM system context: people, ServiceNow, CAs, vault, MID Servers and deployment targets</w:t>
            </w:r>
          </w:p>
        </w:tc>
        <w:tc>
          <w:tcPr>
            <w:tcW w:type="dxa" w:w="3246"/>
            <w:shd w:val="clear" w:color="auto" w:fill="F3F6F8"/>
          </w:tcPr>
          <w:p>
            <w:pPr>
              <w:spacing w:after="0" w:line="240" w:lineRule="auto"/>
            </w:pPr>
            <w:r>
              <w:rPr>
                <w:sz w:val="17"/>
              </w:rPr>
              <w:t>Fig02_system_context.png</w:t>
            </w:r>
          </w:p>
        </w:tc>
      </w:tr>
      <w:tr>
        <w:trPr>
          <w:cantSplit w:val="true"/>
        </w:trPr>
        <w:tc>
          <w:tcPr>
            <w:tcW w:type="dxa" w:w="710"/>
          </w:tcPr>
          <w:p>
            <w:pPr>
              <w:spacing w:after="0" w:line="240" w:lineRule="auto"/>
            </w:pPr>
            <w:r>
              <w:rPr>
                <w:sz w:val="17"/>
              </w:rPr>
              <w:t>3</w:t>
            </w:r>
          </w:p>
        </w:tc>
        <w:tc>
          <w:tcPr>
            <w:tcW w:type="dxa" w:w="5681"/>
          </w:tcPr>
          <w:p>
            <w:pPr>
              <w:spacing w:after="0" w:line="240" w:lineRule="auto"/>
            </w:pPr>
            <w:r>
              <w:rPr>
                <w:sz w:val="17"/>
              </w:rPr>
              <w:t>Logical architecture: layers and components</w:t>
            </w:r>
          </w:p>
        </w:tc>
        <w:tc>
          <w:tcPr>
            <w:tcW w:type="dxa" w:w="3246"/>
          </w:tcPr>
          <w:p>
            <w:pPr>
              <w:spacing w:after="0" w:line="240" w:lineRule="auto"/>
            </w:pPr>
            <w:r>
              <w:rPr>
                <w:sz w:val="17"/>
              </w:rPr>
              <w:t>Fig03_logical_architecture.png</w:t>
            </w:r>
          </w:p>
        </w:tc>
      </w:tr>
      <w:tr>
        <w:trPr>
          <w:cantSplit w:val="true"/>
        </w:trPr>
        <w:tc>
          <w:tcPr>
            <w:tcW w:type="dxa" w:w="710"/>
            <w:shd w:val="clear" w:color="auto" w:fill="F3F6F8"/>
          </w:tcPr>
          <w:p>
            <w:pPr>
              <w:spacing w:after="0" w:line="240" w:lineRule="auto"/>
            </w:pPr>
            <w:r>
              <w:rPr>
                <w:sz w:val="17"/>
              </w:rPr>
              <w:t>4</w:t>
            </w:r>
          </w:p>
        </w:tc>
        <w:tc>
          <w:tcPr>
            <w:tcW w:type="dxa" w:w="5681"/>
            <w:shd w:val="clear" w:color="auto" w:fill="F3F6F8"/>
          </w:tcPr>
          <w:p>
            <w:pPr>
              <w:spacing w:after="0" w:line="240" w:lineRule="auto"/>
            </w:pPr>
            <w:r>
              <w:rPr>
                <w:sz w:val="17"/>
              </w:rPr>
              <w:t>Security architecture and network zones</w:t>
            </w:r>
          </w:p>
        </w:tc>
        <w:tc>
          <w:tcPr>
            <w:tcW w:type="dxa" w:w="3246"/>
            <w:shd w:val="clear" w:color="auto" w:fill="F3F6F8"/>
          </w:tcPr>
          <w:p>
            <w:pPr>
              <w:spacing w:after="0" w:line="240" w:lineRule="auto"/>
            </w:pPr>
            <w:r>
              <w:rPr>
                <w:sz w:val="17"/>
              </w:rPr>
              <w:t>Fig04_security_network_zones.png</w:t>
            </w:r>
          </w:p>
        </w:tc>
      </w:tr>
      <w:tr>
        <w:trPr>
          <w:cantSplit w:val="true"/>
        </w:trPr>
        <w:tc>
          <w:tcPr>
            <w:tcW w:type="dxa" w:w="710"/>
          </w:tcPr>
          <w:p>
            <w:pPr>
              <w:spacing w:after="0" w:line="240" w:lineRule="auto"/>
            </w:pPr>
            <w:r>
              <w:rPr>
                <w:sz w:val="17"/>
              </w:rPr>
              <w:t>5</w:t>
            </w:r>
          </w:p>
        </w:tc>
        <w:tc>
          <w:tcPr>
            <w:tcW w:type="dxa" w:w="5681"/>
          </w:tcPr>
          <w:p>
            <w:pPr>
              <w:spacing w:after="0" w:line="240" w:lineRule="auto"/>
            </w:pPr>
            <w:r>
              <w:rPr>
                <w:sz w:val="17"/>
              </w:rPr>
              <w:t>Certificate lifecycle state machine</w:t>
            </w:r>
          </w:p>
        </w:tc>
        <w:tc>
          <w:tcPr>
            <w:tcW w:type="dxa" w:w="3246"/>
          </w:tcPr>
          <w:p>
            <w:pPr>
              <w:spacing w:after="0" w:line="240" w:lineRule="auto"/>
            </w:pPr>
            <w:r>
              <w:rPr>
                <w:sz w:val="17"/>
              </w:rPr>
              <w:t>Fig05_certificate_lifecycle.png</w:t>
            </w:r>
          </w:p>
        </w:tc>
      </w:tr>
      <w:tr>
        <w:trPr>
          <w:cantSplit w:val="true"/>
        </w:trPr>
        <w:tc>
          <w:tcPr>
            <w:tcW w:type="dxa" w:w="710"/>
            <w:shd w:val="clear" w:color="auto" w:fill="F3F6F8"/>
          </w:tcPr>
          <w:p>
            <w:pPr>
              <w:spacing w:after="0" w:line="240" w:lineRule="auto"/>
            </w:pPr>
            <w:r>
              <w:rPr>
                <w:sz w:val="17"/>
              </w:rPr>
              <w:t>6</w:t>
            </w:r>
          </w:p>
        </w:tc>
        <w:tc>
          <w:tcPr>
            <w:tcW w:type="dxa" w:w="5681"/>
            <w:shd w:val="clear" w:color="auto" w:fill="F3F6F8"/>
          </w:tcPr>
          <w:p>
            <w:pPr>
              <w:spacing w:after="0" w:line="240" w:lineRule="auto"/>
            </w:pPr>
            <w:r>
              <w:rPr>
                <w:sz w:val="17"/>
              </w:rPr>
              <w:t>End-to-end deployment workflow with pre-check, rollback and manual fallback</w:t>
            </w:r>
          </w:p>
        </w:tc>
        <w:tc>
          <w:tcPr>
            <w:tcW w:type="dxa" w:w="3246"/>
            <w:shd w:val="clear" w:color="auto" w:fill="F3F6F8"/>
          </w:tcPr>
          <w:p>
            <w:pPr>
              <w:spacing w:after="0" w:line="240" w:lineRule="auto"/>
            </w:pPr>
            <w:r>
              <w:rPr>
                <w:sz w:val="17"/>
              </w:rPr>
              <w:t>Fig06_deployment_workflow.png</w:t>
            </w:r>
          </w:p>
        </w:tc>
      </w:tr>
      <w:tr>
        <w:trPr>
          <w:cantSplit w:val="true"/>
        </w:trPr>
        <w:tc>
          <w:tcPr>
            <w:tcW w:type="dxa" w:w="710"/>
          </w:tcPr>
          <w:p>
            <w:pPr>
              <w:spacing w:after="0" w:line="240" w:lineRule="auto"/>
            </w:pPr>
            <w:r>
              <w:rPr>
                <w:sz w:val="17"/>
              </w:rPr>
              <w:t>7</w:t>
            </w:r>
          </w:p>
        </w:tc>
        <w:tc>
          <w:tcPr>
            <w:tcW w:type="dxa" w:w="5681"/>
          </w:tcPr>
          <w:p>
            <w:pPr>
              <w:spacing w:after="0" w:line="240" w:lineRule="auto"/>
            </w:pPr>
            <w:r>
              <w:rPr>
                <w:sz w:val="17"/>
              </w:rPr>
              <w:t>Sequence: issue a certificate and deploy it</w:t>
            </w:r>
          </w:p>
        </w:tc>
        <w:tc>
          <w:tcPr>
            <w:tcW w:type="dxa" w:w="3246"/>
          </w:tcPr>
          <w:p>
            <w:pPr>
              <w:spacing w:after="0" w:line="240" w:lineRule="auto"/>
            </w:pPr>
            <w:r>
              <w:rPr>
                <w:sz w:val="17"/>
              </w:rPr>
              <w:t>Fig07_sequence_issue_deploy.png</w:t>
            </w:r>
          </w:p>
        </w:tc>
      </w:tr>
      <w:tr>
        <w:trPr>
          <w:cantSplit w:val="true"/>
        </w:trPr>
        <w:tc>
          <w:tcPr>
            <w:tcW w:type="dxa" w:w="710"/>
            <w:shd w:val="clear" w:color="auto" w:fill="F3F6F8"/>
          </w:tcPr>
          <w:p>
            <w:pPr>
              <w:spacing w:after="0" w:line="240" w:lineRule="auto"/>
            </w:pPr>
            <w:r>
              <w:rPr>
                <w:sz w:val="17"/>
              </w:rPr>
              <w:t>8</w:t>
            </w:r>
          </w:p>
        </w:tc>
        <w:tc>
          <w:tcPr>
            <w:tcW w:type="dxa" w:w="5681"/>
            <w:shd w:val="clear" w:color="auto" w:fill="F3F6F8"/>
          </w:tcPr>
          <w:p>
            <w:pPr>
              <w:spacing w:after="0" w:line="240" w:lineRule="auto"/>
            </w:pPr>
            <w:r>
              <w:rPr>
                <w:sz w:val="17"/>
              </w:rPr>
              <w:t>Technology adapter routing matrix</w:t>
            </w:r>
          </w:p>
        </w:tc>
        <w:tc>
          <w:tcPr>
            <w:tcW w:type="dxa" w:w="3246"/>
            <w:shd w:val="clear" w:color="auto" w:fill="F3F6F8"/>
          </w:tcPr>
          <w:p>
            <w:pPr>
              <w:spacing w:after="0" w:line="240" w:lineRule="auto"/>
            </w:pPr>
            <w:r>
              <w:rPr>
                <w:sz w:val="17"/>
              </w:rPr>
              <w:t>Fig08_adapter_routing_matrix.png</w:t>
            </w:r>
          </w:p>
        </w:tc>
      </w:tr>
      <w:tr>
        <w:trPr>
          <w:cantSplit w:val="true"/>
        </w:trPr>
        <w:tc>
          <w:tcPr>
            <w:tcW w:type="dxa" w:w="710"/>
          </w:tcPr>
          <w:p>
            <w:pPr>
              <w:spacing w:after="0" w:line="240" w:lineRule="auto"/>
            </w:pPr>
            <w:r>
              <w:rPr>
                <w:sz w:val="17"/>
              </w:rPr>
              <w:t>9</w:t>
            </w:r>
          </w:p>
        </w:tc>
        <w:tc>
          <w:tcPr>
            <w:tcW w:type="dxa" w:w="5681"/>
          </w:tcPr>
          <w:p>
            <w:pPr>
              <w:spacing w:after="0" w:line="240" w:lineRule="auto"/>
            </w:pPr>
            <w:r>
              <w:rPr>
                <w:sz w:val="17"/>
              </w:rPr>
              <w:t>Platform-specific deployment paths</w:t>
            </w:r>
          </w:p>
        </w:tc>
        <w:tc>
          <w:tcPr>
            <w:tcW w:type="dxa" w:w="3246"/>
          </w:tcPr>
          <w:p>
            <w:pPr>
              <w:spacing w:after="0" w:line="240" w:lineRule="auto"/>
            </w:pPr>
            <w:r>
              <w:rPr>
                <w:sz w:val="17"/>
              </w:rPr>
              <w:t>Fig09_platform_deployment_paths.png</w:t>
            </w:r>
          </w:p>
        </w:tc>
      </w:tr>
      <w:tr>
        <w:trPr>
          <w:cantSplit w:val="true"/>
        </w:trPr>
        <w:tc>
          <w:tcPr>
            <w:tcW w:type="dxa" w:w="710"/>
            <w:shd w:val="clear" w:color="auto" w:fill="F3F6F8"/>
          </w:tcPr>
          <w:p>
            <w:pPr>
              <w:spacing w:after="0" w:line="240" w:lineRule="auto"/>
            </w:pPr>
            <w:r>
              <w:rPr>
                <w:sz w:val="17"/>
              </w:rPr>
              <w:t>10</w:t>
            </w:r>
          </w:p>
        </w:tc>
        <w:tc>
          <w:tcPr>
            <w:tcW w:type="dxa" w:w="5681"/>
            <w:shd w:val="clear" w:color="auto" w:fill="F3F6F8"/>
          </w:tcPr>
          <w:p>
            <w:pPr>
              <w:spacing w:after="0" w:line="240" w:lineRule="auto"/>
            </w:pPr>
            <w:r>
              <w:rPr>
                <w:sz w:val="17"/>
              </w:rPr>
              <w:t>Logical data model</w:t>
            </w:r>
          </w:p>
        </w:tc>
        <w:tc>
          <w:tcPr>
            <w:tcW w:type="dxa" w:w="3246"/>
            <w:shd w:val="clear" w:color="auto" w:fill="F3F6F8"/>
          </w:tcPr>
          <w:p>
            <w:pPr>
              <w:spacing w:after="0" w:line="240" w:lineRule="auto"/>
            </w:pPr>
            <w:r>
              <w:rPr>
                <w:sz w:val="17"/>
              </w:rPr>
              <w:t>Fig10_data_model.png</w:t>
            </w:r>
          </w:p>
        </w:tc>
      </w:tr>
      <w:tr>
        <w:trPr>
          <w:cantSplit w:val="true"/>
        </w:trPr>
        <w:tc>
          <w:tcPr>
            <w:tcW w:type="dxa" w:w="710"/>
          </w:tcPr>
          <w:p>
            <w:pPr>
              <w:spacing w:after="0" w:line="240" w:lineRule="auto"/>
            </w:pPr>
            <w:r>
              <w:rPr>
                <w:sz w:val="17"/>
              </w:rPr>
              <w:t>11</w:t>
            </w:r>
          </w:p>
        </w:tc>
        <w:tc>
          <w:tcPr>
            <w:tcW w:type="dxa" w:w="5681"/>
          </w:tcPr>
          <w:p>
            <w:pPr>
              <w:spacing w:after="0" w:line="240" w:lineRule="auto"/>
            </w:pPr>
            <w:r>
              <w:rPr>
                <w:sz w:val="17"/>
              </w:rPr>
              <w:t>Delivery roadmap</w:t>
            </w:r>
          </w:p>
        </w:tc>
        <w:tc>
          <w:tcPr>
            <w:tcW w:type="dxa" w:w="3246"/>
          </w:tcPr>
          <w:p>
            <w:pPr>
              <w:spacing w:after="0" w:line="240" w:lineRule="auto"/>
            </w:pPr>
            <w:r>
              <w:rPr>
                <w:sz w:val="17"/>
              </w:rPr>
              <w:t>Fig11_roadmap.png</w:t>
            </w:r>
          </w:p>
        </w:tc>
      </w:tr>
    </w:tbl>
    <w:p>
      <w:pPr>
        <w:spacing w:after="40"/>
      </w:pPr>
    </w:p>
    <w:p>
      <w:r>
        <w:t>Requirement counts: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2356"/>
            <w:shd w:val="clear" w:color="auto" w:fill="1F2D3D"/>
          </w:tcPr>
          <w:p>
            <w:pPr>
              <w:spacing w:after="0"/>
            </w:pPr>
            <w:r>
              <w:rPr>
                <w:b/>
                <w:color w:val="FFFFFF"/>
                <w:sz w:val="17"/>
              </w:rPr>
              <w:t>Type</w:t>
            </w:r>
          </w:p>
        </w:tc>
        <w:tc>
          <w:tcPr>
            <w:tcW w:type="dxa" w:w="857"/>
            <w:shd w:val="clear" w:color="auto" w:fill="1F2D3D"/>
          </w:tcPr>
          <w:p>
            <w:pPr>
              <w:spacing w:after="0"/>
            </w:pPr>
            <w:r>
              <w:rPr>
                <w:b/>
                <w:color w:val="FFFFFF"/>
                <w:sz w:val="17"/>
              </w:rPr>
              <w:t>Count</w:t>
            </w:r>
          </w:p>
        </w:tc>
        <w:tc>
          <w:tcPr>
            <w:tcW w:type="dxa" w:w="6425"/>
            <w:shd w:val="clear" w:color="auto" w:fill="1F2D3D"/>
          </w:tcPr>
          <w:p>
            <w:pPr>
              <w:spacing w:after="0"/>
            </w:pPr>
            <w:r>
              <w:rPr>
                <w:b/>
                <w:color w:val="FFFFFF"/>
                <w:sz w:val="17"/>
              </w:rPr>
              <w:t>Detail</w:t>
            </w:r>
          </w:p>
        </w:tc>
      </w:tr>
      <w:tr>
        <w:trPr>
          <w:cantSplit w:val="true"/>
        </w:trPr>
        <w:tc>
          <w:tcPr>
            <w:tcW w:type="dxa" w:w="2356"/>
          </w:tcPr>
          <w:p>
            <w:pPr>
              <w:spacing w:after="0" w:line="240" w:lineRule="auto"/>
            </w:pPr>
            <w:r>
              <w:rPr>
                <w:sz w:val="17"/>
              </w:rPr>
              <w:t>Functional (FR)</w:t>
            </w:r>
          </w:p>
        </w:tc>
        <w:tc>
          <w:tcPr>
            <w:tcW w:type="dxa" w:w="857"/>
          </w:tcPr>
          <w:p>
            <w:pPr>
              <w:spacing w:after="0" w:line="240" w:lineRule="auto"/>
            </w:pPr>
            <w:r>
              <w:rPr>
                <w:sz w:val="17"/>
              </w:rPr>
              <w:t>86</w:t>
            </w:r>
          </w:p>
        </w:tc>
        <w:tc>
          <w:tcPr>
            <w:tcW w:type="dxa" w:w="6425"/>
          </w:tcPr>
          <w:p>
            <w:pPr>
              <w:spacing w:after="0" w:line="240" w:lineRule="auto"/>
            </w:pPr>
            <w:r>
              <w:rPr>
                <w:sz w:val="17"/>
              </w:rPr>
              <w:t>P1 MVP: 55, P2: 25, P3: 6.  Must: 55, Should: 26, Could: 5.</w:t>
            </w:r>
          </w:p>
        </w:tc>
      </w:tr>
      <w:tr>
        <w:trPr>
          <w:cantSplit w:val="true"/>
        </w:trPr>
        <w:tc>
          <w:tcPr>
            <w:tcW w:type="dxa" w:w="2356"/>
            <w:shd w:val="clear" w:color="auto" w:fill="F3F6F8"/>
          </w:tcPr>
          <w:p>
            <w:pPr>
              <w:spacing w:after="0" w:line="240" w:lineRule="auto"/>
            </w:pPr>
            <w:r>
              <w:rPr>
                <w:sz w:val="17"/>
              </w:rPr>
              <w:t>Platform adapter (AD)</w:t>
            </w:r>
          </w:p>
        </w:tc>
        <w:tc>
          <w:tcPr>
            <w:tcW w:type="dxa" w:w="857"/>
            <w:shd w:val="clear" w:color="auto" w:fill="F3F6F8"/>
          </w:tcPr>
          <w:p>
            <w:pPr>
              <w:spacing w:after="0" w:line="240" w:lineRule="auto"/>
            </w:pPr>
            <w:r>
              <w:rPr>
                <w:sz w:val="17"/>
              </w:rPr>
              <w:t>66</w:t>
            </w:r>
          </w:p>
        </w:tc>
        <w:tc>
          <w:tcPr>
            <w:tcW w:type="dxa" w:w="6425"/>
            <w:shd w:val="clear" w:color="auto" w:fill="F3F6F8"/>
          </w:tcPr>
          <w:p>
            <w:pPr>
              <w:spacing w:after="0" w:line="240" w:lineRule="auto"/>
            </w:pPr>
            <w:r>
              <w:rPr>
                <w:sz w:val="17"/>
              </w:rPr>
              <w:t>Windows, Linux, Apple, Kubernetes, Java, load balancers, cloud, databases and network.</w:t>
            </w:r>
          </w:p>
        </w:tc>
      </w:tr>
      <w:tr>
        <w:trPr>
          <w:cantSplit w:val="true"/>
        </w:trPr>
        <w:tc>
          <w:tcPr>
            <w:tcW w:type="dxa" w:w="2356"/>
          </w:tcPr>
          <w:p>
            <w:pPr>
              <w:spacing w:after="0" w:line="240" w:lineRule="auto"/>
            </w:pPr>
            <w:r>
              <w:rPr>
                <w:sz w:val="17"/>
              </w:rPr>
              <w:t>Non-functional (NFR)</w:t>
            </w:r>
          </w:p>
        </w:tc>
        <w:tc>
          <w:tcPr>
            <w:tcW w:type="dxa" w:w="857"/>
          </w:tcPr>
          <w:p>
            <w:pPr>
              <w:spacing w:after="0" w:line="240" w:lineRule="auto"/>
            </w:pPr>
            <w:r>
              <w:rPr>
                <w:sz w:val="17"/>
              </w:rPr>
              <w:t>18</w:t>
            </w:r>
          </w:p>
        </w:tc>
        <w:tc>
          <w:tcPr>
            <w:tcW w:type="dxa" w:w="6425"/>
          </w:tcPr>
          <w:p>
            <w:pPr>
              <w:spacing w:after="0" w:line="240" w:lineRule="auto"/>
            </w:pPr>
            <w:r>
              <w:rPr>
                <w:sz w:val="17"/>
              </w:rPr>
              <w:t>Security, availability, performance, audit, operations, usability, portability, crypto-agility.</w:t>
            </w:r>
          </w:p>
        </w:tc>
      </w:tr>
      <w:tr>
        <w:trPr>
          <w:cantSplit w:val="true"/>
        </w:trPr>
        <w:tc>
          <w:tcPr>
            <w:tcW w:type="dxa" w:w="2356"/>
            <w:shd w:val="clear" w:color="auto" w:fill="F3F6F8"/>
          </w:tcPr>
          <w:p>
            <w:pPr>
              <w:spacing w:after="0" w:line="240" w:lineRule="auto"/>
            </w:pPr>
            <w:r>
              <w:rPr>
                <w:sz w:val="17"/>
              </w:rPr>
              <w:t>Decisions and questions</w:t>
            </w:r>
          </w:p>
        </w:tc>
        <w:tc>
          <w:tcPr>
            <w:tcW w:type="dxa" w:w="857"/>
            <w:shd w:val="clear" w:color="auto" w:fill="F3F6F8"/>
          </w:tcPr>
          <w:p>
            <w:pPr>
              <w:spacing w:after="0" w:line="240" w:lineRule="auto"/>
            </w:pPr>
            <w:r>
              <w:rPr>
                <w:sz w:val="17"/>
              </w:rPr>
              <w:t>15</w:t>
            </w:r>
          </w:p>
        </w:tc>
        <w:tc>
          <w:tcPr>
            <w:tcW w:type="dxa" w:w="6425"/>
            <w:shd w:val="clear" w:color="auto" w:fill="F3F6F8"/>
          </w:tcPr>
          <w:p>
            <w:pPr>
              <w:spacing w:after="0" w:line="240" w:lineRule="auto"/>
            </w:pPr>
            <w:r>
              <w:rPr>
                <w:sz w:val="17"/>
              </w:rPr>
              <w:t>Chapter 14, each with a default.</w:t>
            </w:r>
          </w:p>
        </w:tc>
      </w:tr>
    </w:tbl>
    <w:p>
      <w:pPr>
        <w:spacing w:after="40"/>
      </w:pPr>
    </w:p>
    <w:tbl>
      <w:tblPr>
        <w:tblW w:type="auto" w:w="0"/>
        <w:jc w:val="center"/>
        <w:tblLayout w:type="fixed"/>
        <w:tblLook w:firstColumn="1" w:firstRow="1" w:lastColumn="0" w:lastRow="0" w:noHBand="0" w:noVBand="1" w:val="04A0"/>
        <w:tblBorders>
          <w:top w:val="single" w:sz="4" w:space="0" w:color="F2C94C"/>
          <w:left w:val="single" w:sz="4" w:space="0" w:color="F2C94C"/>
          <w:bottom w:val="single" w:sz="4" w:space="0" w:color="F2C94C"/>
          <w:right w:val="single" w:sz="4" w:space="0" w:color="F2C94C"/>
          <w:insideH w:val="single" w:sz="4" w:space="0" w:color="F2C94C"/>
          <w:insideV w:val="single" w:sz="4" w:space="0" w:color="F2C94C"/>
        </w:tblBorders>
        <w:tblCellMar>
          <w:top w:w="80" w:type="dxa"/>
          <w:left w:w="140" w:type="dxa"/>
          <w:bottom w:w="80" w:type="dxa"/>
          <w:right w:w="140" w:type="dxa"/>
        </w:tblCellMar>
      </w:tblPr>
      <w:tblGrid>
        <w:gridCol w:w="9638"/>
      </w:tblGrid>
      <w:tr>
        <w:trPr>
          <w:cantSplit w:val="true"/>
        </w:trPr>
        <w:tc>
          <w:tcPr>
            <w:tcW w:type="dxa" w:w="9638"/>
            <w:shd w:val="clear" w:color="auto" w:fill="FFF8E1"/>
          </w:tcPr>
          <w:p>
            <w:pPr>
              <w:spacing w:after="0"/>
            </w:pPr>
            <w:r>
              <w:rPr>
                <w:b/>
              </w:rPr>
              <w:t xml:space="preserve">Note: </w:t>
            </w:r>
            <w:r>
              <w:t>Please review chapter 14 first: fifteen questions with defaults. The most important are Q1 (ServiceNow licences and plugins), Q2 (Sectigo tenant), Q3 (vault) and Q4 (what "iOS" means).</w:t>
            </w:r>
          </w:p>
        </w:tc>
      </w:tr>
    </w:tbl>
    <w:p>
      <w:pPr>
        <w:spacing w:after="40"/>
      </w:pPr>
    </w:p>
    <w:p>
      <w:pPr>
        <w:pStyle w:val="Heading1"/>
        <w:pBdr>
          <w:bottom w:val="single" w:sz="8" w:space="2" w:color="2E7D32"/>
        </w:pBdr>
      </w:pPr>
      <w:r>
        <w:t>1. Introduction</w:t>
      </w:r>
    </w:p>
    <w:p>
      <w:pPr>
        <w:pStyle w:val="Heading2"/>
      </w:pPr>
      <w:r>
        <w:t>1.1 Purpose</w:t>
      </w:r>
    </w:p>
    <w:p>
      <w:r>
        <w:t>This document specifies the requirements for the Certificate Deployment Manager (CDM): a secure, generic platform that requests, issues, deploys, verifies, renews and retires digital certificates across heterogeneous technology estates (Windows, Linux, macOS and iOS, Kubernetes, Java, load balancers, cloud services and more) using ServiceNow as the orchestration layer, Sectigo as the first certificate authority (CA), and MID Servers as the network-local execution layer.</w:t>
      </w:r>
    </w:p>
    <w:p>
      <w:r>
        <w:t>It is based on a deep analysis of everything in the POC folder (see chapter 2). It is written so that you can review it, challenge it and fix it before implementation starts. Every requirement has an ID, a priority, a delivery phase and a source, so decisions can be traced. Chapter 14 lists the decisions and open questions that need your answer.</w:t>
      </w:r>
    </w:p>
    <w:p>
      <w:pPr>
        <w:pStyle w:val="Heading2"/>
      </w:pPr>
      <w:r>
        <w:t>1.2 Scope</w:t>
      </w:r>
    </w:p>
    <w:p>
      <w:r>
        <w:t>In scope:</w:t>
      </w:r>
    </w:p>
    <w:p>
      <w:pPr>
        <w:pStyle w:val="ListBullet"/>
      </w:pPr>
      <w:r>
        <w:t>Certificate inventory, request, approval, issuance (through pluggable CAs), deployment, verification, renewal, revocation and retirement.</w:t>
      </w:r>
    </w:p>
    <w:p>
      <w:pPr>
        <w:pStyle w:val="ListBullet"/>
      </w:pPr>
      <w:r>
        <w:t>Deployment adapters for Windows, Linux/Unix, macOS/iOS/iPadOS (via MDM), Kubernetes/OpenShift, Java keystores, load balancers and firewalls, cloud services, databases, and network devices.</w:t>
      </w:r>
    </w:p>
    <w:p>
      <w:pPr>
        <w:pStyle w:val="ListBullet"/>
      </w:pPr>
      <w:r>
        <w:t>Secure handling of credentials and private keys: vault-integrated credentials, no permanent private keys on MID Servers, network zoning, signed adapters.</w:t>
      </w:r>
    </w:p>
    <w:p>
      <w:pPr>
        <w:pStyle w:val="ListBullet"/>
      </w:pPr>
      <w:r>
        <w:t>Pre-check, backup, rollback, post-deployment verification and cluster-aware deployment.</w:t>
      </w:r>
    </w:p>
    <w:p>
      <w:pPr>
        <w:pStyle w:val="ListBullet"/>
      </w:pPr>
      <w:r>
        <w:t>A manual-fallback path for systems that cannot safely be automated.</w:t>
      </w:r>
    </w:p>
    <w:p>
      <w:pPr>
        <w:pStyle w:val="ListBullet"/>
      </w:pPr>
      <w:r>
        <w:t>Audit, reporting, notifications, administration and the POC-to-production roadmap.</w:t>
      </w:r>
    </w:p>
    <w:p>
      <w:r>
        <w:t>Out of scope (unless you decide otherwise in chapter 14):</w:t>
      </w:r>
    </w:p>
    <w:p>
      <w:pPr>
        <w:pStyle w:val="ListBullet"/>
      </w:pPr>
      <w:r>
        <w:t>Operating a certificate authority (CDM consumes CAs; it does not become one).</w:t>
      </w:r>
    </w:p>
    <w:p>
      <w:pPr>
        <w:pStyle w:val="ListBullet"/>
      </w:pPr>
      <w:r>
        <w:t>Code-signing, document-signing and SSH host/user certificate issuance workflows (the design does not prevent them later).</w:t>
      </w:r>
    </w:p>
    <w:p>
      <w:pPr>
        <w:pStyle w:val="ListBullet"/>
      </w:pPr>
      <w:r>
        <w:t>DNS and load-balancer management beyond what a certificate binding requires.</w:t>
      </w:r>
    </w:p>
    <w:p>
      <w:pPr>
        <w:pStyle w:val="ListBullet"/>
      </w:pPr>
      <w:r>
        <w:t>A general-purpose privileged access management (PAM) or endpoint-management product.</w:t>
      </w:r>
    </w:p>
    <w:p>
      <w:pPr>
        <w:pStyle w:val="Heading2"/>
      </w:pPr>
      <w:r>
        <w:t>1.3 Audience and how to read this document</w:t>
      </w:r>
    </w:p>
    <w:p>
      <w:r>
        <w:t>Written for the project owner and the technical reviewers (ServiceNow, PKI/security, infrastructure and platform teams) who will confirm the requirements before implementation.</w:t>
      </w:r>
    </w:p>
    <w:p>
      <w:pPr>
        <w:pStyle w:val="ListBullet"/>
      </w:pPr>
      <w:r>
        <w:t>Every functional requirement uses the ID pattern FR-&lt;area&gt;-&lt;nnn&gt;; adapter requirements use AD-&lt;platform&gt;-&lt;nn&gt;; non-functional requirements use NFR-&lt;area&gt;-&lt;nn&gt;.</w:t>
      </w:r>
    </w:p>
    <w:p>
      <w:pPr>
        <w:pStyle w:val="ListBullet"/>
      </w:pPr>
      <w:r>
        <w:t>Priority (Pri): M = Must, S = Should, C = Could. Phase: P1 = MVP, P2 = platform expansion, P3 = enterprise hardening (see Figure 11). P0 is the existing POC.</w:t>
      </w:r>
    </w:p>
    <w:p>
      <w:pPr>
        <w:pStyle w:val="ListBullet"/>
      </w:pPr>
      <w:r>
        <w:t>Source (Src): PLAN = Promp.md.txt; SETUP = POC_SETUP_STATUS.md; MOCK = mock_sectigo.ps1; D1, D2, D3 = data1.jpeg, data2.jpeg, data3.jpeg; NEW = added by this analysis to cover your request for all technologies or from industry practice.</w:t>
      </w:r>
    </w:p>
    <w:p>
      <w:pPr>
        <w:pStyle w:val="Heading2"/>
      </w:pPr>
      <w:r>
        <w:t>1.4 Definitions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4819"/>
        <w:gridCol w:w="4819"/>
      </w:tblGrid>
      <w:tr>
        <w:trPr>
          <w:tblHeader w:val="true"/>
        </w:trPr>
        <w:tc>
          <w:tcPr>
            <w:tcW w:type="dxa" w:w="1606"/>
            <w:shd w:val="clear" w:color="auto" w:fill="1F2D3D"/>
          </w:tcPr>
          <w:p>
            <w:pPr>
              <w:spacing w:after="0"/>
            </w:pPr>
            <w:r>
              <w:rPr>
                <w:b/>
                <w:color w:val="FFFFFF"/>
                <w:sz w:val="17"/>
              </w:rPr>
              <w:t>Term</w:t>
            </w:r>
          </w:p>
        </w:tc>
        <w:tc>
          <w:tcPr>
            <w:tcW w:type="dxa" w:w="8031"/>
            <w:shd w:val="clear" w:color="auto" w:fill="1F2D3D"/>
          </w:tcPr>
          <w:p>
            <w:pPr>
              <w:spacing w:after="0"/>
            </w:pPr>
            <w:r>
              <w:rPr>
                <w:b/>
                <w:color w:val="FFFFFF"/>
                <w:sz w:val="17"/>
              </w:rPr>
              <w:t>Meaning</w:t>
            </w:r>
          </w:p>
        </w:tc>
      </w:tr>
      <w:tr>
        <w:trPr>
          <w:cantSplit w:val="true"/>
        </w:trPr>
        <w:tc>
          <w:tcPr>
            <w:tcW w:type="dxa" w:w="1606"/>
          </w:tcPr>
          <w:p>
            <w:pPr>
              <w:spacing w:after="0" w:line="240" w:lineRule="auto"/>
            </w:pPr>
            <w:r>
              <w:rPr>
                <w:sz w:val="17"/>
              </w:rPr>
              <w:t>CA</w:t>
            </w:r>
          </w:p>
        </w:tc>
        <w:tc>
          <w:tcPr>
            <w:tcW w:type="dxa" w:w="8031"/>
          </w:tcPr>
          <w:p>
            <w:pPr>
              <w:spacing w:after="0" w:line="240" w:lineRule="auto"/>
            </w:pPr>
            <w:r>
              <w:rPr>
                <w:sz w:val="17"/>
              </w:rPr>
              <w:t>Certificate authority that issues certificates (Sectigo first; ACME CAs, Microsoft ADCS and private CAs later).</w:t>
            </w:r>
          </w:p>
        </w:tc>
      </w:tr>
      <w:tr>
        <w:trPr>
          <w:cantSplit w:val="true"/>
        </w:trPr>
        <w:tc>
          <w:tcPr>
            <w:tcW w:type="dxa" w:w="1606"/>
            <w:shd w:val="clear" w:color="auto" w:fill="F3F6F8"/>
          </w:tcPr>
          <w:p>
            <w:pPr>
              <w:spacing w:after="0" w:line="240" w:lineRule="auto"/>
            </w:pPr>
            <w:r>
              <w:rPr>
                <w:sz w:val="17"/>
              </w:rPr>
              <w:t>CSR</w:t>
            </w:r>
          </w:p>
        </w:tc>
        <w:tc>
          <w:tcPr>
            <w:tcW w:type="dxa" w:w="8031"/>
            <w:shd w:val="clear" w:color="auto" w:fill="F3F6F8"/>
          </w:tcPr>
          <w:p>
            <w:pPr>
              <w:spacing w:after="0" w:line="240" w:lineRule="auto"/>
            </w:pPr>
            <w:r>
              <w:rPr>
                <w:sz w:val="17"/>
              </w:rPr>
              <w:t>Certificate signing request: contains the public key and names; the private key is never in it.</w:t>
            </w:r>
          </w:p>
        </w:tc>
      </w:tr>
      <w:tr>
        <w:trPr>
          <w:cantSplit w:val="true"/>
        </w:trPr>
        <w:tc>
          <w:tcPr>
            <w:tcW w:type="dxa" w:w="1606"/>
          </w:tcPr>
          <w:p>
            <w:pPr>
              <w:spacing w:after="0" w:line="240" w:lineRule="auto"/>
            </w:pPr>
            <w:r>
              <w:rPr>
                <w:sz w:val="17"/>
              </w:rPr>
              <w:t>MID Server</w:t>
            </w:r>
          </w:p>
        </w:tc>
        <w:tc>
          <w:tcPr>
            <w:tcW w:type="dxa" w:w="8031"/>
          </w:tcPr>
          <w:p>
            <w:pPr>
              <w:spacing w:after="0" w:line="240" w:lineRule="auto"/>
            </w:pPr>
            <w:r>
              <w:rPr>
                <w:sz w:val="17"/>
              </w:rPr>
              <w:t>ServiceNow agent (Java) inside a customer network that executes jobs locally and talks to the instance through outbound HTTPS only (ECC queue).</w:t>
            </w:r>
          </w:p>
        </w:tc>
      </w:tr>
      <w:tr>
        <w:trPr>
          <w:cantSplit w:val="true"/>
        </w:trPr>
        <w:tc>
          <w:tcPr>
            <w:tcW w:type="dxa" w:w="1606"/>
            <w:shd w:val="clear" w:color="auto" w:fill="F3F6F8"/>
          </w:tcPr>
          <w:p>
            <w:pPr>
              <w:spacing w:after="0" w:line="240" w:lineRule="auto"/>
            </w:pPr>
            <w:r>
              <w:rPr>
                <w:sz w:val="17"/>
              </w:rPr>
              <w:t>ECC queue</w:t>
            </w:r>
          </w:p>
        </w:tc>
        <w:tc>
          <w:tcPr>
            <w:tcW w:type="dxa" w:w="8031"/>
            <w:shd w:val="clear" w:color="auto" w:fill="F3F6F8"/>
          </w:tcPr>
          <w:p>
            <w:pPr>
              <w:spacing w:after="0" w:line="240" w:lineRule="auto"/>
            </w:pPr>
            <w:r>
              <w:rPr>
                <w:sz w:val="17"/>
              </w:rPr>
              <w:t>External Communication Channel queue: how ServiceNow and a MID Server exchange jobs and results.</w:t>
            </w:r>
          </w:p>
        </w:tc>
      </w:tr>
      <w:tr>
        <w:trPr>
          <w:cantSplit w:val="true"/>
        </w:trPr>
        <w:tc>
          <w:tcPr>
            <w:tcW w:type="dxa" w:w="1606"/>
          </w:tcPr>
          <w:p>
            <w:pPr>
              <w:spacing w:after="0" w:line="240" w:lineRule="auto"/>
            </w:pPr>
            <w:r>
              <w:rPr>
                <w:sz w:val="17"/>
              </w:rPr>
              <w:t>Adapter</w:t>
            </w:r>
          </w:p>
        </w:tc>
        <w:tc>
          <w:tcPr>
            <w:tcW w:type="dxa" w:w="8031"/>
          </w:tcPr>
          <w:p>
            <w:pPr>
              <w:spacing w:after="0" w:line="240" w:lineRule="auto"/>
            </w:pPr>
            <w:r>
              <w:rPr>
                <w:sz w:val="17"/>
              </w:rPr>
              <w:t>A signed, versioned, technology-specific deployment component (for example Windows, Linux, Kubernetes) behind a common contract.</w:t>
            </w:r>
          </w:p>
        </w:tc>
      </w:tr>
      <w:tr>
        <w:trPr>
          <w:cantSplit w:val="true"/>
        </w:trPr>
        <w:tc>
          <w:tcPr>
            <w:tcW w:type="dxa" w:w="1606"/>
            <w:shd w:val="clear" w:color="auto" w:fill="F3F6F8"/>
          </w:tcPr>
          <w:p>
            <w:pPr>
              <w:spacing w:after="0" w:line="240" w:lineRule="auto"/>
            </w:pPr>
            <w:r>
              <w:rPr>
                <w:sz w:val="17"/>
              </w:rPr>
              <w:t>Binding</w:t>
            </w:r>
          </w:p>
        </w:tc>
        <w:tc>
          <w:tcPr>
            <w:tcW w:type="dxa" w:w="8031"/>
            <w:shd w:val="clear" w:color="auto" w:fill="F3F6F8"/>
          </w:tcPr>
          <w:p>
            <w:pPr>
              <w:spacing w:after="0" w:line="240" w:lineRule="auto"/>
            </w:pPr>
            <w:r>
              <w:rPr>
                <w:sz w:val="17"/>
              </w:rPr>
              <w:t>The link between a certificate and the place it is used: target, service, port, store path or secret name.</w:t>
            </w:r>
          </w:p>
        </w:tc>
      </w:tr>
      <w:tr>
        <w:trPr>
          <w:cantSplit w:val="true"/>
        </w:trPr>
        <w:tc>
          <w:tcPr>
            <w:tcW w:type="dxa" w:w="1606"/>
          </w:tcPr>
          <w:p>
            <w:pPr>
              <w:spacing w:after="0" w:line="240" w:lineRule="auto"/>
            </w:pPr>
            <w:r>
              <w:rPr>
                <w:sz w:val="17"/>
              </w:rPr>
              <w:t>Zone</w:t>
            </w:r>
          </w:p>
        </w:tc>
        <w:tc>
          <w:tcPr>
            <w:tcW w:type="dxa" w:w="8031"/>
          </w:tcPr>
          <w:p>
            <w:pPr>
              <w:spacing w:after="0" w:line="240" w:lineRule="auto"/>
            </w:pPr>
            <w:r>
              <w:rPr>
                <w:sz w:val="17"/>
              </w:rPr>
              <w:t>A network segment (DMZ, internal, cloud) served by its own MID Server set.</w:t>
            </w:r>
          </w:p>
        </w:tc>
      </w:tr>
      <w:tr>
        <w:trPr>
          <w:cantSplit w:val="true"/>
        </w:trPr>
        <w:tc>
          <w:tcPr>
            <w:tcW w:type="dxa" w:w="1606"/>
            <w:shd w:val="clear" w:color="auto" w:fill="F3F6F8"/>
          </w:tcPr>
          <w:p>
            <w:pPr>
              <w:spacing w:after="0" w:line="240" w:lineRule="auto"/>
            </w:pPr>
            <w:r>
              <w:rPr>
                <w:sz w:val="17"/>
              </w:rPr>
              <w:t>JIT credential</w:t>
            </w:r>
          </w:p>
        </w:tc>
        <w:tc>
          <w:tcPr>
            <w:tcW w:type="dxa" w:w="8031"/>
            <w:shd w:val="clear" w:color="auto" w:fill="F3F6F8"/>
          </w:tcPr>
          <w:p>
            <w:pPr>
              <w:spacing w:after="0" w:line="240" w:lineRule="auto"/>
            </w:pPr>
            <w:r>
              <w:rPr>
                <w:sz w:val="17"/>
              </w:rPr>
              <w:t>Credential fetched from the vault just in time, short-lived and automatically revoked.</w:t>
            </w:r>
          </w:p>
        </w:tc>
      </w:tr>
      <w:tr>
        <w:trPr>
          <w:cantSplit w:val="true"/>
        </w:trPr>
        <w:tc>
          <w:tcPr>
            <w:tcW w:type="dxa" w:w="1606"/>
          </w:tcPr>
          <w:p>
            <w:pPr>
              <w:spacing w:after="0" w:line="240" w:lineRule="auto"/>
            </w:pPr>
            <w:r>
              <w:rPr>
                <w:sz w:val="17"/>
              </w:rPr>
              <w:t>DCV</w:t>
            </w:r>
          </w:p>
        </w:tc>
        <w:tc>
          <w:tcPr>
            <w:tcW w:type="dxa" w:w="8031"/>
          </w:tcPr>
          <w:p>
            <w:pPr>
              <w:spacing w:after="0" w:line="240" w:lineRule="auto"/>
            </w:pPr>
            <w:r>
              <w:rPr>
                <w:sz w:val="17"/>
              </w:rPr>
              <w:t>Domain control validation performed by the CA before it issues a public TLS certificate.</w:t>
            </w:r>
          </w:p>
        </w:tc>
      </w:tr>
      <w:tr>
        <w:trPr>
          <w:cantSplit w:val="true"/>
        </w:trPr>
        <w:tc>
          <w:tcPr>
            <w:tcW w:type="dxa" w:w="1606"/>
            <w:shd w:val="clear" w:color="auto" w:fill="F3F6F8"/>
          </w:tcPr>
          <w:p>
            <w:pPr>
              <w:spacing w:after="0" w:line="240" w:lineRule="auto"/>
            </w:pPr>
            <w:r>
              <w:rPr>
                <w:sz w:val="17"/>
              </w:rPr>
              <w:t>MDM</w:t>
            </w:r>
          </w:p>
        </w:tc>
        <w:tc>
          <w:tcPr>
            <w:tcW w:type="dxa" w:w="8031"/>
            <w:shd w:val="clear" w:color="auto" w:fill="F3F6F8"/>
          </w:tcPr>
          <w:p>
            <w:pPr>
              <w:spacing w:after="0" w:line="240" w:lineRule="auto"/>
            </w:pPr>
            <w:r>
              <w:rPr>
                <w:sz w:val="17"/>
              </w:rPr>
              <w:t>Mobile device management (Intune, Jamf and so on); the only supported way to deliver certificates to iOS and iPadOS devices.</w:t>
            </w:r>
          </w:p>
        </w:tc>
      </w:tr>
      <w:tr>
        <w:trPr>
          <w:cantSplit w:val="true"/>
        </w:trPr>
        <w:tc>
          <w:tcPr>
            <w:tcW w:type="dxa" w:w="1606"/>
          </w:tcPr>
          <w:p>
            <w:pPr>
              <w:spacing w:after="0" w:line="240" w:lineRule="auto"/>
            </w:pPr>
            <w:r>
              <w:rPr>
                <w:sz w:val="17"/>
              </w:rPr>
              <w:t>VIP</w:t>
            </w:r>
          </w:p>
        </w:tc>
        <w:tc>
          <w:tcPr>
            <w:tcW w:type="dxa" w:w="8031"/>
          </w:tcPr>
          <w:p>
            <w:pPr>
              <w:spacing w:after="0" w:line="240" w:lineRule="auto"/>
            </w:pPr>
            <w:r>
              <w:rPr>
                <w:sz w:val="17"/>
              </w:rPr>
              <w:t>Virtual IP address presented by a load balancer or cluster in front of several nodes.</w:t>
            </w:r>
          </w:p>
        </w:tc>
      </w:tr>
      <w:tr>
        <w:trPr>
          <w:cantSplit w:val="true"/>
        </w:trPr>
        <w:tc>
          <w:tcPr>
            <w:tcW w:type="dxa" w:w="1606"/>
            <w:shd w:val="clear" w:color="auto" w:fill="F3F6F8"/>
          </w:tcPr>
          <w:p>
            <w:pPr>
              <w:spacing w:after="0" w:line="240" w:lineRule="auto"/>
            </w:pPr>
            <w:r>
              <w:rPr>
                <w:sz w:val="17"/>
              </w:rPr>
              <w:t>SAN</w:t>
            </w:r>
          </w:p>
        </w:tc>
        <w:tc>
          <w:tcPr>
            <w:tcW w:type="dxa" w:w="8031"/>
            <w:shd w:val="clear" w:color="auto" w:fill="F3F6F8"/>
          </w:tcPr>
          <w:p>
            <w:pPr>
              <w:spacing w:after="0" w:line="240" w:lineRule="auto"/>
            </w:pPr>
            <w:r>
              <w:rPr>
                <w:sz w:val="17"/>
              </w:rPr>
              <w:t>Subject Alternative Name: the DNS names or IPs a certificate is valid for.</w:t>
            </w:r>
          </w:p>
        </w:tc>
      </w:tr>
      <w:tr>
        <w:trPr>
          <w:cantSplit w:val="true"/>
        </w:trPr>
        <w:tc>
          <w:tcPr>
            <w:tcW w:type="dxa" w:w="1606"/>
          </w:tcPr>
          <w:p>
            <w:pPr>
              <w:spacing w:after="0" w:line="240" w:lineRule="auto"/>
            </w:pPr>
            <w:r>
              <w:rPr>
                <w:sz w:val="17"/>
              </w:rPr>
              <w:t>PDI</w:t>
            </w:r>
          </w:p>
        </w:tc>
        <w:tc>
          <w:tcPr>
            <w:tcW w:type="dxa" w:w="8031"/>
          </w:tcPr>
          <w:p>
            <w:pPr>
              <w:spacing w:after="0" w:line="240" w:lineRule="auto"/>
            </w:pPr>
            <w:r>
              <w:rPr>
                <w:sz w:val="17"/>
              </w:rPr>
              <w:t>ServiceNow Personal Developer Instance used for the POC.</w:t>
            </w:r>
          </w:p>
        </w:tc>
      </w:tr>
    </w:tbl>
    <w:p>
      <w:pPr>
        <w:spacing w:after="40"/>
      </w:pPr>
    </w:p>
    <w:p>
      <w:pPr>
        <w:pStyle w:val="Heading1"/>
        <w:pBdr>
          <w:bottom w:val="single" w:sz="8" w:space="2" w:color="2E7D32"/>
        </w:pBdr>
      </w:pPr>
      <w:r>
        <w:t>2. Analysis of the POC folder</w:t>
      </w:r>
    </w:p>
    <w:p>
      <w:pPr>
        <w:pStyle w:val="Heading2"/>
      </w:pPr>
      <w:r>
        <w:t>2.1 What was found</w:t>
      </w:r>
    </w:p>
    <w:p>
      <w:r>
        <w:t>The folder C:\Users\riyaa\Downloads\POC contains six items. All were read; the three images were read visually.</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467"/>
            <w:shd w:val="clear" w:color="auto" w:fill="1F2D3D"/>
          </w:tcPr>
          <w:p>
            <w:pPr>
              <w:spacing w:after="0"/>
            </w:pPr>
            <w:r>
              <w:rPr>
                <w:b/>
                <w:color w:val="FFFFFF"/>
                <w:sz w:val="17"/>
              </w:rPr>
              <w:t>File</w:t>
            </w:r>
          </w:p>
        </w:tc>
        <w:tc>
          <w:tcPr>
            <w:tcW w:type="dxa" w:w="5447"/>
            <w:shd w:val="clear" w:color="auto" w:fill="1F2D3D"/>
          </w:tcPr>
          <w:p>
            <w:pPr>
              <w:spacing w:after="0"/>
            </w:pPr>
            <w:r>
              <w:rPr>
                <w:b/>
                <w:color w:val="FFFFFF"/>
                <w:sz w:val="17"/>
              </w:rPr>
              <w:t>What it contains</w:t>
            </w:r>
          </w:p>
        </w:tc>
        <w:tc>
          <w:tcPr>
            <w:tcW w:type="dxa" w:w="2724"/>
            <w:shd w:val="clear" w:color="auto" w:fill="1F2D3D"/>
          </w:tcPr>
          <w:p>
            <w:pPr>
              <w:spacing w:after="0"/>
            </w:pPr>
            <w:r>
              <w:rPr>
                <w:b/>
                <w:color w:val="FFFFFF"/>
                <w:sz w:val="17"/>
              </w:rPr>
              <w:t>How it is used here</w:t>
            </w:r>
          </w:p>
        </w:tc>
      </w:tr>
      <w:tr>
        <w:trPr>
          <w:cantSplit w:val="true"/>
        </w:trPr>
        <w:tc>
          <w:tcPr>
            <w:tcW w:type="dxa" w:w="1467"/>
          </w:tcPr>
          <w:p>
            <w:pPr>
              <w:spacing w:after="0" w:line="240" w:lineRule="auto"/>
            </w:pPr>
            <w:r>
              <w:rPr>
                <w:sz w:val="17"/>
              </w:rPr>
              <w:t>Promp.md.txt</w:t>
            </w:r>
          </w:p>
        </w:tc>
        <w:tc>
          <w:tcPr>
            <w:tcW w:type="dxa" w:w="5447"/>
          </w:tcPr>
          <w:p>
            <w:pPr>
              <w:spacing w:after="0" w:line="240" w:lineRule="auto"/>
            </w:pPr>
            <w:r>
              <w:rPr>
                <w:sz w:val="17"/>
              </w:rPr>
              <w:t>The original POC plan: a single Windows laptop simulates two environments (Windows certificate store and a mock Linux folder). ServiceNow PDI, MID Server, WinRM, a Sectigo REST Message, and a Flow Designer flow with an If / Else If fork on a flow variable (Windows or RHEL). Includes the Windows and Linux-simulator PowerShell scripts and the prerequisites (Java 17, WinRM, folders, MID download).</w:t>
            </w:r>
          </w:p>
        </w:tc>
        <w:tc>
          <w:tcPr>
            <w:tcW w:type="dxa" w:w="2724"/>
          </w:tcPr>
          <w:p>
            <w:pPr>
              <w:spacing w:after="0" w:line="240" w:lineRule="auto"/>
            </w:pPr>
            <w:r>
              <w:rPr>
                <w:sz w:val="17"/>
              </w:rPr>
              <w:t>Source of the functional baseline and the POC scope (PLAN).</w:t>
            </w:r>
          </w:p>
        </w:tc>
      </w:tr>
      <w:tr>
        <w:trPr>
          <w:cantSplit w:val="true"/>
        </w:trPr>
        <w:tc>
          <w:tcPr>
            <w:tcW w:type="dxa" w:w="1467"/>
            <w:shd w:val="clear" w:color="auto" w:fill="F3F6F8"/>
          </w:tcPr>
          <w:p>
            <w:pPr>
              <w:spacing w:after="0" w:line="240" w:lineRule="auto"/>
            </w:pPr>
            <w:r>
              <w:rPr>
                <w:sz w:val="17"/>
              </w:rPr>
              <w:t>POC_SETUP_STATUS.md</w:t>
            </w:r>
          </w:p>
        </w:tc>
        <w:tc>
          <w:tcPr>
            <w:tcW w:type="dxa" w:w="5447"/>
            <w:shd w:val="clear" w:color="auto" w:fill="F3F6F8"/>
          </w:tcPr>
          <w:p>
            <w:pPr>
              <w:spacing w:after="0" w:line="240" w:lineRule="auto"/>
            </w:pPr>
            <w:r>
              <w:rPr>
                <w:sz w:val="17"/>
              </w:rPr>
              <w:t>Result of the local setup run on 2026-07-27: Java 17 installed, WinRM on 5985 with Basic and AllowUnencrypted enabled, network profile set to Private, folders created, URL ACL for http://+:8080/sectigo/. Manual steps left: create the PDI, download the MID Server, supply the Windows password.</w:t>
            </w:r>
          </w:p>
        </w:tc>
        <w:tc>
          <w:tcPr>
            <w:tcW w:type="dxa" w:w="2724"/>
            <w:shd w:val="clear" w:color="auto" w:fill="F3F6F8"/>
          </w:tcPr>
          <w:p>
            <w:pPr>
              <w:spacing w:after="0" w:line="240" w:lineRule="auto"/>
            </w:pPr>
            <w:r>
              <w:rPr>
                <w:sz w:val="17"/>
              </w:rPr>
              <w:t>Current environment state and POC-only shortcuts to remove (SETUP).</w:t>
            </w:r>
          </w:p>
        </w:tc>
      </w:tr>
      <w:tr>
        <w:trPr>
          <w:cantSplit w:val="true"/>
        </w:trPr>
        <w:tc>
          <w:tcPr>
            <w:tcW w:type="dxa" w:w="1467"/>
          </w:tcPr>
          <w:p>
            <w:pPr>
              <w:spacing w:after="0" w:line="240" w:lineRule="auto"/>
            </w:pPr>
            <w:r>
              <w:rPr>
                <w:sz w:val="17"/>
              </w:rPr>
              <w:t>mock_sectigo.ps1</w:t>
            </w:r>
          </w:p>
        </w:tc>
        <w:tc>
          <w:tcPr>
            <w:tcW w:type="dxa" w:w="5447"/>
          </w:tcPr>
          <w:p>
            <w:pPr>
              <w:spacing w:after="0" w:line="240" w:lineRule="auto"/>
            </w:pPr>
            <w:r>
              <w:rPr>
                <w:sz w:val="17"/>
              </w:rPr>
              <w:t>A PowerShell HttpListener on http://localhost:8080/sectigo/ that answers every request with a fixed, fake certificate string.</w:t>
            </w:r>
          </w:p>
        </w:tc>
        <w:tc>
          <w:tcPr>
            <w:tcW w:type="dxa" w:w="2724"/>
          </w:tcPr>
          <w:p>
            <w:pPr>
              <w:spacing w:after="0" w:line="240" w:lineRule="auto"/>
            </w:pPr>
            <w:r>
              <w:rPr>
                <w:sz w:val="17"/>
              </w:rPr>
              <w:t>Basis for the test-CA requirement and finding G1 (MOCK).</w:t>
            </w:r>
          </w:p>
        </w:tc>
      </w:tr>
      <w:tr>
        <w:trPr>
          <w:cantSplit w:val="true"/>
        </w:trPr>
        <w:tc>
          <w:tcPr>
            <w:tcW w:type="dxa" w:w="1467"/>
            <w:shd w:val="clear" w:color="auto" w:fill="F3F6F8"/>
          </w:tcPr>
          <w:p>
            <w:pPr>
              <w:spacing w:after="0" w:line="240" w:lineRule="auto"/>
            </w:pPr>
            <w:r>
              <w:rPr>
                <w:sz w:val="17"/>
              </w:rPr>
              <w:t>data1.jpeg</w:t>
            </w:r>
          </w:p>
        </w:tc>
        <w:tc>
          <w:tcPr>
            <w:tcW w:type="dxa" w:w="5447"/>
            <w:shd w:val="clear" w:color="auto" w:fill="F3F6F8"/>
          </w:tcPr>
          <w:p>
            <w:pPr>
              <w:spacing w:after="0" w:line="240" w:lineRule="auto"/>
            </w:pPr>
            <w:r>
              <w:rPr>
                <w:sz w:val="17"/>
              </w:rPr>
              <w:t>Screenshot of AI-assistant guidance: discovery versus deployment; MID Servers give network-local execution but not automatic access to every server; endpoint discovery needs no login while host-level discovery needs credentials; deployment is a separate, higher-privilege function; strongest design is ServiceNow/Sectigo orchestration plus vault-controlled credentials, zone-specific MID Servers and separate adapters for IIS, Linux, Java, F5, Kubernetes and others. The last bullet is cut off at the bottom of the screenshot and starts "For systems that cannot safely support automated deployment, the same workflow should create and ...".</w:t>
            </w:r>
          </w:p>
        </w:tc>
        <w:tc>
          <w:tcPr>
            <w:tcW w:type="dxa" w:w="2724"/>
            <w:shd w:val="clear" w:color="auto" w:fill="F3F6F8"/>
          </w:tcPr>
          <w:p>
            <w:pPr>
              <w:spacing w:after="0" w:line="240" w:lineRule="auto"/>
            </w:pPr>
            <w:r>
              <w:rPr>
                <w:sz w:val="17"/>
              </w:rPr>
              <w:t>Architecture principles (D1). The cut-off text is treated as "create and assign a manual task"; see question Q13.</w:t>
            </w:r>
          </w:p>
        </w:tc>
      </w:tr>
      <w:tr>
        <w:trPr>
          <w:cantSplit w:val="true"/>
        </w:trPr>
        <w:tc>
          <w:tcPr>
            <w:tcW w:type="dxa" w:w="1467"/>
          </w:tcPr>
          <w:p>
            <w:pPr>
              <w:spacing w:after="0" w:line="240" w:lineRule="auto"/>
            </w:pPr>
            <w:r>
              <w:rPr>
                <w:sz w:val="17"/>
              </w:rPr>
              <w:t>data2.jpeg</w:t>
            </w:r>
          </w:p>
        </w:tc>
        <w:tc>
          <w:tcPr>
            <w:tcW w:type="dxa" w:w="5447"/>
          </w:tcPr>
          <w:p>
            <w:pPr>
              <w:spacing w:after="0" w:line="240" w:lineRule="auto"/>
            </w:pPr>
            <w:r>
              <w:rPr>
                <w:sz w:val="17"/>
              </w:rPr>
              <w:t>Screenshot, principles 1 to 5 (and the start of 6): discovery and deployment separation; no permanent private keys on the MID Server; vault-integrated credentials; network segmentation; high availability.</w:t>
            </w:r>
          </w:p>
        </w:tc>
        <w:tc>
          <w:tcPr>
            <w:tcW w:type="dxa" w:w="2724"/>
          </w:tcPr>
          <w:p>
            <w:pPr>
              <w:spacing w:after="0" w:line="240" w:lineRule="auto"/>
            </w:pPr>
            <w:r>
              <w:rPr>
                <w:sz w:val="17"/>
              </w:rPr>
              <w:t>Security principles (D2).</w:t>
            </w:r>
          </w:p>
        </w:tc>
      </w:tr>
      <w:tr>
        <w:trPr>
          <w:cantSplit w:val="true"/>
        </w:trPr>
        <w:tc>
          <w:tcPr>
            <w:tcW w:type="dxa" w:w="1467"/>
            <w:shd w:val="clear" w:color="auto" w:fill="F3F6F8"/>
          </w:tcPr>
          <w:p>
            <w:pPr>
              <w:spacing w:after="0" w:line="240" w:lineRule="auto"/>
            </w:pPr>
            <w:r>
              <w:rPr>
                <w:sz w:val="17"/>
              </w:rPr>
              <w:t>data3.jpeg</w:t>
            </w:r>
          </w:p>
        </w:tc>
        <w:tc>
          <w:tcPr>
            <w:tcW w:type="dxa" w:w="5447"/>
            <w:shd w:val="clear" w:color="auto" w:fill="F3F6F8"/>
          </w:tcPr>
          <w:p>
            <w:pPr>
              <w:spacing w:after="0" w:line="240" w:lineRule="auto"/>
            </w:pPr>
            <w:r>
              <w:rPr>
                <w:sz w:val="17"/>
              </w:rPr>
              <w:t>Screenshot, principles 6 to 9: technology allow-listing; pre-check and rollback; post-deployment verification; cluster awareness.</w:t>
            </w:r>
          </w:p>
        </w:tc>
        <w:tc>
          <w:tcPr>
            <w:tcW w:type="dxa" w:w="2724"/>
            <w:shd w:val="clear" w:color="auto" w:fill="F3F6F8"/>
          </w:tcPr>
          <w:p>
            <w:pPr>
              <w:spacing w:after="0" w:line="240" w:lineRule="auto"/>
            </w:pPr>
            <w:r>
              <w:rPr>
                <w:sz w:val="17"/>
              </w:rPr>
              <w:t>Safety principles (D3). The screenshot ends at item 9; more items may follow (Q13).</w:t>
            </w:r>
          </w:p>
        </w:tc>
      </w:tr>
    </w:tbl>
    <w:p>
      <w:pPr>
        <w:spacing w:after="40"/>
      </w:pPr>
    </w:p>
    <w:tbl>
      <w:tblPr>
        <w:tblW w:type="auto" w:w="0"/>
        <w:jc w:val="center"/>
        <w:tblLayout w:type="fixed"/>
        <w:tblLook w:firstColumn="1" w:firstRow="1" w:lastColumn="0" w:lastRow="0" w:noHBand="0" w:noVBand="1" w:val="04A0"/>
        <w:tblBorders>
          <w:top w:val="single" w:sz="4" w:space="0" w:color="90CAF9"/>
          <w:left w:val="single" w:sz="4" w:space="0" w:color="90CAF9"/>
          <w:bottom w:val="single" w:sz="4" w:space="0" w:color="90CAF9"/>
          <w:right w:val="single" w:sz="4" w:space="0" w:color="90CAF9"/>
          <w:insideH w:val="single" w:sz="4" w:space="0" w:color="90CAF9"/>
          <w:insideV w:val="single" w:sz="4" w:space="0" w:color="90CAF9"/>
        </w:tblBorders>
        <w:tblCellMar>
          <w:top w:w="80" w:type="dxa"/>
          <w:left w:w="140" w:type="dxa"/>
          <w:bottom w:w="80" w:type="dxa"/>
          <w:right w:w="140" w:type="dxa"/>
        </w:tblCellMar>
      </w:tblPr>
      <w:tblGrid>
        <w:gridCol w:w="9638"/>
      </w:tblGrid>
      <w:tr>
        <w:trPr>
          <w:cantSplit w:val="true"/>
        </w:trPr>
        <w:tc>
          <w:tcPr>
            <w:tcW w:type="dxa" w:w="9638"/>
            <w:shd w:val="clear" w:color="auto" w:fill="E8F1FB"/>
          </w:tcPr>
          <w:p>
            <w:pPr>
              <w:spacing w:after="0"/>
            </w:pPr>
            <w:r>
              <w:rPr>
                <w:b/>
              </w:rPr>
              <w:t xml:space="preserve">Note: </w:t>
            </w:r>
            <w:r>
              <w:t>The screenshots are guidance from an AI assistant, not a standard. Each principle was checked against common PKI and ServiceNow practice before it became a requirement.</w:t>
            </w:r>
          </w:p>
        </w:tc>
      </w:tr>
    </w:tbl>
    <w:p>
      <w:pPr>
        <w:spacing w:after="40"/>
      </w:pPr>
    </w:p>
    <w:p>
      <w:pPr>
        <w:pStyle w:val="Heading2"/>
      </w:pPr>
      <w:r>
        <w:t>2.2 What the POC does today</w:t>
      </w:r>
    </w:p>
    <w:p>
      <w:r>
        <w:t>The POC proves one idea: one flow, fetch a certificate from a CA-like API through the MID Server, then route by a technology value to a technology-specific script. The Windows branch writes the payload to C:\temp\cert_stage and runs Import-Certificate into Cert:\LocalMachine\My. The RHEL branch writes app_server.crt into a mock folder. See Figure 1.</w:t>
      </w:r>
    </w:p>
    <w:p>
      <w:pPr>
        <w:pStyle w:val="Heading2"/>
      </w:pPr>
      <w:r>
        <w:t>2.3 Design principles taken from the screenshots</w:t>
      </w:r>
    </w:p>
    <w:p>
      <w:r>
        <w:t>Nine principles come from data2.jpeg and data3.jpeg, plus the discovery, credential and manual-fallback ideas from data1.jpeg. The table shows where each one lands in this specification.</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448"/>
            <w:shd w:val="clear" w:color="auto" w:fill="1F2D3D"/>
          </w:tcPr>
          <w:p>
            <w:pPr>
              <w:spacing w:after="0"/>
            </w:pPr>
            <w:r>
              <w:rPr>
                <w:b/>
                <w:color w:val="FFFFFF"/>
                <w:sz w:val="17"/>
              </w:rPr>
              <w:t>#</w:t>
            </w:r>
          </w:p>
        </w:tc>
        <w:tc>
          <w:tcPr>
            <w:tcW w:type="dxa" w:w="5828"/>
            <w:shd w:val="clear" w:color="auto" w:fill="1F2D3D"/>
          </w:tcPr>
          <w:p>
            <w:pPr>
              <w:spacing w:after="0"/>
            </w:pPr>
            <w:r>
              <w:rPr>
                <w:b/>
                <w:color w:val="FFFFFF"/>
                <w:sz w:val="17"/>
              </w:rPr>
              <w:t>Principle (source)</w:t>
            </w:r>
          </w:p>
        </w:tc>
        <w:tc>
          <w:tcPr>
            <w:tcW w:type="dxa" w:w="3362"/>
            <w:shd w:val="clear" w:color="auto" w:fill="1F2D3D"/>
          </w:tcPr>
          <w:p>
            <w:pPr>
              <w:spacing w:after="0"/>
            </w:pPr>
            <w:r>
              <w:rPr>
                <w:b/>
                <w:color w:val="FFFFFF"/>
                <w:sz w:val="17"/>
              </w:rPr>
              <w:t>Where it is specified</w:t>
            </w:r>
          </w:p>
        </w:tc>
      </w:tr>
      <w:tr>
        <w:trPr>
          <w:cantSplit w:val="true"/>
        </w:trPr>
        <w:tc>
          <w:tcPr>
            <w:tcW w:type="dxa" w:w="448"/>
          </w:tcPr>
          <w:p>
            <w:pPr>
              <w:spacing w:after="0" w:line="240" w:lineRule="auto"/>
            </w:pPr>
            <w:r>
              <w:rPr>
                <w:sz w:val="17"/>
              </w:rPr>
              <w:t>1</w:t>
            </w:r>
          </w:p>
        </w:tc>
        <w:tc>
          <w:tcPr>
            <w:tcW w:type="dxa" w:w="5828"/>
          </w:tcPr>
          <w:p>
            <w:pPr>
              <w:spacing w:after="0" w:line="240" w:lineRule="auto"/>
            </w:pPr>
            <w:r>
              <w:rPr>
                <w:sz w:val="17"/>
              </w:rPr>
              <w:t>Discovery and deployment separation: different credentials, roles and workflow permissions (D1, D2)</w:t>
            </w:r>
          </w:p>
        </w:tc>
        <w:tc>
          <w:tcPr>
            <w:tcW w:type="dxa" w:w="3362"/>
          </w:tcPr>
          <w:p>
            <w:pPr>
              <w:spacing w:after="0" w:line="240" w:lineRule="auto"/>
            </w:pPr>
            <w:r>
              <w:rPr>
                <w:sz w:val="17"/>
              </w:rPr>
              <w:t>FR-INV-006, FR-ADM-001, NFR-SEC-04, Figure 4</w:t>
            </w:r>
          </w:p>
        </w:tc>
      </w:tr>
      <w:tr>
        <w:trPr>
          <w:cantSplit w:val="true"/>
        </w:trPr>
        <w:tc>
          <w:tcPr>
            <w:tcW w:type="dxa" w:w="448"/>
            <w:shd w:val="clear" w:color="auto" w:fill="F3F6F8"/>
          </w:tcPr>
          <w:p>
            <w:pPr>
              <w:spacing w:after="0" w:line="240" w:lineRule="auto"/>
            </w:pPr>
            <w:r>
              <w:rPr>
                <w:sz w:val="17"/>
              </w:rPr>
              <w:t>2</w:t>
            </w:r>
          </w:p>
        </w:tc>
        <w:tc>
          <w:tcPr>
            <w:tcW w:type="dxa" w:w="5828"/>
            <w:shd w:val="clear" w:color="auto" w:fill="F3F6F8"/>
          </w:tcPr>
          <w:p>
            <w:pPr>
              <w:spacing w:after="0" w:line="240" w:lineRule="auto"/>
            </w:pPr>
            <w:r>
              <w:rPr>
                <w:sz w:val="17"/>
              </w:rPr>
              <w:t>No permanent private keys on the MID Server; encrypted temporary storage only where unavoidable, then secure clean-up (D2)</w:t>
            </w:r>
          </w:p>
        </w:tc>
        <w:tc>
          <w:tcPr>
            <w:tcW w:type="dxa" w:w="3362"/>
            <w:shd w:val="clear" w:color="auto" w:fill="F3F6F8"/>
          </w:tcPr>
          <w:p>
            <w:pPr>
              <w:spacing w:after="0" w:line="240" w:lineRule="auto"/>
            </w:pPr>
            <w:r>
              <w:rPr>
                <w:sz w:val="17"/>
              </w:rPr>
              <w:t>FR-KEY-001 to FR-KEY-003, FR-SAF-008, NFR-SEC-05</w:t>
            </w:r>
          </w:p>
        </w:tc>
      </w:tr>
      <w:tr>
        <w:trPr>
          <w:cantSplit w:val="true"/>
        </w:trPr>
        <w:tc>
          <w:tcPr>
            <w:tcW w:type="dxa" w:w="448"/>
          </w:tcPr>
          <w:p>
            <w:pPr>
              <w:spacing w:after="0" w:line="240" w:lineRule="auto"/>
            </w:pPr>
            <w:r>
              <w:rPr>
                <w:sz w:val="17"/>
              </w:rPr>
              <w:t>3</w:t>
            </w:r>
          </w:p>
        </w:tc>
        <w:tc>
          <w:tcPr>
            <w:tcW w:type="dxa" w:w="5828"/>
          </w:tcPr>
          <w:p>
            <w:pPr>
              <w:spacing w:after="0" w:line="240" w:lineRule="auto"/>
            </w:pPr>
            <w:r>
              <w:rPr>
                <w:sz w:val="17"/>
              </w:rPr>
              <w:t>Vault-integrated credentials; nothing embedded in scripts, workflow variables or config files (D2)</w:t>
            </w:r>
          </w:p>
        </w:tc>
        <w:tc>
          <w:tcPr>
            <w:tcW w:type="dxa" w:w="3362"/>
          </w:tcPr>
          <w:p>
            <w:pPr>
              <w:spacing w:after="0" w:line="240" w:lineRule="auto"/>
            </w:pPr>
            <w:r>
              <w:rPr>
                <w:sz w:val="17"/>
              </w:rPr>
              <w:t>FR-CA-003, NFR-SEC-01, NFR-SEC-04</w:t>
            </w:r>
          </w:p>
        </w:tc>
      </w:tr>
      <w:tr>
        <w:trPr>
          <w:cantSplit w:val="true"/>
        </w:trPr>
        <w:tc>
          <w:tcPr>
            <w:tcW w:type="dxa" w:w="448"/>
            <w:shd w:val="clear" w:color="auto" w:fill="F3F6F8"/>
          </w:tcPr>
          <w:p>
            <w:pPr>
              <w:spacing w:after="0" w:line="240" w:lineRule="auto"/>
            </w:pPr>
            <w:r>
              <w:rPr>
                <w:sz w:val="17"/>
              </w:rPr>
              <w:t>4</w:t>
            </w:r>
          </w:p>
        </w:tc>
        <w:tc>
          <w:tcPr>
            <w:tcW w:type="dxa" w:w="5828"/>
            <w:shd w:val="clear" w:color="auto" w:fill="F3F6F8"/>
          </w:tcPr>
          <w:p>
            <w:pPr>
              <w:spacing w:after="0" w:line="240" w:lineRule="auto"/>
            </w:pPr>
            <w:r>
              <w:rPr>
                <w:sz w:val="17"/>
              </w:rPr>
              <w:t>Network segmentation: MID Servers per zone, not one server opened to the whole estate (D2)</w:t>
            </w:r>
          </w:p>
        </w:tc>
        <w:tc>
          <w:tcPr>
            <w:tcW w:type="dxa" w:w="3362"/>
            <w:shd w:val="clear" w:color="auto" w:fill="F3F6F8"/>
          </w:tcPr>
          <w:p>
            <w:pPr>
              <w:spacing w:after="0" w:line="240" w:lineRule="auto"/>
            </w:pPr>
            <w:r>
              <w:rPr>
                <w:sz w:val="17"/>
              </w:rPr>
              <w:t>FR-ORC-004, NFR-SEC-02, Figure 4</w:t>
            </w:r>
          </w:p>
        </w:tc>
      </w:tr>
      <w:tr>
        <w:trPr>
          <w:cantSplit w:val="true"/>
        </w:trPr>
        <w:tc>
          <w:tcPr>
            <w:tcW w:type="dxa" w:w="448"/>
          </w:tcPr>
          <w:p>
            <w:pPr>
              <w:spacing w:after="0" w:line="240" w:lineRule="auto"/>
            </w:pPr>
            <w:r>
              <w:rPr>
                <w:sz w:val="17"/>
              </w:rPr>
              <w:t>5</w:t>
            </w:r>
          </w:p>
        </w:tc>
        <w:tc>
          <w:tcPr>
            <w:tcW w:type="dxa" w:w="5828"/>
          </w:tcPr>
          <w:p>
            <w:pPr>
              <w:spacing w:after="0" w:line="240" w:lineRule="auto"/>
            </w:pPr>
            <w:r>
              <w:rPr>
                <w:sz w:val="17"/>
              </w:rPr>
              <w:t>High availability: more than one MID Server where deployment is critical (D2)</w:t>
            </w:r>
          </w:p>
        </w:tc>
        <w:tc>
          <w:tcPr>
            <w:tcW w:type="dxa" w:w="3362"/>
          </w:tcPr>
          <w:p>
            <w:pPr>
              <w:spacing w:after="0" w:line="240" w:lineRule="auto"/>
            </w:pPr>
            <w:r>
              <w:rPr>
                <w:sz w:val="17"/>
              </w:rPr>
              <w:t>NFR-AVL-01, NFR-AVL-02, FR-ADM-006</w:t>
            </w:r>
          </w:p>
        </w:tc>
      </w:tr>
      <w:tr>
        <w:trPr>
          <w:cantSplit w:val="true"/>
        </w:trPr>
        <w:tc>
          <w:tcPr>
            <w:tcW w:type="dxa" w:w="448"/>
            <w:shd w:val="clear" w:color="auto" w:fill="F3F6F8"/>
          </w:tcPr>
          <w:p>
            <w:pPr>
              <w:spacing w:after="0" w:line="240" w:lineRule="auto"/>
            </w:pPr>
            <w:r>
              <w:rPr>
                <w:sz w:val="17"/>
              </w:rPr>
              <w:t>6</w:t>
            </w:r>
          </w:p>
        </w:tc>
        <w:tc>
          <w:tcPr>
            <w:tcW w:type="dxa" w:w="5828"/>
            <w:shd w:val="clear" w:color="auto" w:fill="F3F6F8"/>
          </w:tcPr>
          <w:p>
            <w:pPr>
              <w:spacing w:after="0" w:line="240" w:lineRule="auto"/>
            </w:pPr>
            <w:r>
              <w:rPr>
                <w:sz w:val="17"/>
              </w:rPr>
              <w:t>Technology allow-listing: only approved, signed, version-controlled scripts and adapters run (D3)</w:t>
            </w:r>
          </w:p>
        </w:tc>
        <w:tc>
          <w:tcPr>
            <w:tcW w:type="dxa" w:w="3362"/>
            <w:shd w:val="clear" w:color="auto" w:fill="F3F6F8"/>
          </w:tcPr>
          <w:p>
            <w:pPr>
              <w:spacing w:after="0" w:line="240" w:lineRule="auto"/>
            </w:pPr>
            <w:r>
              <w:rPr>
                <w:sz w:val="17"/>
              </w:rPr>
              <w:t>FR-ADP-002 to FR-ADP-005, NFR-SEC-03</w:t>
            </w:r>
          </w:p>
        </w:tc>
      </w:tr>
      <w:tr>
        <w:trPr>
          <w:cantSplit w:val="true"/>
        </w:trPr>
        <w:tc>
          <w:tcPr>
            <w:tcW w:type="dxa" w:w="448"/>
          </w:tcPr>
          <w:p>
            <w:pPr>
              <w:spacing w:after="0" w:line="240" w:lineRule="auto"/>
            </w:pPr>
            <w:r>
              <w:rPr>
                <w:sz w:val="17"/>
              </w:rPr>
              <w:t>7</w:t>
            </w:r>
          </w:p>
        </w:tc>
        <w:tc>
          <w:tcPr>
            <w:tcW w:type="dxa" w:w="5828"/>
          </w:tcPr>
          <w:p>
            <w:pPr>
              <w:spacing w:after="0" w:line="240" w:lineRule="auto"/>
            </w:pPr>
            <w:r>
              <w:rPr>
                <w:sz w:val="17"/>
              </w:rPr>
              <w:t>Pre-check and rollback: capture the current certificate and configuration before replacement (D3)</w:t>
            </w:r>
          </w:p>
        </w:tc>
        <w:tc>
          <w:tcPr>
            <w:tcW w:type="dxa" w:w="3362"/>
          </w:tcPr>
          <w:p>
            <w:pPr>
              <w:spacing w:after="0" w:line="240" w:lineRule="auto"/>
            </w:pPr>
            <w:r>
              <w:rPr>
                <w:sz w:val="17"/>
              </w:rPr>
              <w:t>FR-SAF-001 to FR-SAF-003</w:t>
            </w:r>
          </w:p>
        </w:tc>
      </w:tr>
      <w:tr>
        <w:trPr>
          <w:cantSplit w:val="true"/>
        </w:trPr>
        <w:tc>
          <w:tcPr>
            <w:tcW w:type="dxa" w:w="448"/>
            <w:shd w:val="clear" w:color="auto" w:fill="F3F6F8"/>
          </w:tcPr>
          <w:p>
            <w:pPr>
              <w:spacing w:after="0" w:line="240" w:lineRule="auto"/>
            </w:pPr>
            <w:r>
              <w:rPr>
                <w:sz w:val="17"/>
              </w:rPr>
              <w:t>8</w:t>
            </w:r>
          </w:p>
        </w:tc>
        <w:tc>
          <w:tcPr>
            <w:tcW w:type="dxa" w:w="5828"/>
            <w:shd w:val="clear" w:color="auto" w:fill="F3F6F8"/>
          </w:tcPr>
          <w:p>
            <w:pPr>
              <w:spacing w:after="0" w:line="240" w:lineRule="auto"/>
            </w:pPr>
            <w:r>
              <w:rPr>
                <w:sz w:val="17"/>
              </w:rPr>
              <w:t>Post-deployment verification: SAN, chain, expiry and thumbprint at the live endpoint (D3)</w:t>
            </w:r>
          </w:p>
        </w:tc>
        <w:tc>
          <w:tcPr>
            <w:tcW w:type="dxa" w:w="3362"/>
            <w:shd w:val="clear" w:color="auto" w:fill="F3F6F8"/>
          </w:tcPr>
          <w:p>
            <w:pPr>
              <w:spacing w:after="0" w:line="240" w:lineRule="auto"/>
            </w:pPr>
            <w:r>
              <w:rPr>
                <w:sz w:val="17"/>
              </w:rPr>
              <w:t>FR-SAF-004, FR-SAF-005</w:t>
            </w:r>
          </w:p>
        </w:tc>
      </w:tr>
      <w:tr>
        <w:trPr>
          <w:cantSplit w:val="true"/>
        </w:trPr>
        <w:tc>
          <w:tcPr>
            <w:tcW w:type="dxa" w:w="448"/>
          </w:tcPr>
          <w:p>
            <w:pPr>
              <w:spacing w:after="0" w:line="240" w:lineRule="auto"/>
            </w:pPr>
            <w:r>
              <w:rPr>
                <w:sz w:val="17"/>
              </w:rPr>
              <w:t>9</w:t>
            </w:r>
          </w:p>
        </w:tc>
        <w:tc>
          <w:tcPr>
            <w:tcW w:type="dxa" w:w="5828"/>
          </w:tcPr>
          <w:p>
            <w:pPr>
              <w:spacing w:after="0" w:line="240" w:lineRule="auto"/>
            </w:pPr>
            <w:r>
              <w:rPr>
                <w:sz w:val="17"/>
              </w:rPr>
              <w:t>Cluster awareness: node by node, remove from rotation, validate each node and the VIP (D3)</w:t>
            </w:r>
          </w:p>
        </w:tc>
        <w:tc>
          <w:tcPr>
            <w:tcW w:type="dxa" w:w="3362"/>
          </w:tcPr>
          <w:p>
            <w:pPr>
              <w:spacing w:after="0" w:line="240" w:lineRule="auto"/>
            </w:pPr>
            <w:r>
              <w:rPr>
                <w:sz w:val="17"/>
              </w:rPr>
              <w:t>FR-SAF-006, FR-SAF-007, FR-ORC-009</w:t>
            </w:r>
          </w:p>
        </w:tc>
      </w:tr>
      <w:tr>
        <w:trPr>
          <w:cantSplit w:val="true"/>
        </w:trPr>
        <w:tc>
          <w:tcPr>
            <w:tcW w:type="dxa" w:w="448"/>
            <w:shd w:val="clear" w:color="auto" w:fill="F3F6F8"/>
          </w:tcPr>
          <w:p>
            <w:pPr>
              <w:spacing w:after="0" w:line="240" w:lineRule="auto"/>
            </w:pPr>
            <w:r>
              <w:rPr>
                <w:sz w:val="17"/>
              </w:rPr>
              <w:t>10</w:t>
            </w:r>
          </w:p>
        </w:tc>
        <w:tc>
          <w:tcPr>
            <w:tcW w:type="dxa" w:w="5828"/>
            <w:shd w:val="clear" w:color="auto" w:fill="F3F6F8"/>
          </w:tcPr>
          <w:p>
            <w:pPr>
              <w:spacing w:after="0" w:line="240" w:lineRule="auto"/>
            </w:pPr>
            <w:r>
              <w:rPr>
                <w:sz w:val="17"/>
              </w:rPr>
              <w:t>Endpoint discovery needs no login; host-level discovery needs credentials (D1)</w:t>
            </w:r>
          </w:p>
        </w:tc>
        <w:tc>
          <w:tcPr>
            <w:tcW w:type="dxa" w:w="3362"/>
            <w:shd w:val="clear" w:color="auto" w:fill="F3F6F8"/>
          </w:tcPr>
          <w:p>
            <w:pPr>
              <w:spacing w:after="0" w:line="240" w:lineRule="auto"/>
            </w:pPr>
            <w:r>
              <w:rPr>
                <w:sz w:val="17"/>
              </w:rPr>
              <w:t>FR-INV-004, FR-INV-005</w:t>
            </w:r>
          </w:p>
        </w:tc>
      </w:tr>
      <w:tr>
        <w:trPr>
          <w:cantSplit w:val="true"/>
        </w:trPr>
        <w:tc>
          <w:tcPr>
            <w:tcW w:type="dxa" w:w="448"/>
          </w:tcPr>
          <w:p>
            <w:pPr>
              <w:spacing w:after="0" w:line="240" w:lineRule="auto"/>
            </w:pPr>
            <w:r>
              <w:rPr>
                <w:sz w:val="17"/>
              </w:rPr>
              <w:t>11</w:t>
            </w:r>
          </w:p>
        </w:tc>
        <w:tc>
          <w:tcPr>
            <w:tcW w:type="dxa" w:w="5828"/>
          </w:tcPr>
          <w:p>
            <w:pPr>
              <w:spacing w:after="0" w:line="240" w:lineRule="auto"/>
            </w:pPr>
            <w:r>
              <w:rPr>
                <w:sz w:val="17"/>
              </w:rPr>
              <w:t>Separate adapters for IIS, Linux, Java, F5, Kubernetes and other platforms (D1)</w:t>
            </w:r>
          </w:p>
        </w:tc>
        <w:tc>
          <w:tcPr>
            <w:tcW w:type="dxa" w:w="3362"/>
          </w:tcPr>
          <w:p>
            <w:pPr>
              <w:spacing w:after="0" w:line="240" w:lineRule="auto"/>
            </w:pPr>
            <w:r>
              <w:rPr>
                <w:sz w:val="17"/>
              </w:rPr>
              <w:t>FR-ADP-006, chapter 6</w:t>
            </w:r>
          </w:p>
        </w:tc>
      </w:tr>
      <w:tr>
        <w:trPr>
          <w:cantSplit w:val="true"/>
        </w:trPr>
        <w:tc>
          <w:tcPr>
            <w:tcW w:type="dxa" w:w="448"/>
            <w:shd w:val="clear" w:color="auto" w:fill="F3F6F8"/>
          </w:tcPr>
          <w:p>
            <w:pPr>
              <w:spacing w:after="0" w:line="240" w:lineRule="auto"/>
            </w:pPr>
            <w:r>
              <w:rPr>
                <w:sz w:val="17"/>
              </w:rPr>
              <w:t>12</w:t>
            </w:r>
          </w:p>
        </w:tc>
        <w:tc>
          <w:tcPr>
            <w:tcW w:type="dxa" w:w="5828"/>
            <w:shd w:val="clear" w:color="auto" w:fill="F3F6F8"/>
          </w:tcPr>
          <w:p>
            <w:pPr>
              <w:spacing w:after="0" w:line="240" w:lineRule="auto"/>
            </w:pPr>
            <w:r>
              <w:rPr>
                <w:sz w:val="17"/>
              </w:rPr>
              <w:t>Manual task when a system cannot safely support automated deployment (D1, inferred)</w:t>
            </w:r>
          </w:p>
        </w:tc>
        <w:tc>
          <w:tcPr>
            <w:tcW w:type="dxa" w:w="3362"/>
            <w:shd w:val="clear" w:color="auto" w:fill="F3F6F8"/>
          </w:tcPr>
          <w:p>
            <w:pPr>
              <w:spacing w:after="0" w:line="240" w:lineRule="auto"/>
            </w:pPr>
            <w:r>
              <w:rPr>
                <w:sz w:val="17"/>
              </w:rPr>
              <w:t>FR-NTF-003, FR-NTF-004</w:t>
            </w:r>
          </w:p>
        </w:tc>
      </w:tr>
    </w:tbl>
    <w:p>
      <w:pPr>
        <w:spacing w:after="40"/>
      </w:pPr>
    </w:p>
    <w:p>
      <w:pPr>
        <w:pStyle w:val="Heading2"/>
      </w:pPr>
      <w:r>
        <w:t>2.4 Findings in the current POC</w:t>
      </w:r>
    </w:p>
    <w:p>
      <w:r>
        <w:t>These are gaps between the POC as built and a production-grade design. They are not criticisms: several are deliberate POC shortcuts. Each one is resolved by a requirement, and the POC should be adjusted so it proves the right things (chapter 11).</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2409"/>
        <w:gridCol w:w="2409"/>
        <w:gridCol w:w="2409"/>
        <w:gridCol w:w="2409"/>
      </w:tblGrid>
      <w:tr>
        <w:trPr>
          <w:tblHeader w:val="true"/>
        </w:trPr>
        <w:tc>
          <w:tcPr>
            <w:tcW w:type="dxa" w:w="448"/>
            <w:shd w:val="clear" w:color="auto" w:fill="1F2D3D"/>
          </w:tcPr>
          <w:p>
            <w:pPr>
              <w:spacing w:after="0"/>
            </w:pPr>
            <w:r>
              <w:rPr>
                <w:b/>
                <w:color w:val="FFFFFF"/>
                <w:sz w:val="17"/>
              </w:rPr>
              <w:t>ID</w:t>
            </w:r>
          </w:p>
        </w:tc>
        <w:tc>
          <w:tcPr>
            <w:tcW w:type="dxa" w:w="3362"/>
            <w:shd w:val="clear" w:color="auto" w:fill="1F2D3D"/>
          </w:tcPr>
          <w:p>
            <w:pPr>
              <w:spacing w:after="0"/>
            </w:pPr>
            <w:r>
              <w:rPr>
                <w:b/>
                <w:color w:val="FFFFFF"/>
                <w:sz w:val="17"/>
              </w:rPr>
              <w:t>Finding</w:t>
            </w:r>
          </w:p>
        </w:tc>
        <w:tc>
          <w:tcPr>
            <w:tcW w:type="dxa" w:w="4034"/>
            <w:shd w:val="clear" w:color="auto" w:fill="1F2D3D"/>
          </w:tcPr>
          <w:p>
            <w:pPr>
              <w:spacing w:after="0"/>
            </w:pPr>
            <w:r>
              <w:rPr>
                <w:b/>
                <w:color w:val="FFFFFF"/>
                <w:sz w:val="17"/>
              </w:rPr>
              <w:t>Why it matters</w:t>
            </w:r>
          </w:p>
        </w:tc>
        <w:tc>
          <w:tcPr>
            <w:tcW w:type="dxa" w:w="1793"/>
            <w:shd w:val="clear" w:color="auto" w:fill="1F2D3D"/>
          </w:tcPr>
          <w:p>
            <w:pPr>
              <w:spacing w:after="0"/>
            </w:pPr>
            <w:r>
              <w:rPr>
                <w:b/>
                <w:color w:val="FFFFFF"/>
                <w:sz w:val="17"/>
              </w:rPr>
              <w:t>Resolved by</w:t>
            </w:r>
          </w:p>
        </w:tc>
      </w:tr>
      <w:tr>
        <w:trPr>
          <w:cantSplit w:val="true"/>
        </w:trPr>
        <w:tc>
          <w:tcPr>
            <w:tcW w:type="dxa" w:w="448"/>
          </w:tcPr>
          <w:p>
            <w:pPr>
              <w:spacing w:after="0" w:line="240" w:lineRule="auto"/>
            </w:pPr>
            <w:r>
              <w:rPr>
                <w:b/>
                <w:sz w:val="17"/>
              </w:rPr>
              <w:t>G1</w:t>
            </w:r>
          </w:p>
        </w:tc>
        <w:tc>
          <w:tcPr>
            <w:tcW w:type="dxa" w:w="3362"/>
          </w:tcPr>
          <w:p>
            <w:pPr>
              <w:spacing w:after="0" w:line="240" w:lineRule="auto"/>
            </w:pPr>
            <w:r>
              <w:rPr>
                <w:sz w:val="17"/>
              </w:rPr>
              <w:t>mock_sectigo.ps1 returns a fixed string with literal backslash-n text and fake data, for any request path and method.</w:t>
            </w:r>
          </w:p>
        </w:tc>
        <w:tc>
          <w:tcPr>
            <w:tcW w:type="dxa" w:w="4034"/>
          </w:tcPr>
          <w:p>
            <w:pPr>
              <w:spacing w:after="0" w:line="240" w:lineRule="auto"/>
            </w:pPr>
            <w:r>
              <w:rPr>
                <w:sz w:val="17"/>
              </w:rPr>
              <w:t>It is not a valid PEM certificate, so Import-Certificate on the Windows branch is expected to fail. The POC cannot prove a real import until the mock issues a genuine test certificate.</w:t>
            </w:r>
          </w:p>
        </w:tc>
        <w:tc>
          <w:tcPr>
            <w:tcW w:type="dxa" w:w="1793"/>
          </w:tcPr>
          <w:p>
            <w:pPr>
              <w:spacing w:after="0" w:line="240" w:lineRule="auto"/>
            </w:pPr>
            <w:r>
              <w:rPr>
                <w:sz w:val="17"/>
              </w:rPr>
              <w:t>FR-CA-010</w:t>
            </w:r>
          </w:p>
        </w:tc>
      </w:tr>
      <w:tr>
        <w:trPr>
          <w:cantSplit w:val="true"/>
        </w:trPr>
        <w:tc>
          <w:tcPr>
            <w:tcW w:type="dxa" w:w="448"/>
            <w:shd w:val="clear" w:color="auto" w:fill="F3F6F8"/>
          </w:tcPr>
          <w:p>
            <w:pPr>
              <w:spacing w:after="0" w:line="240" w:lineRule="auto"/>
            </w:pPr>
            <w:r>
              <w:rPr>
                <w:b/>
                <w:sz w:val="17"/>
              </w:rPr>
              <w:t>G2</w:t>
            </w:r>
          </w:p>
        </w:tc>
        <w:tc>
          <w:tcPr>
            <w:tcW w:type="dxa" w:w="3362"/>
            <w:shd w:val="clear" w:color="auto" w:fill="F3F6F8"/>
          </w:tcPr>
          <w:p>
            <w:pPr>
              <w:spacing w:after="0" w:line="240" w:lineRule="auto"/>
            </w:pPr>
            <w:r>
              <w:rPr>
                <w:sz w:val="17"/>
              </w:rPr>
              <w:t>The flow only moves a public certificate. No CSR, no private key handling.</w:t>
            </w:r>
          </w:p>
        </w:tc>
        <w:tc>
          <w:tcPr>
            <w:tcW w:type="dxa" w:w="4034"/>
            <w:shd w:val="clear" w:color="auto" w:fill="F3F6F8"/>
          </w:tcPr>
          <w:p>
            <w:pPr>
              <w:spacing w:after="0" w:line="240" w:lineRule="auto"/>
            </w:pPr>
            <w:r>
              <w:rPr>
                <w:sz w:val="17"/>
              </w:rPr>
              <w:t>A certificate imported without its private key cannot serve TLS on Windows. The real lifecycle needs key generation and CSR first.</w:t>
            </w:r>
          </w:p>
        </w:tc>
        <w:tc>
          <w:tcPr>
            <w:tcW w:type="dxa" w:w="1793"/>
            <w:shd w:val="clear" w:color="auto" w:fill="F3F6F8"/>
          </w:tcPr>
          <w:p>
            <w:pPr>
              <w:spacing w:after="0" w:line="240" w:lineRule="auto"/>
            </w:pPr>
            <w:r>
              <w:rPr>
                <w:sz w:val="17"/>
              </w:rPr>
              <w:t>FR-KEY-001, AD-WIN-04, AD-WIN-05</w:t>
            </w:r>
          </w:p>
        </w:tc>
      </w:tr>
      <w:tr>
        <w:trPr>
          <w:cantSplit w:val="true"/>
        </w:trPr>
        <w:tc>
          <w:tcPr>
            <w:tcW w:type="dxa" w:w="448"/>
          </w:tcPr>
          <w:p>
            <w:pPr>
              <w:spacing w:after="0" w:line="240" w:lineRule="auto"/>
            </w:pPr>
            <w:r>
              <w:rPr>
                <w:b/>
                <w:sz w:val="17"/>
              </w:rPr>
              <w:t>G3</w:t>
            </w:r>
          </w:p>
        </w:tc>
        <w:tc>
          <w:tcPr>
            <w:tcW w:type="dxa" w:w="3362"/>
          </w:tcPr>
          <w:p>
            <w:pPr>
              <w:spacing w:after="0" w:line="240" w:lineRule="auto"/>
            </w:pPr>
            <w:r>
              <w:rPr>
                <w:sz w:val="17"/>
              </w:rPr>
              <w:t>WinRM over HTTP 5985 with Basic authentication and AllowUnencrypted set to true; network profile changed to Private.</w:t>
            </w:r>
          </w:p>
        </w:tc>
        <w:tc>
          <w:tcPr>
            <w:tcW w:type="dxa" w:w="4034"/>
          </w:tcPr>
          <w:p>
            <w:pPr>
              <w:spacing w:after="0" w:line="240" w:lineRule="auto"/>
            </w:pPr>
            <w:r>
              <w:rPr>
                <w:sz w:val="17"/>
              </w:rPr>
              <w:t>Acceptable for loopback in a POC only. In production, credentials and certificate material must never cross unencrypted transport.</w:t>
            </w:r>
          </w:p>
        </w:tc>
        <w:tc>
          <w:tcPr>
            <w:tcW w:type="dxa" w:w="1793"/>
          </w:tcPr>
          <w:p>
            <w:pPr>
              <w:spacing w:after="0" w:line="240" w:lineRule="auto"/>
            </w:pPr>
            <w:r>
              <w:rPr>
                <w:sz w:val="17"/>
              </w:rPr>
              <w:t>AD-WIN-02, NFR-SEC-01</w:t>
            </w:r>
          </w:p>
        </w:tc>
      </w:tr>
      <w:tr>
        <w:trPr>
          <w:cantSplit w:val="true"/>
        </w:trPr>
        <w:tc>
          <w:tcPr>
            <w:tcW w:type="dxa" w:w="448"/>
            <w:shd w:val="clear" w:color="auto" w:fill="F3F6F8"/>
          </w:tcPr>
          <w:p>
            <w:pPr>
              <w:spacing w:after="0" w:line="240" w:lineRule="auto"/>
            </w:pPr>
            <w:r>
              <w:rPr>
                <w:b/>
                <w:sz w:val="17"/>
              </w:rPr>
              <w:t>G4</w:t>
            </w:r>
          </w:p>
        </w:tc>
        <w:tc>
          <w:tcPr>
            <w:tcW w:type="dxa" w:w="3362"/>
            <w:shd w:val="clear" w:color="auto" w:fill="F3F6F8"/>
          </w:tcPr>
          <w:p>
            <w:pPr>
              <w:spacing w:after="0" w:line="240" w:lineRule="auto"/>
            </w:pPr>
            <w:r>
              <w:rPr>
                <w:sz w:val="17"/>
              </w:rPr>
              <w:t>One Windows administrator account, with its password stored in a ServiceNow credential, is used for everything.</w:t>
            </w:r>
          </w:p>
        </w:tc>
        <w:tc>
          <w:tcPr>
            <w:tcW w:type="dxa" w:w="4034"/>
            <w:shd w:val="clear" w:color="auto" w:fill="F3F6F8"/>
          </w:tcPr>
          <w:p>
            <w:pPr>
              <w:spacing w:after="0" w:line="240" w:lineRule="auto"/>
            </w:pPr>
            <w:r>
              <w:rPr>
                <w:sz w:val="17"/>
              </w:rPr>
              <w:t>Violates discovery/deployment separation and least privilege. Passwords should be vault-held and short-lived.</w:t>
            </w:r>
          </w:p>
        </w:tc>
        <w:tc>
          <w:tcPr>
            <w:tcW w:type="dxa" w:w="1793"/>
            <w:shd w:val="clear" w:color="auto" w:fill="F3F6F8"/>
          </w:tcPr>
          <w:p>
            <w:pPr>
              <w:spacing w:after="0" w:line="240" w:lineRule="auto"/>
            </w:pPr>
            <w:r>
              <w:rPr>
                <w:sz w:val="17"/>
              </w:rPr>
              <w:t>FR-INV-006, FR-ADM-001, NFR-SEC-04</w:t>
            </w:r>
          </w:p>
        </w:tc>
      </w:tr>
      <w:tr>
        <w:trPr>
          <w:cantSplit w:val="true"/>
        </w:trPr>
        <w:tc>
          <w:tcPr>
            <w:tcW w:type="dxa" w:w="448"/>
          </w:tcPr>
          <w:p>
            <w:pPr>
              <w:spacing w:after="0" w:line="240" w:lineRule="auto"/>
            </w:pPr>
            <w:r>
              <w:rPr>
                <w:b/>
                <w:sz w:val="17"/>
              </w:rPr>
              <w:t>G5</w:t>
            </w:r>
          </w:p>
        </w:tc>
        <w:tc>
          <w:tcPr>
            <w:tcW w:type="dxa" w:w="3362"/>
          </w:tcPr>
          <w:p>
            <w:pPr>
              <w:spacing w:after="0" w:line="240" w:lineRule="auto"/>
            </w:pPr>
            <w:r>
              <w:rPr>
                <w:sz w:val="17"/>
              </w:rPr>
              <w:t>The REST response body is pasted into a PowerShell here-string in the flow step, and the script text is edited in the flow.</w:t>
            </w:r>
          </w:p>
        </w:tc>
        <w:tc>
          <w:tcPr>
            <w:tcW w:type="dxa" w:w="4034"/>
          </w:tcPr>
          <w:p>
            <w:pPr>
              <w:spacing w:after="0" w:line="240" w:lineRule="auto"/>
            </w:pPr>
            <w:r>
              <w:rPr>
                <w:sz w:val="17"/>
              </w:rPr>
              <w:t>Script injection risk and no allow-list, version control or signing. Data must be passed as validated parameters to approved adapters.</w:t>
            </w:r>
          </w:p>
        </w:tc>
        <w:tc>
          <w:tcPr>
            <w:tcW w:type="dxa" w:w="1793"/>
          </w:tcPr>
          <w:p>
            <w:pPr>
              <w:spacing w:after="0" w:line="240" w:lineRule="auto"/>
            </w:pPr>
            <w:r>
              <w:rPr>
                <w:sz w:val="17"/>
              </w:rPr>
              <w:t>FR-ADP-002 to FR-ADP-005</w:t>
            </w:r>
          </w:p>
        </w:tc>
      </w:tr>
      <w:tr>
        <w:trPr>
          <w:cantSplit w:val="true"/>
        </w:trPr>
        <w:tc>
          <w:tcPr>
            <w:tcW w:type="dxa" w:w="448"/>
            <w:shd w:val="clear" w:color="auto" w:fill="F3F6F8"/>
          </w:tcPr>
          <w:p>
            <w:pPr>
              <w:spacing w:after="0" w:line="240" w:lineRule="auto"/>
            </w:pPr>
            <w:r>
              <w:rPr>
                <w:b/>
                <w:sz w:val="17"/>
              </w:rPr>
              <w:t>G6</w:t>
            </w:r>
          </w:p>
        </w:tc>
        <w:tc>
          <w:tcPr>
            <w:tcW w:type="dxa" w:w="3362"/>
            <w:shd w:val="clear" w:color="auto" w:fill="F3F6F8"/>
          </w:tcPr>
          <w:p>
            <w:pPr>
              <w:spacing w:after="0" w:line="240" w:lineRule="auto"/>
            </w:pPr>
            <w:r>
              <w:rPr>
                <w:sz w:val="17"/>
              </w:rPr>
              <w:t>The REST Message endpoint is a placeholder (https://sectigo.com) while the mock listens on http://localhost:8080/sectigo/. No authentication, certificate types or profiles are modelled.</w:t>
            </w:r>
          </w:p>
        </w:tc>
        <w:tc>
          <w:tcPr>
            <w:tcW w:type="dxa" w:w="4034"/>
            <w:shd w:val="clear" w:color="auto" w:fill="F3F6F8"/>
          </w:tcPr>
          <w:p>
            <w:pPr>
              <w:spacing w:after="0" w:line="240" w:lineRule="auto"/>
            </w:pPr>
            <w:r>
              <w:rPr>
                <w:sz w:val="17"/>
              </w:rPr>
              <w:t>The CA connector must be configurable per environment (sandbox versus production) with vault-held credentials.</w:t>
            </w:r>
          </w:p>
        </w:tc>
        <w:tc>
          <w:tcPr>
            <w:tcW w:type="dxa" w:w="1793"/>
            <w:shd w:val="clear" w:color="auto" w:fill="F3F6F8"/>
          </w:tcPr>
          <w:p>
            <w:pPr>
              <w:spacing w:after="0" w:line="240" w:lineRule="auto"/>
            </w:pPr>
            <w:r>
              <w:rPr>
                <w:sz w:val="17"/>
              </w:rPr>
              <w:t>FR-CA-002 to FR-CA-004</w:t>
            </w:r>
          </w:p>
        </w:tc>
      </w:tr>
      <w:tr>
        <w:trPr>
          <w:cantSplit w:val="true"/>
        </w:trPr>
        <w:tc>
          <w:tcPr>
            <w:tcW w:type="dxa" w:w="448"/>
          </w:tcPr>
          <w:p>
            <w:pPr>
              <w:spacing w:after="0" w:line="240" w:lineRule="auto"/>
            </w:pPr>
            <w:r>
              <w:rPr>
                <w:b/>
                <w:sz w:val="17"/>
              </w:rPr>
              <w:t>G7</w:t>
            </w:r>
          </w:p>
        </w:tc>
        <w:tc>
          <w:tcPr>
            <w:tcW w:type="dxa" w:w="3362"/>
          </w:tcPr>
          <w:p>
            <w:pPr>
              <w:spacing w:after="0" w:line="240" w:lineRule="auto"/>
            </w:pPr>
            <w:r>
              <w:rPr>
                <w:sz w:val="17"/>
              </w:rPr>
              <w:t>The target technology is a hand-edited flow variable (Windows or RHEL).</w:t>
            </w:r>
          </w:p>
        </w:tc>
        <w:tc>
          <w:tcPr>
            <w:tcW w:type="dxa" w:w="4034"/>
          </w:tcPr>
          <w:p>
            <w:pPr>
              <w:spacing w:after="0" w:line="240" w:lineRule="auto"/>
            </w:pPr>
            <w:r>
              <w:rPr>
                <w:sz w:val="17"/>
              </w:rPr>
              <w:t>Routing must come from the target's CMDB record (technology, zone, environment), not from a manual switch.</w:t>
            </w:r>
          </w:p>
        </w:tc>
        <w:tc>
          <w:tcPr>
            <w:tcW w:type="dxa" w:w="1793"/>
          </w:tcPr>
          <w:p>
            <w:pPr>
              <w:spacing w:after="0" w:line="240" w:lineRule="auto"/>
            </w:pPr>
            <w:r>
              <w:rPr>
                <w:sz w:val="17"/>
              </w:rPr>
              <w:t>FR-ORC-003</w:t>
            </w:r>
          </w:p>
        </w:tc>
      </w:tr>
      <w:tr>
        <w:trPr>
          <w:cantSplit w:val="true"/>
        </w:trPr>
        <w:tc>
          <w:tcPr>
            <w:tcW w:type="dxa" w:w="448"/>
            <w:shd w:val="clear" w:color="auto" w:fill="F3F6F8"/>
          </w:tcPr>
          <w:p>
            <w:pPr>
              <w:spacing w:after="0" w:line="240" w:lineRule="auto"/>
            </w:pPr>
            <w:r>
              <w:rPr>
                <w:b/>
                <w:sz w:val="17"/>
              </w:rPr>
              <w:t>G8</w:t>
            </w:r>
          </w:p>
        </w:tc>
        <w:tc>
          <w:tcPr>
            <w:tcW w:type="dxa" w:w="3362"/>
            <w:shd w:val="clear" w:color="auto" w:fill="F3F6F8"/>
          </w:tcPr>
          <w:p>
            <w:pPr>
              <w:spacing w:after="0" w:line="240" w:lineRule="auto"/>
            </w:pPr>
            <w:r>
              <w:rPr>
                <w:sz w:val="17"/>
              </w:rPr>
              <w:t>The Linux simulation is a bare file write.</w:t>
            </w:r>
          </w:p>
        </w:tc>
        <w:tc>
          <w:tcPr>
            <w:tcW w:type="dxa" w:w="4034"/>
            <w:shd w:val="clear" w:color="auto" w:fill="F3F6F8"/>
          </w:tcPr>
          <w:p>
            <w:pPr>
              <w:spacing w:after="0" w:line="240" w:lineRule="auto"/>
            </w:pPr>
            <w:r>
              <w:rPr>
                <w:sz w:val="17"/>
              </w:rPr>
              <w:t>No permissions, ownership, service reload, backup, rollback or verification, so it proves routing but not deployment safety.</w:t>
            </w:r>
          </w:p>
        </w:tc>
        <w:tc>
          <w:tcPr>
            <w:tcW w:type="dxa" w:w="1793"/>
            <w:shd w:val="clear" w:color="auto" w:fill="F3F6F8"/>
          </w:tcPr>
          <w:p>
            <w:pPr>
              <w:spacing w:after="0" w:line="240" w:lineRule="auto"/>
            </w:pPr>
            <w:r>
              <w:rPr>
                <w:sz w:val="17"/>
              </w:rPr>
              <w:t>AD-LNX-05 to AD-LNX-12, FR-SAF</w:t>
            </w:r>
          </w:p>
        </w:tc>
      </w:tr>
    </w:tbl>
    <w:p>
      <w:pPr>
        <w:spacing w:after="40"/>
      </w:pPr>
    </w:p>
    <w:p>
      <w:pPr>
        <w:sectPr>
          <w:footerReference w:type="default" r:id="rId9"/>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366728" cy="6263999"/>
            <wp:docPr id="1" name="Picture 1"/>
            <wp:cNvGraphicFramePr>
              <a:graphicFrameLocks noChangeAspect="1"/>
            </wp:cNvGraphicFramePr>
            <a:graphic>
              <a:graphicData uri="http://schemas.openxmlformats.org/drawingml/2006/picture">
                <pic:pic>
                  <pic:nvPicPr>
                    <pic:cNvPr id="0" name="Fig01_poc_current_topology.png"/>
                    <pic:cNvPicPr/>
                  </pic:nvPicPr>
                  <pic:blipFill>
                    <a:blip r:embed="rId10"/>
                    <a:stretch>
                      <a:fillRect/>
                    </a:stretch>
                  </pic:blipFill>
                  <pic:spPr>
                    <a:xfrm>
                      <a:off x="0" y="0"/>
                      <a:ext cx="9366728" cy="6263999"/>
                    </a:xfrm>
                    <a:prstGeom prst="rect"/>
                  </pic:spPr>
                </pic:pic>
              </a:graphicData>
            </a:graphic>
          </wp:inline>
        </w:drawing>
      </w:r>
    </w:p>
    <w:p>
      <w:pPr>
        <w:jc w:val="center"/>
      </w:pPr>
      <w:r>
        <w:rPr>
          <w:i/>
          <w:color w:val="606B7A"/>
          <w:sz w:val="18"/>
        </w:rPr>
        <w:t>Figure 1: Current POC topology on the single Windows laptop, with findings G1 to G8</w:t>
      </w:r>
    </w:p>
    <w:p>
      <w:pPr>
        <w:sectPr>
          <w:pgSz w:w="16838" w:h="11906" w:orient="landscape"/>
          <w:pgMar w:top="737" w:right="850" w:bottom="850" w:left="850" w:header="720" w:footer="720" w:gutter="0"/>
          <w:cols w:space="720"/>
          <w:docGrid w:linePitch="360"/>
        </w:sectPr>
      </w:pPr>
    </w:p>
    <w:p>
      <w:pPr>
        <w:pStyle w:val="Heading1"/>
        <w:pBdr>
          <w:bottom w:val="single" w:sz="8" w:space="2" w:color="2E7D32"/>
        </w:pBdr>
      </w:pPr>
      <w:r>
        <w:t>3. Product overview</w:t>
      </w:r>
    </w:p>
    <w:p>
      <w:pPr>
        <w:pStyle w:val="Heading2"/>
      </w:pPr>
      <w:r>
        <w:t>3.1 Vision and goals</w:t>
      </w:r>
    </w:p>
    <w:p>
      <w:r>
        <w:t>One governed, auditable way to keep every certificate in the organisation valid, correctly deployed and verified, on any platform, with no expired-certificate outages and no private keys left lying around.</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4819"/>
        <w:gridCol w:w="4819"/>
      </w:tblGrid>
      <w:tr>
        <w:trPr>
          <w:tblHeader w:val="true"/>
        </w:trPr>
        <w:tc>
          <w:tcPr>
            <w:tcW w:type="dxa" w:w="2409"/>
            <w:shd w:val="clear" w:color="auto" w:fill="1F2D3D"/>
          </w:tcPr>
          <w:p>
            <w:pPr>
              <w:spacing w:after="0"/>
            </w:pPr>
            <w:r>
              <w:rPr>
                <w:b/>
                <w:color w:val="FFFFFF"/>
                <w:sz w:val="17"/>
              </w:rPr>
              <w:t>Goal</w:t>
            </w:r>
          </w:p>
        </w:tc>
        <w:tc>
          <w:tcPr>
            <w:tcW w:type="dxa" w:w="7228"/>
            <w:shd w:val="clear" w:color="auto" w:fill="1F2D3D"/>
          </w:tcPr>
          <w:p>
            <w:pPr>
              <w:spacing w:after="0"/>
            </w:pPr>
            <w:r>
              <w:rPr>
                <w:b/>
                <w:color w:val="FFFFFF"/>
                <w:sz w:val="17"/>
              </w:rPr>
              <w:t>Measure of success</w:t>
            </w:r>
          </w:p>
        </w:tc>
      </w:tr>
      <w:tr>
        <w:trPr>
          <w:cantSplit w:val="true"/>
        </w:trPr>
        <w:tc>
          <w:tcPr>
            <w:tcW w:type="dxa" w:w="2409"/>
          </w:tcPr>
          <w:p>
            <w:pPr>
              <w:spacing w:after="0" w:line="240" w:lineRule="auto"/>
            </w:pPr>
            <w:r>
              <w:rPr>
                <w:sz w:val="17"/>
              </w:rPr>
              <w:t>No expiry outages</w:t>
            </w:r>
          </w:p>
        </w:tc>
        <w:tc>
          <w:tcPr>
            <w:tcW w:type="dxa" w:w="7228"/>
          </w:tcPr>
          <w:p>
            <w:pPr>
              <w:spacing w:after="0" w:line="240" w:lineRule="auto"/>
            </w:pPr>
            <w:r>
              <w:rPr>
                <w:sz w:val="17"/>
              </w:rPr>
              <w:t>Zero production incidents caused by expired managed certificates; renewal starts at least 30 days before expiry by default.</w:t>
            </w:r>
          </w:p>
        </w:tc>
      </w:tr>
      <w:tr>
        <w:trPr>
          <w:cantSplit w:val="true"/>
        </w:trPr>
        <w:tc>
          <w:tcPr>
            <w:tcW w:type="dxa" w:w="2409"/>
            <w:shd w:val="clear" w:color="auto" w:fill="F3F6F8"/>
          </w:tcPr>
          <w:p>
            <w:pPr>
              <w:spacing w:after="0" w:line="240" w:lineRule="auto"/>
            </w:pPr>
            <w:r>
              <w:rPr>
                <w:sz w:val="17"/>
              </w:rPr>
              <w:t>Generic, multi-technology</w:t>
            </w:r>
          </w:p>
        </w:tc>
        <w:tc>
          <w:tcPr>
            <w:tcW w:type="dxa" w:w="7228"/>
            <w:shd w:val="clear" w:color="auto" w:fill="F3F6F8"/>
          </w:tcPr>
          <w:p>
            <w:pPr>
              <w:spacing w:after="0" w:line="240" w:lineRule="auto"/>
            </w:pPr>
            <w:r>
              <w:rPr>
                <w:sz w:val="17"/>
              </w:rPr>
              <w:t>The same request-to-verified-deployment flow works through adapters for Windows, Linux, Apple (MDM), Kubernetes, Java, load balancers, cloud and more.</w:t>
            </w:r>
          </w:p>
        </w:tc>
      </w:tr>
      <w:tr>
        <w:trPr>
          <w:cantSplit w:val="true"/>
        </w:trPr>
        <w:tc>
          <w:tcPr>
            <w:tcW w:type="dxa" w:w="2409"/>
          </w:tcPr>
          <w:p>
            <w:pPr>
              <w:spacing w:after="0" w:line="240" w:lineRule="auto"/>
            </w:pPr>
            <w:r>
              <w:rPr>
                <w:sz w:val="17"/>
              </w:rPr>
              <w:t>Secure by design</w:t>
            </w:r>
          </w:p>
        </w:tc>
        <w:tc>
          <w:tcPr>
            <w:tcW w:type="dxa" w:w="7228"/>
          </w:tcPr>
          <w:p>
            <w:pPr>
              <w:spacing w:after="0" w:line="240" w:lineRule="auto"/>
            </w:pPr>
            <w:r>
              <w:rPr>
                <w:sz w:val="17"/>
              </w:rPr>
              <w:t>No permanent private keys on MID Servers, no secrets in scripts or variables, only signed adapters run, every action audited.</w:t>
            </w:r>
          </w:p>
        </w:tc>
      </w:tr>
      <w:tr>
        <w:trPr>
          <w:cantSplit w:val="true"/>
        </w:trPr>
        <w:tc>
          <w:tcPr>
            <w:tcW w:type="dxa" w:w="2409"/>
            <w:shd w:val="clear" w:color="auto" w:fill="F3F6F8"/>
          </w:tcPr>
          <w:p>
            <w:pPr>
              <w:spacing w:after="0" w:line="240" w:lineRule="auto"/>
            </w:pPr>
            <w:r>
              <w:rPr>
                <w:sz w:val="17"/>
              </w:rPr>
              <w:t>Safe change</w:t>
            </w:r>
          </w:p>
        </w:tc>
        <w:tc>
          <w:tcPr>
            <w:tcW w:type="dxa" w:w="7228"/>
            <w:shd w:val="clear" w:color="auto" w:fill="F3F6F8"/>
          </w:tcPr>
          <w:p>
            <w:pPr>
              <w:spacing w:after="0" w:line="240" w:lineRule="auto"/>
            </w:pPr>
            <w:r>
              <w:rPr>
                <w:sz w:val="17"/>
              </w:rPr>
              <w:t>Every deployment has pre-checks, a rollback point, live verification and automatic rollback on failure.</w:t>
            </w:r>
          </w:p>
        </w:tc>
      </w:tr>
      <w:tr>
        <w:trPr>
          <w:cantSplit w:val="true"/>
        </w:trPr>
        <w:tc>
          <w:tcPr>
            <w:tcW w:type="dxa" w:w="2409"/>
          </w:tcPr>
          <w:p>
            <w:pPr>
              <w:spacing w:after="0" w:line="240" w:lineRule="auto"/>
            </w:pPr>
            <w:r>
              <w:rPr>
                <w:sz w:val="17"/>
              </w:rPr>
              <w:t>Visible</w:t>
            </w:r>
          </w:p>
        </w:tc>
        <w:tc>
          <w:tcPr>
            <w:tcW w:type="dxa" w:w="7228"/>
          </w:tcPr>
          <w:p>
            <w:pPr>
              <w:spacing w:after="0" w:line="240" w:lineRule="auto"/>
            </w:pPr>
            <w:r>
              <w:rPr>
                <w:sz w:val="17"/>
              </w:rPr>
              <w:t>A live inventory and dashboard: what exists, who owns it, where it is bound, when it expires.</w:t>
            </w:r>
          </w:p>
        </w:tc>
      </w:tr>
      <w:tr>
        <w:trPr>
          <w:cantSplit w:val="true"/>
        </w:trPr>
        <w:tc>
          <w:tcPr>
            <w:tcW w:type="dxa" w:w="2409"/>
            <w:shd w:val="clear" w:color="auto" w:fill="F3F6F8"/>
          </w:tcPr>
          <w:p>
            <w:pPr>
              <w:spacing w:after="0" w:line="240" w:lineRule="auto"/>
            </w:pPr>
            <w:r>
              <w:rPr>
                <w:sz w:val="17"/>
              </w:rPr>
              <w:t>Shorter certificate lifetimes ready</w:t>
            </w:r>
          </w:p>
        </w:tc>
        <w:tc>
          <w:tcPr>
            <w:tcW w:type="dxa" w:w="7228"/>
            <w:shd w:val="clear" w:color="auto" w:fill="F3F6F8"/>
          </w:tcPr>
          <w:p>
            <w:pPr>
              <w:spacing w:after="0" w:line="240" w:lineRule="auto"/>
            </w:pPr>
            <w:r>
              <w:rPr>
                <w:sz w:val="17"/>
              </w:rPr>
              <w:t>Automation copes with 200-day certificates today and 47-day certificates by 2029 (CA/B Forum ballot SC-081; confirm current dates).</w:t>
            </w:r>
          </w:p>
        </w:tc>
      </w:tr>
    </w:tbl>
    <w:p>
      <w:pPr>
        <w:spacing w:after="40"/>
      </w:pPr>
    </w:p>
    <w:p>
      <w:pPr>
        <w:pStyle w:val="Heading2"/>
      </w:pPr>
      <w:r>
        <w:t>3.2 System context</w:t>
      </w:r>
    </w:p>
    <w:p>
      <w:r>
        <w:t>Figure 2 shows CDM and everything around it. ServiceNow holds the application, inventory, workflow, approvals and audit. CAs issue certificates. A vault holds credentials and, where needed, key material. MID Servers, one set per network zone, execute adapters against the targets.</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576000" cy="5745600"/>
            <wp:docPr id="2" name="Picture 2"/>
            <wp:cNvGraphicFramePr>
              <a:graphicFrameLocks noChangeAspect="1"/>
            </wp:cNvGraphicFramePr>
            <a:graphic>
              <a:graphicData uri="http://schemas.openxmlformats.org/drawingml/2006/picture">
                <pic:pic>
                  <pic:nvPicPr>
                    <pic:cNvPr id="0" name="Fig02_system_context.png"/>
                    <pic:cNvPicPr/>
                  </pic:nvPicPr>
                  <pic:blipFill>
                    <a:blip r:embed="rId11"/>
                    <a:stretch>
                      <a:fillRect/>
                    </a:stretch>
                  </pic:blipFill>
                  <pic:spPr>
                    <a:xfrm>
                      <a:off x="0" y="0"/>
                      <a:ext cx="9576000" cy="5745600"/>
                    </a:xfrm>
                    <a:prstGeom prst="rect"/>
                  </pic:spPr>
                </pic:pic>
              </a:graphicData>
            </a:graphic>
          </wp:inline>
        </w:drawing>
      </w:r>
    </w:p>
    <w:p>
      <w:pPr>
        <w:jc w:val="center"/>
      </w:pPr>
      <w:r>
        <w:rPr>
          <w:i/>
          <w:color w:val="606B7A"/>
          <w:sz w:val="18"/>
        </w:rPr>
        <w:t>Figure 2: CDM system context: people, ServiceNow, CAs, vault, MID Servers and deployment targets</w:t>
      </w:r>
    </w:p>
    <w:p>
      <w:pPr>
        <w:sectPr>
          <w:pgSz w:w="16838" w:h="11906" w:orient="landscape"/>
          <w:pgMar w:top="737" w:right="850" w:bottom="850" w:left="850" w:header="720" w:footer="720" w:gutter="0"/>
          <w:cols w:space="720"/>
          <w:docGrid w:linePitch="360"/>
        </w:sectPr>
      </w:pPr>
    </w:p>
    <w:p>
      <w:pPr>
        <w:pStyle w:val="Heading2"/>
      </w:pPr>
      <w:r>
        <w:t>3.3 Users and roles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928"/>
            <w:shd w:val="clear" w:color="auto" w:fill="1F2D3D"/>
          </w:tcPr>
          <w:p>
            <w:pPr>
              <w:spacing w:after="0"/>
            </w:pPr>
            <w:r>
              <w:rPr>
                <w:b/>
                <w:color w:val="FFFFFF"/>
                <w:sz w:val="17"/>
              </w:rPr>
              <w:t>Role</w:t>
            </w:r>
          </w:p>
        </w:tc>
        <w:tc>
          <w:tcPr>
            <w:tcW w:type="dxa" w:w="2041"/>
            <w:shd w:val="clear" w:color="auto" w:fill="1F2D3D"/>
          </w:tcPr>
          <w:p>
            <w:pPr>
              <w:spacing w:after="0"/>
            </w:pPr>
            <w:r>
              <w:rPr>
                <w:b/>
                <w:color w:val="FFFFFF"/>
                <w:sz w:val="17"/>
              </w:rPr>
              <w:t>Who</w:t>
            </w:r>
          </w:p>
        </w:tc>
        <w:tc>
          <w:tcPr>
            <w:tcW w:type="dxa" w:w="5669"/>
            <w:shd w:val="clear" w:color="auto" w:fill="1F2D3D"/>
          </w:tcPr>
          <w:p>
            <w:pPr>
              <w:spacing w:after="0"/>
            </w:pPr>
            <w:r>
              <w:rPr>
                <w:b/>
                <w:color w:val="FFFFFF"/>
                <w:sz w:val="17"/>
              </w:rPr>
              <w:t>Main capabilities</w:t>
            </w:r>
          </w:p>
        </w:tc>
      </w:tr>
      <w:tr>
        <w:trPr>
          <w:cantSplit w:val="true"/>
        </w:trPr>
        <w:tc>
          <w:tcPr>
            <w:tcW w:type="dxa" w:w="1928"/>
          </w:tcPr>
          <w:p>
            <w:pPr>
              <w:spacing w:after="0" w:line="240" w:lineRule="auto"/>
            </w:pPr>
            <w:r>
              <w:rPr>
                <w:sz w:val="17"/>
              </w:rPr>
              <w:t>Certificate requester / owner</w:t>
            </w:r>
          </w:p>
        </w:tc>
        <w:tc>
          <w:tcPr>
            <w:tcW w:type="dxa" w:w="2041"/>
          </w:tcPr>
          <w:p>
            <w:pPr>
              <w:spacing w:after="0" w:line="240" w:lineRule="auto"/>
            </w:pPr>
            <w:r>
              <w:rPr>
                <w:sz w:val="17"/>
              </w:rPr>
              <w:t>Application or platform team</w:t>
            </w:r>
          </w:p>
        </w:tc>
        <w:tc>
          <w:tcPr>
            <w:tcW w:type="dxa" w:w="5669"/>
          </w:tcPr>
          <w:p>
            <w:pPr>
              <w:spacing w:after="0" w:line="240" w:lineRule="auto"/>
            </w:pPr>
            <w:r>
              <w:rPr>
                <w:sz w:val="17"/>
              </w:rPr>
              <w:t>Request, renew and view own certificates; complete manual tasks; see deployment status.</w:t>
            </w:r>
          </w:p>
        </w:tc>
      </w:tr>
      <w:tr>
        <w:trPr>
          <w:cantSplit w:val="true"/>
        </w:trPr>
        <w:tc>
          <w:tcPr>
            <w:tcW w:type="dxa" w:w="1928"/>
            <w:shd w:val="clear" w:color="auto" w:fill="F3F6F8"/>
          </w:tcPr>
          <w:p>
            <w:pPr>
              <w:spacing w:after="0" w:line="240" w:lineRule="auto"/>
            </w:pPr>
            <w:r>
              <w:rPr>
                <w:sz w:val="17"/>
              </w:rPr>
              <w:t>Approver</w:t>
            </w:r>
          </w:p>
        </w:tc>
        <w:tc>
          <w:tcPr>
            <w:tcW w:type="dxa" w:w="2041"/>
            <w:shd w:val="clear" w:color="auto" w:fill="F3F6F8"/>
          </w:tcPr>
          <w:p>
            <w:pPr>
              <w:spacing w:after="0" w:line="240" w:lineRule="auto"/>
            </w:pPr>
            <w:r>
              <w:rPr>
                <w:sz w:val="17"/>
              </w:rPr>
              <w:t>Change manager, application owner</w:t>
            </w:r>
          </w:p>
        </w:tc>
        <w:tc>
          <w:tcPr>
            <w:tcW w:type="dxa" w:w="5669"/>
            <w:shd w:val="clear" w:color="auto" w:fill="F3F6F8"/>
          </w:tcPr>
          <w:p>
            <w:pPr>
              <w:spacing w:after="0" w:line="240" w:lineRule="auto"/>
            </w:pPr>
            <w:r>
              <w:rPr>
                <w:sz w:val="17"/>
              </w:rPr>
              <w:t>Approve or reject requests according to policy; cannot approve own request.</w:t>
            </w:r>
          </w:p>
        </w:tc>
      </w:tr>
      <w:tr>
        <w:trPr>
          <w:cantSplit w:val="true"/>
        </w:trPr>
        <w:tc>
          <w:tcPr>
            <w:tcW w:type="dxa" w:w="1928"/>
          </w:tcPr>
          <w:p>
            <w:pPr>
              <w:spacing w:after="0" w:line="240" w:lineRule="auto"/>
            </w:pPr>
            <w:r>
              <w:rPr>
                <w:sz w:val="17"/>
              </w:rPr>
              <w:t>PKI / security admin</w:t>
            </w:r>
          </w:p>
        </w:tc>
        <w:tc>
          <w:tcPr>
            <w:tcW w:type="dxa" w:w="2041"/>
          </w:tcPr>
          <w:p>
            <w:pPr>
              <w:spacing w:after="0" w:line="240" w:lineRule="auto"/>
            </w:pPr>
            <w:r>
              <w:rPr>
                <w:sz w:val="17"/>
              </w:rPr>
              <w:t>Security or PKI team</w:t>
            </w:r>
          </w:p>
        </w:tc>
        <w:tc>
          <w:tcPr>
            <w:tcW w:type="dxa" w:w="5669"/>
          </w:tcPr>
          <w:p>
            <w:pPr>
              <w:spacing w:after="0" w:line="240" w:lineRule="auto"/>
            </w:pPr>
            <w:r>
              <w:rPr>
                <w:sz w:val="17"/>
              </w:rPr>
              <w:t>Manage CA profiles, policies, adapters, exceptions; revoke; investigate incidents.</w:t>
            </w:r>
          </w:p>
        </w:tc>
      </w:tr>
      <w:tr>
        <w:trPr>
          <w:cantSplit w:val="true"/>
        </w:trPr>
        <w:tc>
          <w:tcPr>
            <w:tcW w:type="dxa" w:w="1928"/>
            <w:shd w:val="clear" w:color="auto" w:fill="F3F6F8"/>
          </w:tcPr>
          <w:p>
            <w:pPr>
              <w:spacing w:after="0" w:line="240" w:lineRule="auto"/>
            </w:pPr>
            <w:r>
              <w:rPr>
                <w:sz w:val="17"/>
              </w:rPr>
              <w:t>Deployment operator</w:t>
            </w:r>
          </w:p>
        </w:tc>
        <w:tc>
          <w:tcPr>
            <w:tcW w:type="dxa" w:w="2041"/>
            <w:shd w:val="clear" w:color="auto" w:fill="F3F6F8"/>
          </w:tcPr>
          <w:p>
            <w:pPr>
              <w:spacing w:after="0" w:line="240" w:lineRule="auto"/>
            </w:pPr>
            <w:r>
              <w:rPr>
                <w:sz w:val="17"/>
              </w:rPr>
              <w:t>Platform / operations team</w:t>
            </w:r>
          </w:p>
        </w:tc>
        <w:tc>
          <w:tcPr>
            <w:tcW w:type="dxa" w:w="5669"/>
            <w:shd w:val="clear" w:color="auto" w:fill="F3F6F8"/>
          </w:tcPr>
          <w:p>
            <w:pPr>
              <w:spacing w:after="0" w:line="240" w:lineRule="auto"/>
            </w:pPr>
            <w:r>
              <w:rPr>
                <w:sz w:val="17"/>
              </w:rPr>
              <w:t>Monitor jobs, retry, roll back, manage windows and zones.</w:t>
            </w:r>
          </w:p>
        </w:tc>
      </w:tr>
      <w:tr>
        <w:trPr>
          <w:cantSplit w:val="true"/>
        </w:trPr>
        <w:tc>
          <w:tcPr>
            <w:tcW w:type="dxa" w:w="1928"/>
          </w:tcPr>
          <w:p>
            <w:pPr>
              <w:spacing w:after="0" w:line="240" w:lineRule="auto"/>
            </w:pPr>
            <w:r>
              <w:rPr>
                <w:sz w:val="17"/>
              </w:rPr>
              <w:t>Discovery operator</w:t>
            </w:r>
          </w:p>
        </w:tc>
        <w:tc>
          <w:tcPr>
            <w:tcW w:type="dxa" w:w="2041"/>
          </w:tcPr>
          <w:p>
            <w:pPr>
              <w:spacing w:after="0" w:line="240" w:lineRule="auto"/>
            </w:pPr>
            <w:r>
              <w:rPr>
                <w:sz w:val="17"/>
              </w:rPr>
              <w:t>Operations or security</w:t>
            </w:r>
          </w:p>
        </w:tc>
        <w:tc>
          <w:tcPr>
            <w:tcW w:type="dxa" w:w="5669"/>
          </w:tcPr>
          <w:p>
            <w:pPr>
              <w:spacing w:after="0" w:line="240" w:lineRule="auto"/>
            </w:pPr>
            <w:r>
              <w:rPr>
                <w:sz w:val="17"/>
              </w:rPr>
              <w:t>Run discovery with read-only credentials; review unmanaged certificates.</w:t>
            </w:r>
          </w:p>
        </w:tc>
      </w:tr>
      <w:tr>
        <w:trPr>
          <w:cantSplit w:val="true"/>
        </w:trPr>
        <w:tc>
          <w:tcPr>
            <w:tcW w:type="dxa" w:w="1928"/>
            <w:shd w:val="clear" w:color="auto" w:fill="F3F6F8"/>
          </w:tcPr>
          <w:p>
            <w:pPr>
              <w:spacing w:after="0" w:line="240" w:lineRule="auto"/>
            </w:pPr>
            <w:r>
              <w:rPr>
                <w:sz w:val="17"/>
              </w:rPr>
              <w:t>Adapter publisher</w:t>
            </w:r>
          </w:p>
        </w:tc>
        <w:tc>
          <w:tcPr>
            <w:tcW w:type="dxa" w:w="2041"/>
            <w:shd w:val="clear" w:color="auto" w:fill="F3F6F8"/>
          </w:tcPr>
          <w:p>
            <w:pPr>
              <w:spacing w:after="0" w:line="240" w:lineRule="auto"/>
            </w:pPr>
            <w:r>
              <w:rPr>
                <w:sz w:val="17"/>
              </w:rPr>
              <w:t>Engineering</w:t>
            </w:r>
          </w:p>
        </w:tc>
        <w:tc>
          <w:tcPr>
            <w:tcW w:type="dxa" w:w="5669"/>
            <w:shd w:val="clear" w:color="auto" w:fill="F3F6F8"/>
          </w:tcPr>
          <w:p>
            <w:pPr>
              <w:spacing w:after="0" w:line="240" w:lineRule="auto"/>
            </w:pPr>
            <w:r>
              <w:rPr>
                <w:sz w:val="17"/>
              </w:rPr>
              <w:t>Propose, test and sign adapter versions; cannot approve own release.</w:t>
            </w:r>
          </w:p>
        </w:tc>
      </w:tr>
      <w:tr>
        <w:trPr>
          <w:cantSplit w:val="true"/>
        </w:trPr>
        <w:tc>
          <w:tcPr>
            <w:tcW w:type="dxa" w:w="1928"/>
          </w:tcPr>
          <w:p>
            <w:pPr>
              <w:spacing w:after="0" w:line="240" w:lineRule="auto"/>
            </w:pPr>
            <w:r>
              <w:rPr>
                <w:sz w:val="17"/>
              </w:rPr>
              <w:t>Auditor</w:t>
            </w:r>
          </w:p>
        </w:tc>
        <w:tc>
          <w:tcPr>
            <w:tcW w:type="dxa" w:w="2041"/>
          </w:tcPr>
          <w:p>
            <w:pPr>
              <w:spacing w:after="0" w:line="240" w:lineRule="auto"/>
            </w:pPr>
            <w:r>
              <w:rPr>
                <w:sz w:val="17"/>
              </w:rPr>
              <w:t>Compliance</w:t>
            </w:r>
          </w:p>
        </w:tc>
        <w:tc>
          <w:tcPr>
            <w:tcW w:type="dxa" w:w="5669"/>
          </w:tcPr>
          <w:p>
            <w:pPr>
              <w:spacing w:after="0" w:line="240" w:lineRule="auto"/>
            </w:pPr>
            <w:r>
              <w:rPr>
                <w:sz w:val="17"/>
              </w:rPr>
              <w:t>Read-only access to inventory, audit trail and reports.</w:t>
            </w:r>
          </w:p>
        </w:tc>
      </w:tr>
      <w:tr>
        <w:trPr>
          <w:cantSplit w:val="true"/>
        </w:trPr>
        <w:tc>
          <w:tcPr>
            <w:tcW w:type="dxa" w:w="1928"/>
            <w:shd w:val="clear" w:color="auto" w:fill="F3F6F8"/>
          </w:tcPr>
          <w:p>
            <w:pPr>
              <w:spacing w:after="0" w:line="240" w:lineRule="auto"/>
            </w:pPr>
            <w:r>
              <w:rPr>
                <w:sz w:val="17"/>
              </w:rPr>
              <w:t>Platform administrator</w:t>
            </w:r>
          </w:p>
        </w:tc>
        <w:tc>
          <w:tcPr>
            <w:tcW w:type="dxa" w:w="2041"/>
            <w:shd w:val="clear" w:color="auto" w:fill="F3F6F8"/>
          </w:tcPr>
          <w:p>
            <w:pPr>
              <w:spacing w:after="0" w:line="240" w:lineRule="auto"/>
            </w:pPr>
            <w:r>
              <w:rPr>
                <w:sz w:val="17"/>
              </w:rPr>
              <w:t>ServiceNow admin</w:t>
            </w:r>
          </w:p>
        </w:tc>
        <w:tc>
          <w:tcPr>
            <w:tcW w:type="dxa" w:w="5669"/>
            <w:shd w:val="clear" w:color="auto" w:fill="F3F6F8"/>
          </w:tcPr>
          <w:p>
            <w:pPr>
              <w:spacing w:after="0" w:line="240" w:lineRule="auto"/>
            </w:pPr>
            <w:r>
              <w:rPr>
                <w:sz w:val="17"/>
              </w:rPr>
              <w:t>Maintain the instance, MID Servers, integrations and access.</w:t>
            </w:r>
          </w:p>
        </w:tc>
      </w:tr>
    </w:tbl>
    <w:p>
      <w:pPr>
        <w:spacing w:after="40"/>
      </w:pPr>
    </w:p>
    <w:p>
      <w:pPr>
        <w:pStyle w:val="Heading2"/>
      </w:pPr>
      <w:r>
        <w:t>3.4 Assumptions and constraints</w:t>
      </w:r>
    </w:p>
    <w:p>
      <w:pPr>
        <w:pStyle w:val="ListBullet"/>
      </w:pPr>
      <w:r>
        <w:t>ServiceNow is the orchestration platform, as in the POC plan. The production licence and plugins (Discovery, Integration Hub, Orchestration) are not yet confirmed (Q1).</w:t>
      </w:r>
    </w:p>
    <w:p>
      <w:pPr>
        <w:pStyle w:val="ListBullet"/>
      </w:pPr>
      <w:r>
        <w:t>Sectigo Certificate Manager is the first CA. A sandbox tenant with API access is needed for Phase 1 (Q2).</w:t>
      </w:r>
    </w:p>
    <w:p>
      <w:pPr>
        <w:pStyle w:val="ListBullet"/>
      </w:pPr>
      <w:r>
        <w:t>"iOS" in the request is read as Apple platforms (iOS, iPadOS, macOS) delivered through MDM. If Cisco IOS network devices were meant, they are covered in Phase 3 (Q4).</w:t>
      </w:r>
    </w:p>
    <w:p>
      <w:pPr>
        <w:pStyle w:val="ListBullet"/>
      </w:pPr>
      <w:r>
        <w:t>Publicly trusted TLS certificate lifetimes are shrinking; the design must treat renewal as routine and frequent.</w:t>
      </w:r>
    </w:p>
    <w:p>
      <w:pPr>
        <w:pStyle w:val="ListBullet"/>
      </w:pPr>
      <w:r>
        <w:t>The POC runs on one Windows laptop; production needs MID Servers per zone, a vault and non-loopback targets.</w:t>
      </w:r>
    </w:p>
    <w:p>
      <w:pPr>
        <w:pStyle w:val="Heading2"/>
      </w:pPr>
      <w:r>
        <w:t>3.5 Key design decisions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643"/>
            <w:shd w:val="clear" w:color="auto" w:fill="1F2D3D"/>
          </w:tcPr>
          <w:p>
            <w:pPr>
              <w:spacing w:after="0"/>
            </w:pPr>
            <w:r>
              <w:rPr>
                <w:b/>
                <w:color w:val="FFFFFF"/>
                <w:sz w:val="17"/>
              </w:rPr>
              <w:t>#</w:t>
            </w:r>
          </w:p>
        </w:tc>
        <w:tc>
          <w:tcPr>
            <w:tcW w:type="dxa" w:w="4498"/>
            <w:shd w:val="clear" w:color="auto" w:fill="1F2D3D"/>
          </w:tcPr>
          <w:p>
            <w:pPr>
              <w:spacing w:after="0"/>
            </w:pPr>
            <w:r>
              <w:rPr>
                <w:b/>
                <w:color w:val="FFFFFF"/>
                <w:sz w:val="17"/>
              </w:rPr>
              <w:t>Decision</w:t>
            </w:r>
          </w:p>
        </w:tc>
        <w:tc>
          <w:tcPr>
            <w:tcW w:type="dxa" w:w="4498"/>
            <w:shd w:val="clear" w:color="auto" w:fill="1F2D3D"/>
          </w:tcPr>
          <w:p>
            <w:pPr>
              <w:spacing w:after="0"/>
            </w:pPr>
            <w:r>
              <w:rPr>
                <w:b/>
                <w:color w:val="FFFFFF"/>
                <w:sz w:val="17"/>
              </w:rPr>
              <w:t>Rationale</w:t>
            </w:r>
          </w:p>
        </w:tc>
      </w:tr>
      <w:tr>
        <w:trPr>
          <w:cantSplit w:val="true"/>
        </w:trPr>
        <w:tc>
          <w:tcPr>
            <w:tcW w:type="dxa" w:w="643"/>
          </w:tcPr>
          <w:p>
            <w:pPr>
              <w:spacing w:after="0" w:line="240" w:lineRule="auto"/>
            </w:pPr>
            <w:r>
              <w:rPr>
                <w:b/>
                <w:sz w:val="17"/>
              </w:rPr>
              <w:t>DD-1</w:t>
            </w:r>
          </w:p>
        </w:tc>
        <w:tc>
          <w:tcPr>
            <w:tcW w:type="dxa" w:w="4498"/>
          </w:tcPr>
          <w:p>
            <w:pPr>
              <w:spacing w:after="0" w:line="240" w:lineRule="auto"/>
            </w:pPr>
            <w:r>
              <w:rPr>
                <w:sz w:val="17"/>
              </w:rPr>
              <w:t>Private keys are generated on the target (or HSM/KMS/TPM) whenever the platform allows. Only the CSR and the public certificate travel.</w:t>
            </w:r>
          </w:p>
        </w:tc>
        <w:tc>
          <w:tcPr>
            <w:tcW w:type="dxa" w:w="4498"/>
          </w:tcPr>
          <w:p>
            <w:pPr>
              <w:spacing w:after="0" w:line="240" w:lineRule="auto"/>
            </w:pPr>
            <w:r>
              <w:rPr>
                <w:sz w:val="17"/>
              </w:rPr>
              <w:t>Removes the largest risk (key sprawl) and follows principle 2. Where a platform cannot generate a CSR, an encrypted, short-lived PKCS#12 path is the exception (FR-KEY-003).</w:t>
            </w:r>
          </w:p>
        </w:tc>
      </w:tr>
      <w:tr>
        <w:trPr>
          <w:cantSplit w:val="true"/>
        </w:trPr>
        <w:tc>
          <w:tcPr>
            <w:tcW w:type="dxa" w:w="643"/>
            <w:shd w:val="clear" w:color="auto" w:fill="F3F6F8"/>
          </w:tcPr>
          <w:p>
            <w:pPr>
              <w:spacing w:after="0" w:line="240" w:lineRule="auto"/>
            </w:pPr>
            <w:r>
              <w:rPr>
                <w:b/>
                <w:sz w:val="17"/>
              </w:rPr>
              <w:t>DD-2</w:t>
            </w:r>
          </w:p>
        </w:tc>
        <w:tc>
          <w:tcPr>
            <w:tcW w:type="dxa" w:w="4498"/>
            <w:shd w:val="clear" w:color="auto" w:fill="F3F6F8"/>
          </w:tcPr>
          <w:p>
            <w:pPr>
              <w:spacing w:after="0" w:line="240" w:lineRule="auto"/>
            </w:pPr>
            <w:r>
              <w:rPr>
                <w:sz w:val="17"/>
              </w:rPr>
              <w:t>Platform logic lives only in signed adapters behind one contract. The orchestrator knows nothing about IIS, nginx or Kubernetes.</w:t>
            </w:r>
          </w:p>
        </w:tc>
        <w:tc>
          <w:tcPr>
            <w:tcW w:type="dxa" w:w="4498"/>
            <w:shd w:val="clear" w:color="auto" w:fill="F3F6F8"/>
          </w:tcPr>
          <w:p>
            <w:pPr>
              <w:spacing w:after="0" w:line="240" w:lineRule="auto"/>
            </w:pPr>
            <w:r>
              <w:rPr>
                <w:sz w:val="17"/>
              </w:rPr>
              <w:t>Makes the product generic and lets new technologies be added without touching the core flow.</w:t>
            </w:r>
          </w:p>
        </w:tc>
      </w:tr>
      <w:tr>
        <w:trPr>
          <w:cantSplit w:val="true"/>
        </w:trPr>
        <w:tc>
          <w:tcPr>
            <w:tcW w:type="dxa" w:w="643"/>
          </w:tcPr>
          <w:p>
            <w:pPr>
              <w:spacing w:after="0" w:line="240" w:lineRule="auto"/>
            </w:pPr>
            <w:r>
              <w:rPr>
                <w:b/>
                <w:sz w:val="17"/>
              </w:rPr>
              <w:t>DD-3</w:t>
            </w:r>
          </w:p>
        </w:tc>
        <w:tc>
          <w:tcPr>
            <w:tcW w:type="dxa" w:w="4498"/>
          </w:tcPr>
          <w:p>
            <w:pPr>
              <w:spacing w:after="0" w:line="240" w:lineRule="auto"/>
            </w:pPr>
            <w:r>
              <w:rPr>
                <w:sz w:val="17"/>
              </w:rPr>
              <w:t>Technology and zone routing come from the CMDB target record.</w:t>
            </w:r>
          </w:p>
        </w:tc>
        <w:tc>
          <w:tcPr>
            <w:tcW w:type="dxa" w:w="4498"/>
          </w:tcPr>
          <w:p>
            <w:pPr>
              <w:spacing w:after="0" w:line="240" w:lineRule="auto"/>
            </w:pPr>
            <w:r>
              <w:rPr>
                <w:sz w:val="17"/>
              </w:rPr>
              <w:t>Removes hand-edited variables (G7) and lets renewals run unattended.</w:t>
            </w:r>
          </w:p>
        </w:tc>
      </w:tr>
      <w:tr>
        <w:trPr>
          <w:cantSplit w:val="true"/>
        </w:trPr>
        <w:tc>
          <w:tcPr>
            <w:tcW w:type="dxa" w:w="643"/>
            <w:shd w:val="clear" w:color="auto" w:fill="F3F6F8"/>
          </w:tcPr>
          <w:p>
            <w:pPr>
              <w:spacing w:after="0" w:line="240" w:lineRule="auto"/>
            </w:pPr>
            <w:r>
              <w:rPr>
                <w:b/>
                <w:sz w:val="17"/>
              </w:rPr>
              <w:t>DD-4</w:t>
            </w:r>
          </w:p>
        </w:tc>
        <w:tc>
          <w:tcPr>
            <w:tcW w:type="dxa" w:w="4498"/>
            <w:shd w:val="clear" w:color="auto" w:fill="F3F6F8"/>
          </w:tcPr>
          <w:p>
            <w:pPr>
              <w:spacing w:after="0" w:line="240" w:lineRule="auto"/>
            </w:pPr>
            <w:r>
              <w:rPr>
                <w:sz w:val="17"/>
              </w:rPr>
              <w:t>CAs are connectors behind one interface.</w:t>
            </w:r>
          </w:p>
        </w:tc>
        <w:tc>
          <w:tcPr>
            <w:tcW w:type="dxa" w:w="4498"/>
            <w:shd w:val="clear" w:color="auto" w:fill="F3F6F8"/>
          </w:tcPr>
          <w:p>
            <w:pPr>
              <w:spacing w:after="0" w:line="240" w:lineRule="auto"/>
            </w:pPr>
            <w:r>
              <w:rPr>
                <w:sz w:val="17"/>
              </w:rPr>
              <w:t>Sectigo first; ACME, ADCS and others later without redesign.</w:t>
            </w:r>
          </w:p>
        </w:tc>
      </w:tr>
      <w:tr>
        <w:trPr>
          <w:cantSplit w:val="true"/>
        </w:trPr>
        <w:tc>
          <w:tcPr>
            <w:tcW w:type="dxa" w:w="643"/>
          </w:tcPr>
          <w:p>
            <w:pPr>
              <w:spacing w:after="0" w:line="240" w:lineRule="auto"/>
            </w:pPr>
            <w:r>
              <w:rPr>
                <w:b/>
                <w:sz w:val="17"/>
              </w:rPr>
              <w:t>DD-5</w:t>
            </w:r>
          </w:p>
        </w:tc>
        <w:tc>
          <w:tcPr>
            <w:tcW w:type="dxa" w:w="4498"/>
          </w:tcPr>
          <w:p>
            <w:pPr>
              <w:spacing w:after="0" w:line="240" w:lineRule="auto"/>
            </w:pPr>
            <w:r>
              <w:rPr>
                <w:sz w:val="17"/>
              </w:rPr>
              <w:t>Verification is against the live endpoint, and failure triggers rollback by default.</w:t>
            </w:r>
          </w:p>
        </w:tc>
        <w:tc>
          <w:tcPr>
            <w:tcW w:type="dxa" w:w="4498"/>
          </w:tcPr>
          <w:p>
            <w:pPr>
              <w:spacing w:after="0" w:line="240" w:lineRule="auto"/>
            </w:pPr>
            <w:r>
              <w:rPr>
                <w:sz w:val="17"/>
              </w:rPr>
              <w:t>A successful copy is not a successful deployment (principle 8).</w:t>
            </w:r>
          </w:p>
        </w:tc>
      </w:tr>
      <w:tr>
        <w:trPr>
          <w:cantSplit w:val="true"/>
        </w:trPr>
        <w:tc>
          <w:tcPr>
            <w:tcW w:type="dxa" w:w="643"/>
            <w:shd w:val="clear" w:color="auto" w:fill="F3F6F8"/>
          </w:tcPr>
          <w:p>
            <w:pPr>
              <w:spacing w:after="0" w:line="240" w:lineRule="auto"/>
            </w:pPr>
            <w:r>
              <w:rPr>
                <w:b/>
                <w:sz w:val="17"/>
              </w:rPr>
              <w:t>DD-6</w:t>
            </w:r>
          </w:p>
        </w:tc>
        <w:tc>
          <w:tcPr>
            <w:tcW w:type="dxa" w:w="4498"/>
            <w:shd w:val="clear" w:color="auto" w:fill="F3F6F8"/>
          </w:tcPr>
          <w:p>
            <w:pPr>
              <w:spacing w:after="0" w:line="240" w:lineRule="auto"/>
            </w:pPr>
            <w:r>
              <w:rPr>
                <w:sz w:val="17"/>
              </w:rPr>
              <w:t>Anything without a safe adapter goes to a manual task, and verification is still automated.</w:t>
            </w:r>
          </w:p>
        </w:tc>
        <w:tc>
          <w:tcPr>
            <w:tcW w:type="dxa" w:w="4498"/>
            <w:shd w:val="clear" w:color="auto" w:fill="F3F6F8"/>
          </w:tcPr>
          <w:p>
            <w:pPr>
              <w:spacing w:after="0" w:line="240" w:lineRule="auto"/>
            </w:pPr>
            <w:r>
              <w:rPr>
                <w:sz w:val="17"/>
              </w:rPr>
              <w:t>Full coverage of the estate without unsafe automation (D1).</w:t>
            </w:r>
          </w:p>
        </w:tc>
      </w:tr>
      <w:tr>
        <w:trPr>
          <w:cantSplit w:val="true"/>
        </w:trPr>
        <w:tc>
          <w:tcPr>
            <w:tcW w:type="dxa" w:w="643"/>
          </w:tcPr>
          <w:p>
            <w:pPr>
              <w:spacing w:after="0" w:line="240" w:lineRule="auto"/>
            </w:pPr>
            <w:r>
              <w:rPr>
                <w:b/>
                <w:sz w:val="17"/>
              </w:rPr>
              <w:t>DD-7</w:t>
            </w:r>
          </w:p>
        </w:tc>
        <w:tc>
          <w:tcPr>
            <w:tcW w:type="dxa" w:w="4498"/>
          </w:tcPr>
          <w:p>
            <w:pPr>
              <w:spacing w:after="0" w:line="240" w:lineRule="auto"/>
            </w:pPr>
            <w:r>
              <w:rPr>
                <w:sz w:val="17"/>
              </w:rPr>
              <w:t>Discovery and deployment are separate functions with separate credentials and workflows.</w:t>
            </w:r>
          </w:p>
        </w:tc>
        <w:tc>
          <w:tcPr>
            <w:tcW w:type="dxa" w:w="4498"/>
          </w:tcPr>
          <w:p>
            <w:pPr>
              <w:spacing w:after="0" w:line="240" w:lineRule="auto"/>
            </w:pPr>
            <w:r>
              <w:rPr>
                <w:sz w:val="17"/>
              </w:rPr>
              <w:t>Principle 1; discovery is read-only and lower risk.</w:t>
            </w:r>
          </w:p>
        </w:tc>
      </w:tr>
    </w:tbl>
    <w:p>
      <w:pPr>
        <w:spacing w:after="40"/>
      </w:pPr>
    </w:p>
    <w:p>
      <w:pPr>
        <w:pStyle w:val="Heading1"/>
        <w:pBdr>
          <w:bottom w:val="single" w:sz="8" w:space="2" w:color="2E7D32"/>
        </w:pBdr>
      </w:pPr>
      <w:r>
        <w:t>4. Architecture</w:t>
      </w:r>
    </w:p>
    <w:p>
      <w:pPr>
        <w:pStyle w:val="Heading2"/>
      </w:pPr>
      <w:r>
        <w:t>4.1 Logical architecture</w:t>
      </w:r>
    </w:p>
    <w:p>
      <w:r>
        <w:t>Figure 3 shows five layers. Each layer only talks to the one below it, and all platform-specific behaviour is confined to the adapter layer.</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576000" cy="5745600"/>
            <wp:docPr id="3" name="Picture 3"/>
            <wp:cNvGraphicFramePr>
              <a:graphicFrameLocks noChangeAspect="1"/>
            </wp:cNvGraphicFramePr>
            <a:graphic>
              <a:graphicData uri="http://schemas.openxmlformats.org/drawingml/2006/picture">
                <pic:pic>
                  <pic:nvPicPr>
                    <pic:cNvPr id="0" name="Fig03_logical_architecture.png"/>
                    <pic:cNvPicPr/>
                  </pic:nvPicPr>
                  <pic:blipFill>
                    <a:blip r:embed="rId12"/>
                    <a:stretch>
                      <a:fillRect/>
                    </a:stretch>
                  </pic:blipFill>
                  <pic:spPr>
                    <a:xfrm>
                      <a:off x="0" y="0"/>
                      <a:ext cx="9576000" cy="5745600"/>
                    </a:xfrm>
                    <a:prstGeom prst="rect"/>
                  </pic:spPr>
                </pic:pic>
              </a:graphicData>
            </a:graphic>
          </wp:inline>
        </w:drawing>
      </w:r>
    </w:p>
    <w:p>
      <w:pPr>
        <w:jc w:val="center"/>
      </w:pPr>
      <w:r>
        <w:rPr>
          <w:i/>
          <w:color w:val="606B7A"/>
          <w:sz w:val="18"/>
        </w:rPr>
        <w:t>Figure 3: Logical architecture: layers and components</w:t>
      </w:r>
    </w:p>
    <w:p>
      <w:pPr>
        <w:sectPr>
          <w:pgSz w:w="16838" w:h="11906" w:orient="landscape"/>
          <w:pgMar w:top="737" w:right="850" w:bottom="850" w:left="850" w:header="720" w:footer="720" w:gutter="0"/>
          <w:cols w:space="720"/>
          <w:docGrid w:linePitch="360"/>
        </w:sectPr>
      </w:pPr>
    </w:p>
    <w:p>
      <w:pPr>
        <w:pStyle w:val="Heading2"/>
      </w:pPr>
      <w:r>
        <w:t>4.2 Deployment architecture and security zones</w:t>
      </w:r>
    </w:p>
    <w:p>
      <w:r>
        <w:t>Figure 4 shows the production shape. ServiceNow never connects into the customer network: MID Servers open outbound HTTPS 443 connections and pick up jobs. Each network zone has its own MID Servers (a high-availability pair where deployment is critical) and its own discovery and deployment accounts. Credentials come from the vault just in time.</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8791578" cy="6263999"/>
            <wp:docPr id="4" name="Picture 4"/>
            <wp:cNvGraphicFramePr>
              <a:graphicFrameLocks noChangeAspect="1"/>
            </wp:cNvGraphicFramePr>
            <a:graphic>
              <a:graphicData uri="http://schemas.openxmlformats.org/drawingml/2006/picture">
                <pic:pic>
                  <pic:nvPicPr>
                    <pic:cNvPr id="0" name="Fig04_security_network_zones.png"/>
                    <pic:cNvPicPr/>
                  </pic:nvPicPr>
                  <pic:blipFill>
                    <a:blip r:embed="rId13"/>
                    <a:stretch>
                      <a:fillRect/>
                    </a:stretch>
                  </pic:blipFill>
                  <pic:spPr>
                    <a:xfrm>
                      <a:off x="0" y="0"/>
                      <a:ext cx="8791578" cy="6263999"/>
                    </a:xfrm>
                    <a:prstGeom prst="rect"/>
                  </pic:spPr>
                </pic:pic>
              </a:graphicData>
            </a:graphic>
          </wp:inline>
        </w:drawing>
      </w:r>
    </w:p>
    <w:p>
      <w:pPr>
        <w:jc w:val="center"/>
      </w:pPr>
      <w:r>
        <w:rPr>
          <w:i/>
          <w:color w:val="606B7A"/>
          <w:sz w:val="18"/>
        </w:rPr>
        <w:t>Figure 4: Security architecture and network zones</w:t>
      </w:r>
    </w:p>
    <w:p>
      <w:pPr>
        <w:sectPr>
          <w:pgSz w:w="16838" w:h="11906" w:orient="landscape"/>
          <w:pgMar w:top="737" w:right="850" w:bottom="850" w:left="850" w:header="720" w:footer="720" w:gutter="0"/>
          <w:cols w:space="720"/>
          <w:docGrid w:linePitch="360"/>
        </w:sectPr>
      </w:pPr>
    </w:p>
    <w:p>
      <w:pPr>
        <w:pStyle w:val="Heading2"/>
      </w:pPr>
      <w:r>
        <w:t>4.3 Components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2142"/>
            <w:shd w:val="clear" w:color="auto" w:fill="1F2D3D"/>
          </w:tcPr>
          <w:p>
            <w:pPr>
              <w:spacing w:after="0"/>
            </w:pPr>
            <w:r>
              <w:rPr>
                <w:b/>
                <w:color w:val="FFFFFF"/>
                <w:sz w:val="17"/>
              </w:rPr>
              <w:t>Component</w:t>
            </w:r>
          </w:p>
        </w:tc>
        <w:tc>
          <w:tcPr>
            <w:tcW w:type="dxa" w:w="5354"/>
            <w:shd w:val="clear" w:color="auto" w:fill="1F2D3D"/>
          </w:tcPr>
          <w:p>
            <w:pPr>
              <w:spacing w:after="0"/>
            </w:pPr>
            <w:r>
              <w:rPr>
                <w:b/>
                <w:color w:val="FFFFFF"/>
                <w:sz w:val="17"/>
              </w:rPr>
              <w:t>Responsibility</w:t>
            </w:r>
          </w:p>
        </w:tc>
        <w:tc>
          <w:tcPr>
            <w:tcW w:type="dxa" w:w="2142"/>
            <w:shd w:val="clear" w:color="auto" w:fill="1F2D3D"/>
          </w:tcPr>
          <w:p>
            <w:pPr>
              <w:spacing w:after="0"/>
            </w:pPr>
            <w:r>
              <w:rPr>
                <w:b/>
                <w:color w:val="FFFFFF"/>
                <w:sz w:val="17"/>
              </w:rPr>
              <w:t>Runs on</w:t>
            </w:r>
          </w:p>
        </w:tc>
      </w:tr>
      <w:tr>
        <w:trPr>
          <w:cantSplit w:val="true"/>
        </w:trPr>
        <w:tc>
          <w:tcPr>
            <w:tcW w:type="dxa" w:w="2142"/>
          </w:tcPr>
          <w:p>
            <w:pPr>
              <w:spacing w:after="0" w:line="240" w:lineRule="auto"/>
            </w:pPr>
            <w:r>
              <w:rPr>
                <w:sz w:val="17"/>
              </w:rPr>
              <w:t>Request and approval</w:t>
            </w:r>
          </w:p>
        </w:tc>
        <w:tc>
          <w:tcPr>
            <w:tcW w:type="dxa" w:w="5354"/>
          </w:tcPr>
          <w:p>
            <w:pPr>
              <w:spacing w:after="0" w:line="240" w:lineRule="auto"/>
            </w:pPr>
            <w:r>
              <w:rPr>
                <w:sz w:val="17"/>
              </w:rPr>
              <w:t>Catalog, validation against policy, approvals, change link.</w:t>
            </w:r>
          </w:p>
        </w:tc>
        <w:tc>
          <w:tcPr>
            <w:tcW w:type="dxa" w:w="2142"/>
          </w:tcPr>
          <w:p>
            <w:pPr>
              <w:spacing w:after="0" w:line="240" w:lineRule="auto"/>
            </w:pPr>
            <w:r>
              <w:rPr>
                <w:sz w:val="17"/>
              </w:rPr>
              <w:t>ServiceNow</w:t>
            </w:r>
          </w:p>
        </w:tc>
      </w:tr>
      <w:tr>
        <w:trPr>
          <w:cantSplit w:val="true"/>
        </w:trPr>
        <w:tc>
          <w:tcPr>
            <w:tcW w:type="dxa" w:w="2142"/>
            <w:shd w:val="clear" w:color="auto" w:fill="F3F6F8"/>
          </w:tcPr>
          <w:p>
            <w:pPr>
              <w:spacing w:after="0" w:line="240" w:lineRule="auto"/>
            </w:pPr>
            <w:r>
              <w:rPr>
                <w:sz w:val="17"/>
              </w:rPr>
              <w:t>Inventory</w:t>
            </w:r>
          </w:p>
        </w:tc>
        <w:tc>
          <w:tcPr>
            <w:tcW w:type="dxa" w:w="5354"/>
            <w:shd w:val="clear" w:color="auto" w:fill="F3F6F8"/>
          </w:tcPr>
          <w:p>
            <w:pPr>
              <w:spacing w:after="0" w:line="240" w:lineRule="auto"/>
            </w:pPr>
            <w:r>
              <w:rPr>
                <w:sz w:val="17"/>
              </w:rPr>
              <w:t>Certificate, Binding and Target records; expiry calculation; CMDB relationships.</w:t>
            </w:r>
          </w:p>
        </w:tc>
        <w:tc>
          <w:tcPr>
            <w:tcW w:type="dxa" w:w="2142"/>
            <w:shd w:val="clear" w:color="auto" w:fill="F3F6F8"/>
          </w:tcPr>
          <w:p>
            <w:pPr>
              <w:spacing w:after="0" w:line="240" w:lineRule="auto"/>
            </w:pPr>
            <w:r>
              <w:rPr>
                <w:sz w:val="17"/>
              </w:rPr>
              <w:t>ServiceNow</w:t>
            </w:r>
          </w:p>
        </w:tc>
      </w:tr>
      <w:tr>
        <w:trPr>
          <w:cantSplit w:val="true"/>
        </w:trPr>
        <w:tc>
          <w:tcPr>
            <w:tcW w:type="dxa" w:w="2142"/>
          </w:tcPr>
          <w:p>
            <w:pPr>
              <w:spacing w:after="0" w:line="240" w:lineRule="auto"/>
            </w:pPr>
            <w:r>
              <w:rPr>
                <w:sz w:val="17"/>
              </w:rPr>
              <w:t>Orchestrator</w:t>
            </w:r>
          </w:p>
        </w:tc>
        <w:tc>
          <w:tcPr>
            <w:tcW w:type="dxa" w:w="5354"/>
          </w:tcPr>
          <w:p>
            <w:pPr>
              <w:spacing w:after="0" w:line="240" w:lineRule="auto"/>
            </w:pPr>
            <w:r>
              <w:rPr>
                <w:sz w:val="17"/>
              </w:rPr>
              <w:t>State machine and workflow; retries, timeouts, concurrency and scheduling.</w:t>
            </w:r>
          </w:p>
        </w:tc>
        <w:tc>
          <w:tcPr>
            <w:tcW w:type="dxa" w:w="2142"/>
          </w:tcPr>
          <w:p>
            <w:pPr>
              <w:spacing w:after="0" w:line="240" w:lineRule="auto"/>
            </w:pPr>
            <w:r>
              <w:rPr>
                <w:sz w:val="17"/>
              </w:rPr>
              <w:t>ServiceNow (Flow Designer and scripted actions)</w:t>
            </w:r>
          </w:p>
        </w:tc>
      </w:tr>
      <w:tr>
        <w:trPr>
          <w:cantSplit w:val="true"/>
        </w:trPr>
        <w:tc>
          <w:tcPr>
            <w:tcW w:type="dxa" w:w="2142"/>
            <w:shd w:val="clear" w:color="auto" w:fill="F3F6F8"/>
          </w:tcPr>
          <w:p>
            <w:pPr>
              <w:spacing w:after="0" w:line="240" w:lineRule="auto"/>
            </w:pPr>
            <w:r>
              <w:rPr>
                <w:sz w:val="17"/>
              </w:rPr>
              <w:t>Policy engine</w:t>
            </w:r>
          </w:p>
        </w:tc>
        <w:tc>
          <w:tcPr>
            <w:tcW w:type="dxa" w:w="5354"/>
            <w:shd w:val="clear" w:color="auto" w:fill="F3F6F8"/>
          </w:tcPr>
          <w:p>
            <w:pPr>
              <w:spacing w:after="0" w:line="240" w:lineRule="auto"/>
            </w:pPr>
            <w:r>
              <w:rPr>
                <w:sz w:val="17"/>
              </w:rPr>
              <w:t>Key size, algorithms, validity, allowed CAs and domains, approval rules, windows.</w:t>
            </w:r>
          </w:p>
        </w:tc>
        <w:tc>
          <w:tcPr>
            <w:tcW w:type="dxa" w:w="2142"/>
            <w:shd w:val="clear" w:color="auto" w:fill="F3F6F8"/>
          </w:tcPr>
          <w:p>
            <w:pPr>
              <w:spacing w:after="0" w:line="240" w:lineRule="auto"/>
            </w:pPr>
            <w:r>
              <w:rPr>
                <w:sz w:val="17"/>
              </w:rPr>
              <w:t>ServiceNow</w:t>
            </w:r>
          </w:p>
        </w:tc>
      </w:tr>
      <w:tr>
        <w:trPr>
          <w:cantSplit w:val="true"/>
        </w:trPr>
        <w:tc>
          <w:tcPr>
            <w:tcW w:type="dxa" w:w="2142"/>
          </w:tcPr>
          <w:p>
            <w:pPr>
              <w:spacing w:after="0" w:line="240" w:lineRule="auto"/>
            </w:pPr>
            <w:r>
              <w:rPr>
                <w:sz w:val="17"/>
              </w:rPr>
              <w:t>Adapter registry and router</w:t>
            </w:r>
          </w:p>
        </w:tc>
        <w:tc>
          <w:tcPr>
            <w:tcW w:type="dxa" w:w="5354"/>
          </w:tcPr>
          <w:p>
            <w:pPr>
              <w:spacing w:after="0" w:line="240" w:lineRule="auto"/>
            </w:pPr>
            <w:r>
              <w:rPr>
                <w:sz w:val="17"/>
              </w:rPr>
              <w:t>Approved, signed adapter versions; chooses the adapter from technology, zone and capability.</w:t>
            </w:r>
          </w:p>
        </w:tc>
        <w:tc>
          <w:tcPr>
            <w:tcW w:type="dxa" w:w="2142"/>
          </w:tcPr>
          <w:p>
            <w:pPr>
              <w:spacing w:after="0" w:line="240" w:lineRule="auto"/>
            </w:pPr>
            <w:r>
              <w:rPr>
                <w:sz w:val="17"/>
              </w:rPr>
              <w:t>ServiceNow</w:t>
            </w:r>
          </w:p>
        </w:tc>
      </w:tr>
      <w:tr>
        <w:trPr>
          <w:cantSplit w:val="true"/>
        </w:trPr>
        <w:tc>
          <w:tcPr>
            <w:tcW w:type="dxa" w:w="2142"/>
            <w:shd w:val="clear" w:color="auto" w:fill="F3F6F8"/>
          </w:tcPr>
          <w:p>
            <w:pPr>
              <w:spacing w:after="0" w:line="240" w:lineRule="auto"/>
            </w:pPr>
            <w:r>
              <w:rPr>
                <w:sz w:val="17"/>
              </w:rPr>
              <w:t>Credential broker</w:t>
            </w:r>
          </w:p>
        </w:tc>
        <w:tc>
          <w:tcPr>
            <w:tcW w:type="dxa" w:w="5354"/>
            <w:shd w:val="clear" w:color="auto" w:fill="F3F6F8"/>
          </w:tcPr>
          <w:p>
            <w:pPr>
              <w:spacing w:after="0" w:line="240" w:lineRule="auto"/>
            </w:pPr>
            <w:r>
              <w:rPr>
                <w:sz w:val="17"/>
              </w:rPr>
              <w:t>Resolves credential aliases into JIT secrets; never stores secrets.</w:t>
            </w:r>
          </w:p>
        </w:tc>
        <w:tc>
          <w:tcPr>
            <w:tcW w:type="dxa" w:w="2142"/>
            <w:shd w:val="clear" w:color="auto" w:fill="F3F6F8"/>
          </w:tcPr>
          <w:p>
            <w:pPr>
              <w:spacing w:after="0" w:line="240" w:lineRule="auto"/>
            </w:pPr>
            <w:r>
              <w:rPr>
                <w:sz w:val="17"/>
              </w:rPr>
              <w:t>ServiceNow plus vault connector</w:t>
            </w:r>
          </w:p>
        </w:tc>
      </w:tr>
      <w:tr>
        <w:trPr>
          <w:cantSplit w:val="true"/>
        </w:trPr>
        <w:tc>
          <w:tcPr>
            <w:tcW w:type="dxa" w:w="2142"/>
          </w:tcPr>
          <w:p>
            <w:pPr>
              <w:spacing w:after="0" w:line="240" w:lineRule="auto"/>
            </w:pPr>
            <w:r>
              <w:rPr>
                <w:sz w:val="17"/>
              </w:rPr>
              <w:t>CA connectors</w:t>
            </w:r>
          </w:p>
        </w:tc>
        <w:tc>
          <w:tcPr>
            <w:tcW w:type="dxa" w:w="5354"/>
          </w:tcPr>
          <w:p>
            <w:pPr>
              <w:spacing w:after="0" w:line="240" w:lineRule="auto"/>
            </w:pPr>
            <w:r>
              <w:rPr>
                <w:sz w:val="17"/>
              </w:rPr>
              <w:t>Enroll, collect, renew, revoke, status per CA.</w:t>
            </w:r>
          </w:p>
        </w:tc>
        <w:tc>
          <w:tcPr>
            <w:tcW w:type="dxa" w:w="2142"/>
          </w:tcPr>
          <w:p>
            <w:pPr>
              <w:spacing w:after="0" w:line="240" w:lineRule="auto"/>
            </w:pPr>
            <w:r>
              <w:rPr>
                <w:sz w:val="17"/>
              </w:rPr>
              <w:t>ServiceNow (REST) or MID Server</w:t>
            </w:r>
          </w:p>
        </w:tc>
      </w:tr>
      <w:tr>
        <w:trPr>
          <w:cantSplit w:val="true"/>
        </w:trPr>
        <w:tc>
          <w:tcPr>
            <w:tcW w:type="dxa" w:w="2142"/>
            <w:shd w:val="clear" w:color="auto" w:fill="F3F6F8"/>
          </w:tcPr>
          <w:p>
            <w:pPr>
              <w:spacing w:after="0" w:line="240" w:lineRule="auto"/>
            </w:pPr>
            <w:r>
              <w:rPr>
                <w:sz w:val="17"/>
              </w:rPr>
              <w:t>MID dispatcher</w:t>
            </w:r>
          </w:p>
        </w:tc>
        <w:tc>
          <w:tcPr>
            <w:tcW w:type="dxa" w:w="5354"/>
            <w:shd w:val="clear" w:color="auto" w:fill="F3F6F8"/>
          </w:tcPr>
          <w:p>
            <w:pPr>
              <w:spacing w:after="0" w:line="240" w:lineRule="auto"/>
            </w:pPr>
            <w:r>
              <w:rPr>
                <w:sz w:val="17"/>
              </w:rPr>
              <w:t>Zone-aware job dispatch, health and failover.</w:t>
            </w:r>
          </w:p>
        </w:tc>
        <w:tc>
          <w:tcPr>
            <w:tcW w:type="dxa" w:w="2142"/>
            <w:shd w:val="clear" w:color="auto" w:fill="F3F6F8"/>
          </w:tcPr>
          <w:p>
            <w:pPr>
              <w:spacing w:after="0" w:line="240" w:lineRule="auto"/>
            </w:pPr>
            <w:r>
              <w:rPr>
                <w:sz w:val="17"/>
              </w:rPr>
              <w:t>ServiceNow and MID Servers</w:t>
            </w:r>
          </w:p>
        </w:tc>
      </w:tr>
      <w:tr>
        <w:trPr>
          <w:cantSplit w:val="true"/>
        </w:trPr>
        <w:tc>
          <w:tcPr>
            <w:tcW w:type="dxa" w:w="2142"/>
          </w:tcPr>
          <w:p>
            <w:pPr>
              <w:spacing w:after="0" w:line="240" w:lineRule="auto"/>
            </w:pPr>
            <w:r>
              <w:rPr>
                <w:sz w:val="17"/>
              </w:rPr>
              <w:t>Adapters</w:t>
            </w:r>
          </w:p>
        </w:tc>
        <w:tc>
          <w:tcPr>
            <w:tcW w:type="dxa" w:w="5354"/>
          </w:tcPr>
          <w:p>
            <w:pPr>
              <w:spacing w:after="0" w:line="240" w:lineRule="auto"/>
            </w:pPr>
            <w:r>
              <w:rPr>
                <w:sz w:val="17"/>
              </w:rPr>
              <w:t>Technology-specific pre-check, CSR, install, activate, verify, rollback, discovery.</w:t>
            </w:r>
          </w:p>
        </w:tc>
        <w:tc>
          <w:tcPr>
            <w:tcW w:type="dxa" w:w="2142"/>
          </w:tcPr>
          <w:p>
            <w:pPr>
              <w:spacing w:after="0" w:line="240" w:lineRule="auto"/>
            </w:pPr>
            <w:r>
              <w:rPr>
                <w:sz w:val="17"/>
              </w:rPr>
              <w:t>MID Server (signed)</w:t>
            </w:r>
          </w:p>
        </w:tc>
      </w:tr>
      <w:tr>
        <w:trPr>
          <w:cantSplit w:val="true"/>
        </w:trPr>
        <w:tc>
          <w:tcPr>
            <w:tcW w:type="dxa" w:w="2142"/>
            <w:shd w:val="clear" w:color="auto" w:fill="F3F6F8"/>
          </w:tcPr>
          <w:p>
            <w:pPr>
              <w:spacing w:after="0" w:line="240" w:lineRule="auto"/>
            </w:pPr>
            <w:r>
              <w:rPr>
                <w:sz w:val="17"/>
              </w:rPr>
              <w:t>Notification and manual tasks</w:t>
            </w:r>
          </w:p>
        </w:tc>
        <w:tc>
          <w:tcPr>
            <w:tcW w:type="dxa" w:w="5354"/>
            <w:shd w:val="clear" w:color="auto" w:fill="F3F6F8"/>
          </w:tcPr>
          <w:p>
            <w:pPr>
              <w:spacing w:after="0" w:line="240" w:lineRule="auto"/>
            </w:pPr>
            <w:r>
              <w:rPr>
                <w:sz w:val="17"/>
              </w:rPr>
              <w:t>Owner notifications, manual fallback tasks, incidents.</w:t>
            </w:r>
          </w:p>
        </w:tc>
        <w:tc>
          <w:tcPr>
            <w:tcW w:type="dxa" w:w="2142"/>
            <w:shd w:val="clear" w:color="auto" w:fill="F3F6F8"/>
          </w:tcPr>
          <w:p>
            <w:pPr>
              <w:spacing w:after="0" w:line="240" w:lineRule="auto"/>
            </w:pPr>
            <w:r>
              <w:rPr>
                <w:sz w:val="17"/>
              </w:rPr>
              <w:t>ServiceNow</w:t>
            </w:r>
          </w:p>
        </w:tc>
      </w:tr>
      <w:tr>
        <w:trPr>
          <w:cantSplit w:val="true"/>
        </w:trPr>
        <w:tc>
          <w:tcPr>
            <w:tcW w:type="dxa" w:w="2142"/>
          </w:tcPr>
          <w:p>
            <w:pPr>
              <w:spacing w:after="0" w:line="240" w:lineRule="auto"/>
            </w:pPr>
            <w:r>
              <w:rPr>
                <w:sz w:val="17"/>
              </w:rPr>
              <w:t>Audit and reporting</w:t>
            </w:r>
          </w:p>
        </w:tc>
        <w:tc>
          <w:tcPr>
            <w:tcW w:type="dxa" w:w="5354"/>
          </w:tcPr>
          <w:p>
            <w:pPr>
              <w:spacing w:after="0" w:line="240" w:lineRule="auto"/>
            </w:pPr>
            <w:r>
              <w:rPr>
                <w:sz w:val="17"/>
              </w:rPr>
              <w:t>Tamper-evident audit trail, dashboards, SIEM export.</w:t>
            </w:r>
          </w:p>
        </w:tc>
        <w:tc>
          <w:tcPr>
            <w:tcW w:type="dxa" w:w="2142"/>
          </w:tcPr>
          <w:p>
            <w:pPr>
              <w:spacing w:after="0" w:line="240" w:lineRule="auto"/>
            </w:pPr>
            <w:r>
              <w:rPr>
                <w:sz w:val="17"/>
              </w:rPr>
              <w:t>ServiceNow plus SIEM</w:t>
            </w:r>
          </w:p>
        </w:tc>
      </w:tr>
      <w:tr>
        <w:trPr>
          <w:cantSplit w:val="true"/>
        </w:trPr>
        <w:tc>
          <w:tcPr>
            <w:tcW w:type="dxa" w:w="2142"/>
            <w:shd w:val="clear" w:color="auto" w:fill="F3F6F8"/>
          </w:tcPr>
          <w:p>
            <w:pPr>
              <w:spacing w:after="0" w:line="240" w:lineRule="auto"/>
            </w:pPr>
            <w:r>
              <w:rPr>
                <w:sz w:val="17"/>
              </w:rPr>
              <w:t>Vault</w:t>
            </w:r>
          </w:p>
        </w:tc>
        <w:tc>
          <w:tcPr>
            <w:tcW w:type="dxa" w:w="5354"/>
            <w:shd w:val="clear" w:color="auto" w:fill="F3F6F8"/>
          </w:tcPr>
          <w:p>
            <w:pPr>
              <w:spacing w:after="0" w:line="240" w:lineRule="auto"/>
            </w:pPr>
            <w:r>
              <w:rPr>
                <w:sz w:val="17"/>
              </w:rPr>
              <w:t>Dynamic secrets, key custody, HSM or KMS.</w:t>
            </w:r>
          </w:p>
        </w:tc>
        <w:tc>
          <w:tcPr>
            <w:tcW w:type="dxa" w:w="2142"/>
            <w:shd w:val="clear" w:color="auto" w:fill="F3F6F8"/>
          </w:tcPr>
          <w:p>
            <w:pPr>
              <w:spacing w:after="0" w:line="240" w:lineRule="auto"/>
            </w:pPr>
            <w:r>
              <w:rPr>
                <w:sz w:val="17"/>
              </w:rPr>
              <w:t>HashiCorp Vault, CyberArk or Azure Key Vault (Q3)</w:t>
            </w:r>
          </w:p>
        </w:tc>
      </w:tr>
    </w:tbl>
    <w:p>
      <w:pPr>
        <w:spacing w:after="40"/>
      </w:pPr>
    </w:p>
    <w:p>
      <w:pPr>
        <w:pStyle w:val="Heading2"/>
      </w:pPr>
      <w:r>
        <w:t>4.4 Technology baseline</w:t>
      </w:r>
    </w:p>
    <w:p>
      <w:pPr>
        <w:pStyle w:val="ListBullet"/>
      </w:pPr>
      <w:r>
        <w:t>Platform: ServiceNow (scoped application), Flow Designer, scripted REST, MID Server on Java 17 or the version required by the instance release.</w:t>
      </w:r>
    </w:p>
    <w:p>
      <w:pPr>
        <w:pStyle w:val="ListBullet"/>
      </w:pPr>
      <w:r>
        <w:t>Adapters: PowerShell 5.1/7 (Windows), POSIX shell plus OpenSSL (Linux), kubectl or the Kubernetes API (Kubernetes), keytool (Java), vendor REST APIs (load balancers), MDM REST APIs (Apple).</w:t>
      </w:r>
    </w:p>
    <w:p>
      <w:pPr>
        <w:pStyle w:val="ListBullet"/>
      </w:pPr>
      <w:r>
        <w:t>CAs: Sectigo Certificate Manager REST API first; ACME (RFC 8555) and Microsoft ADCS later.</w:t>
      </w:r>
    </w:p>
    <w:p>
      <w:pPr>
        <w:pStyle w:val="ListBullet"/>
      </w:pPr>
      <w:r>
        <w:t>Transport: WinRM over HTTPS or Kerberos, SSH with certificates, Kubernetes API over TLS, REST over TLS 1.2 or higher.</w:t>
      </w:r>
    </w:p>
    <w:p>
      <w:pPr>
        <w:pStyle w:val="ListBullet"/>
      </w:pPr>
      <w:r>
        <w:t>Source control and CI for adapters, with signing of releases.</w:t>
      </w:r>
    </w:p>
    <w:p>
      <w:pPr>
        <w:pStyle w:val="Heading1"/>
        <w:pBdr>
          <w:bottom w:val="single" w:sz="8" w:space="2" w:color="2E7D32"/>
        </w:pBdr>
      </w:pPr>
      <w:r>
        <w:t>5. Functional requirements</w:t>
      </w:r>
    </w:p>
    <w:p>
      <w:r>
        <w:t>Requirements are grouped by area. The certificate lifecycle they implement is in Figure 5, the end-to-end workflow in Figure 6, and the message flow in Figure 7.</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576000" cy="5745600"/>
            <wp:docPr id="5" name="Picture 5"/>
            <wp:cNvGraphicFramePr>
              <a:graphicFrameLocks noChangeAspect="1"/>
            </wp:cNvGraphicFramePr>
            <a:graphic>
              <a:graphicData uri="http://schemas.openxmlformats.org/drawingml/2006/picture">
                <pic:pic>
                  <pic:nvPicPr>
                    <pic:cNvPr id="0" name="Fig05_certificate_lifecycle.png"/>
                    <pic:cNvPicPr/>
                  </pic:nvPicPr>
                  <pic:blipFill>
                    <a:blip r:embed="rId14"/>
                    <a:stretch>
                      <a:fillRect/>
                    </a:stretch>
                  </pic:blipFill>
                  <pic:spPr>
                    <a:xfrm>
                      <a:off x="0" y="0"/>
                      <a:ext cx="9576000" cy="5745600"/>
                    </a:xfrm>
                    <a:prstGeom prst="rect"/>
                  </pic:spPr>
                </pic:pic>
              </a:graphicData>
            </a:graphic>
          </wp:inline>
        </w:drawing>
      </w:r>
    </w:p>
    <w:p>
      <w:pPr>
        <w:jc w:val="center"/>
      </w:pPr>
      <w:r>
        <w:rPr>
          <w:i/>
          <w:color w:val="606B7A"/>
          <w:sz w:val="18"/>
        </w:rPr>
        <w:t>Figure 5: Certificate lifecycle state machine</w:t>
      </w:r>
    </w:p>
    <w:p>
      <w:r>
        <w:br w:type="page"/>
      </w:r>
    </w:p>
    <w:p>
      <w:pPr>
        <w:spacing w:after="40"/>
        <w:jc w:val="center"/>
      </w:pPr>
      <w:r>
        <w:drawing>
          <wp:inline xmlns:a="http://schemas.openxmlformats.org/drawingml/2006/main" xmlns:pic="http://schemas.openxmlformats.org/drawingml/2006/picture">
            <wp:extent cx="9576000" cy="6224400"/>
            <wp:docPr id="6" name="Picture 6"/>
            <wp:cNvGraphicFramePr>
              <a:graphicFrameLocks noChangeAspect="1"/>
            </wp:cNvGraphicFramePr>
            <a:graphic>
              <a:graphicData uri="http://schemas.openxmlformats.org/drawingml/2006/picture">
                <pic:pic>
                  <pic:nvPicPr>
                    <pic:cNvPr id="0" name="Fig06_deployment_workflow.png"/>
                    <pic:cNvPicPr/>
                  </pic:nvPicPr>
                  <pic:blipFill>
                    <a:blip r:embed="rId15"/>
                    <a:stretch>
                      <a:fillRect/>
                    </a:stretch>
                  </pic:blipFill>
                  <pic:spPr>
                    <a:xfrm>
                      <a:off x="0" y="0"/>
                      <a:ext cx="9576000" cy="6224400"/>
                    </a:xfrm>
                    <a:prstGeom prst="rect"/>
                  </pic:spPr>
                </pic:pic>
              </a:graphicData>
            </a:graphic>
          </wp:inline>
        </w:drawing>
      </w:r>
    </w:p>
    <w:p>
      <w:pPr>
        <w:jc w:val="center"/>
      </w:pPr>
      <w:r>
        <w:rPr>
          <w:i/>
          <w:color w:val="606B7A"/>
          <w:sz w:val="18"/>
        </w:rPr>
        <w:t>Figure 6: End-to-end deployment workflow with pre-check, rollback and manual fallback</w:t>
      </w:r>
    </w:p>
    <w:p>
      <w:r>
        <w:br w:type="page"/>
      </w:r>
    </w:p>
    <w:p>
      <w:pPr>
        <w:spacing w:after="40"/>
        <w:jc w:val="center"/>
      </w:pPr>
      <w:r>
        <w:drawing>
          <wp:inline xmlns:a="http://schemas.openxmlformats.org/drawingml/2006/main" xmlns:pic="http://schemas.openxmlformats.org/drawingml/2006/picture">
            <wp:extent cx="8948571" cy="6264000"/>
            <wp:docPr id="7" name="Picture 7"/>
            <wp:cNvGraphicFramePr>
              <a:graphicFrameLocks noChangeAspect="1"/>
            </wp:cNvGraphicFramePr>
            <a:graphic>
              <a:graphicData uri="http://schemas.openxmlformats.org/drawingml/2006/picture">
                <pic:pic>
                  <pic:nvPicPr>
                    <pic:cNvPr id="0" name="Fig07_sequence_issue_deploy.png"/>
                    <pic:cNvPicPr/>
                  </pic:nvPicPr>
                  <pic:blipFill>
                    <a:blip r:embed="rId16"/>
                    <a:stretch>
                      <a:fillRect/>
                    </a:stretch>
                  </pic:blipFill>
                  <pic:spPr>
                    <a:xfrm>
                      <a:off x="0" y="0"/>
                      <a:ext cx="8948571" cy="6264000"/>
                    </a:xfrm>
                    <a:prstGeom prst="rect"/>
                  </pic:spPr>
                </pic:pic>
              </a:graphicData>
            </a:graphic>
          </wp:inline>
        </w:drawing>
      </w:r>
    </w:p>
    <w:p>
      <w:pPr>
        <w:jc w:val="center"/>
      </w:pPr>
      <w:r>
        <w:rPr>
          <w:i/>
          <w:color w:val="606B7A"/>
          <w:sz w:val="18"/>
        </w:rPr>
        <w:t>Figure 7: Sequence: issue a certificate and deploy it</w:t>
      </w:r>
    </w:p>
    <w:p>
      <w:pPr>
        <w:sectPr>
          <w:pgSz w:w="16838" w:h="11906" w:orient="landscape"/>
          <w:pgMar w:top="737" w:right="850" w:bottom="850" w:left="850" w:header="720" w:footer="720" w:gutter="0"/>
          <w:cols w:space="720"/>
          <w:docGrid w:linePitch="360"/>
        </w:sectPr>
      </w:pPr>
    </w:p>
    <w:p>
      <w:pPr>
        <w:pStyle w:val="Heading2"/>
      </w:pPr>
      <w:r>
        <w:t>5.1 Inventory and discovery (INV)</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FR-INV-001</w:t>
            </w:r>
          </w:p>
        </w:tc>
        <w:tc>
          <w:tcPr>
            <w:tcW w:type="dxa" w:w="6300"/>
          </w:tcPr>
          <w:p>
            <w:pPr>
              <w:spacing w:after="0" w:line="240" w:lineRule="auto"/>
            </w:pPr>
            <w:r>
              <w:rPr>
                <w:sz w:val="17"/>
              </w:rPr>
              <w:t>Maintain a central inventory of certificates: common name, SANs, serial, SHA-256 thumbprint, issuer, validity dates, key algorithm and size, owner group, environment, state.</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 D1</w:t>
            </w:r>
          </w:p>
        </w:tc>
      </w:tr>
      <w:tr>
        <w:trPr>
          <w:cantSplit w:val="true"/>
        </w:trPr>
        <w:tc>
          <w:tcPr>
            <w:tcW w:type="dxa" w:w="1175"/>
            <w:shd w:val="clear" w:color="auto" w:fill="F3F6F8"/>
          </w:tcPr>
          <w:p>
            <w:pPr>
              <w:spacing w:after="0" w:line="240" w:lineRule="auto"/>
            </w:pPr>
            <w:r>
              <w:rPr>
                <w:b/>
                <w:sz w:val="17"/>
              </w:rPr>
              <w:t>FR-INV-002</w:t>
            </w:r>
          </w:p>
        </w:tc>
        <w:tc>
          <w:tcPr>
            <w:tcW w:type="dxa" w:w="6300"/>
            <w:shd w:val="clear" w:color="auto" w:fill="F3F6F8"/>
          </w:tcPr>
          <w:p>
            <w:pPr>
              <w:spacing w:after="0" w:line="240" w:lineRule="auto"/>
            </w:pPr>
            <w:r>
              <w:rPr>
                <w:sz w:val="17"/>
              </w:rPr>
              <w:t>Link each certificate to one or more Bindings (target, service, port, store path or secret name) so the renewal target is known without human input.</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FR-INV-003</w:t>
            </w:r>
          </w:p>
        </w:tc>
        <w:tc>
          <w:tcPr>
            <w:tcW w:type="dxa" w:w="6300"/>
          </w:tcPr>
          <w:p>
            <w:pPr>
              <w:spacing w:after="0" w:line="240" w:lineRule="auto"/>
            </w:pPr>
            <w:r>
              <w:rPr>
                <w:sz w:val="17"/>
              </w:rPr>
              <w:t>Seed the inventory by manual entry, CSV import and REST API.</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FR-INV-004</w:t>
            </w:r>
          </w:p>
        </w:tc>
        <w:tc>
          <w:tcPr>
            <w:tcW w:type="dxa" w:w="6300"/>
            <w:shd w:val="clear" w:color="auto" w:fill="F3F6F8"/>
          </w:tcPr>
          <w:p>
            <w:pPr>
              <w:spacing w:after="0" w:line="240" w:lineRule="auto"/>
            </w:pPr>
            <w:r>
              <w:rPr>
                <w:sz w:val="17"/>
              </w:rPr>
              <w:t>Endpoint discovery: TLS scan of host and port ranges from a MID Server, recording the presented chain. Requires no server login.</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D1</w:t>
            </w:r>
          </w:p>
        </w:tc>
      </w:tr>
      <w:tr>
        <w:trPr>
          <w:cantSplit w:val="true"/>
        </w:trPr>
        <w:tc>
          <w:tcPr>
            <w:tcW w:type="dxa" w:w="1175"/>
          </w:tcPr>
          <w:p>
            <w:pPr>
              <w:spacing w:after="0" w:line="240" w:lineRule="auto"/>
            </w:pPr>
            <w:r>
              <w:rPr>
                <w:b/>
                <w:sz w:val="17"/>
              </w:rPr>
              <w:t>FR-INV-005</w:t>
            </w:r>
          </w:p>
        </w:tc>
        <w:tc>
          <w:tcPr>
            <w:tcW w:type="dxa" w:w="6300"/>
          </w:tcPr>
          <w:p>
            <w:pPr>
              <w:spacing w:after="0" w:line="240" w:lineRule="auto"/>
            </w:pPr>
            <w:r>
              <w:rPr>
                <w:sz w:val="17"/>
              </w:rPr>
              <w:t>Host-level discovery: read certificate stores, keystores and paths through adapters using dedicated read-only credentials.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D1, D2</w:t>
            </w:r>
          </w:p>
        </w:tc>
      </w:tr>
      <w:tr>
        <w:trPr>
          <w:cantSplit w:val="true"/>
        </w:trPr>
        <w:tc>
          <w:tcPr>
            <w:tcW w:type="dxa" w:w="1175"/>
            <w:shd w:val="clear" w:color="auto" w:fill="F3F6F8"/>
          </w:tcPr>
          <w:p>
            <w:pPr>
              <w:spacing w:after="0" w:line="240" w:lineRule="auto"/>
            </w:pPr>
            <w:r>
              <w:rPr>
                <w:b/>
                <w:sz w:val="17"/>
              </w:rPr>
              <w:t>FR-INV-006</w:t>
            </w:r>
          </w:p>
        </w:tc>
        <w:tc>
          <w:tcPr>
            <w:tcW w:type="dxa" w:w="6300"/>
            <w:shd w:val="clear" w:color="auto" w:fill="F3F6F8"/>
          </w:tcPr>
          <w:p>
            <w:pPr>
              <w:spacing w:after="0" w:line="240" w:lineRule="auto"/>
            </w:pPr>
            <w:r>
              <w:rPr>
                <w:sz w:val="17"/>
              </w:rPr>
              <w:t>Discovery and deployment shall use different credentials, roles and workflow permissions. No account holds both.</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D1, D2</w:t>
            </w:r>
          </w:p>
        </w:tc>
      </w:tr>
      <w:tr>
        <w:trPr>
          <w:cantSplit w:val="true"/>
        </w:trPr>
        <w:tc>
          <w:tcPr>
            <w:tcW w:type="dxa" w:w="1175"/>
          </w:tcPr>
          <w:p>
            <w:pPr>
              <w:spacing w:after="0" w:line="240" w:lineRule="auto"/>
            </w:pPr>
            <w:r>
              <w:rPr>
                <w:b/>
                <w:sz w:val="17"/>
              </w:rPr>
              <w:t>FR-INV-007</w:t>
            </w:r>
          </w:p>
        </w:tc>
        <w:tc>
          <w:tcPr>
            <w:tcW w:type="dxa" w:w="6300"/>
          </w:tcPr>
          <w:p>
            <w:pPr>
              <w:spacing w:after="0" w:line="240" w:lineRule="auto"/>
            </w:pPr>
            <w:r>
              <w:rPr>
                <w:sz w:val="17"/>
              </w:rPr>
              <w:t>Reconcile with the CA inventory (Sectigo) to find certificates issued outside CDM.</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FR-INV-008</w:t>
            </w:r>
          </w:p>
        </w:tc>
        <w:tc>
          <w:tcPr>
            <w:tcW w:type="dxa" w:w="6300"/>
            <w:shd w:val="clear" w:color="auto" w:fill="F3F6F8"/>
          </w:tcPr>
          <w:p>
            <w:pPr>
              <w:spacing w:after="0" w:line="240" w:lineRule="auto"/>
            </w:pPr>
            <w:r>
              <w:rPr>
                <w:sz w:val="17"/>
              </w:rPr>
              <w:t>Compute days to expiry and raise flags at configurable thresholds (default 90, 60, 30, 14, 7, 1 days).</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FR-INV-009</w:t>
            </w:r>
          </w:p>
        </w:tc>
        <w:tc>
          <w:tcPr>
            <w:tcW w:type="dxa" w:w="6300"/>
          </w:tcPr>
          <w:p>
            <w:pPr>
              <w:spacing w:after="0" w:line="240" w:lineRule="auto"/>
            </w:pPr>
            <w:r>
              <w:rPr>
                <w:sz w:val="17"/>
              </w:rPr>
              <w:t>Report weak or non-compliant certificates: SHA-1, RSA below 2048, self-signed, wildcard misuse, no owner.</w:t>
            </w:r>
          </w:p>
        </w:tc>
        <w:tc>
          <w:tcPr>
            <w:tcW w:type="dxa" w:w="517"/>
          </w:tcPr>
          <w:p>
            <w:pPr>
              <w:spacing w:after="0" w:line="240" w:lineRule="auto"/>
            </w:pPr>
            <w:r>
              <w:rPr>
                <w:sz w:val="17"/>
              </w:rPr>
              <w:t>C</w:t>
            </w:r>
          </w:p>
        </w:tc>
        <w:tc>
          <w:tcPr>
            <w:tcW w:type="dxa" w:w="752"/>
          </w:tcPr>
          <w:p>
            <w:pPr>
              <w:spacing w:after="0" w:line="240" w:lineRule="auto"/>
            </w:pPr>
            <w:r>
              <w:rPr>
                <w:sz w:val="17"/>
              </w:rPr>
              <w:t>P3</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FR-INV-010</w:t>
            </w:r>
          </w:p>
        </w:tc>
        <w:tc>
          <w:tcPr>
            <w:tcW w:type="dxa" w:w="6300"/>
            <w:shd w:val="clear" w:color="auto" w:fill="F3F6F8"/>
          </w:tcPr>
          <w:p>
            <w:pPr>
              <w:spacing w:after="0" w:line="240" w:lineRule="auto"/>
            </w:pPr>
            <w:r>
              <w:rPr>
                <w:sz w:val="17"/>
              </w:rPr>
              <w:t>Represent targets as CMDB configuration items with technology, environment, zone, cluster and owner attributes.</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bl>
    <w:p>
      <w:pPr>
        <w:spacing w:after="40"/>
      </w:pPr>
    </w:p>
    <w:p>
      <w:pPr>
        <w:pStyle w:val="Heading2"/>
      </w:pPr>
      <w:r>
        <w:t>5.2 Request and approval (REQ)</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FR-REQ-001</w:t>
            </w:r>
          </w:p>
        </w:tc>
        <w:tc>
          <w:tcPr>
            <w:tcW w:type="dxa" w:w="6300"/>
          </w:tcPr>
          <w:p>
            <w:pPr>
              <w:spacing w:after="0" w:line="240" w:lineRule="auto"/>
            </w:pPr>
            <w:r>
              <w:rPr>
                <w:sz w:val="17"/>
              </w:rPr>
              <w:t>Provide a catalog request: common name, SANs, targets, owner, environment, validity, CA profile, justification.</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FR-REQ-002</w:t>
            </w:r>
          </w:p>
        </w:tc>
        <w:tc>
          <w:tcPr>
            <w:tcW w:type="dxa" w:w="6300"/>
            <w:shd w:val="clear" w:color="auto" w:fill="F3F6F8"/>
          </w:tcPr>
          <w:p>
            <w:pPr>
              <w:spacing w:after="0" w:line="240" w:lineRule="auto"/>
            </w:pPr>
            <w:r>
              <w:rPr>
                <w:sz w:val="17"/>
              </w:rPr>
              <w:t>Validate every request against policy before any CA call: allowed domains, key algorithm and size, maximum validity, allowed CA, wildcard rules.</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FR-REQ-003</w:t>
            </w:r>
          </w:p>
        </w:tc>
        <w:tc>
          <w:tcPr>
            <w:tcW w:type="dxa" w:w="6300"/>
          </w:tcPr>
          <w:p>
            <w:pPr>
              <w:spacing w:after="0" w:line="240" w:lineRule="auto"/>
            </w:pPr>
            <w:r>
              <w:rPr>
                <w:sz w:val="17"/>
              </w:rPr>
              <w:t>Configurable approval per policy: auto-approve low risk; manager or PKI admin approval for wildcard or production. Requester cannot approve their own request.</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FR-REQ-004</w:t>
            </w:r>
          </w:p>
        </w:tc>
        <w:tc>
          <w:tcPr>
            <w:tcW w:type="dxa" w:w="6300"/>
            <w:shd w:val="clear" w:color="auto" w:fill="F3F6F8"/>
          </w:tcPr>
          <w:p>
            <w:pPr>
              <w:spacing w:after="0" w:line="240" w:lineRule="auto"/>
            </w:pPr>
            <w:r>
              <w:rPr>
                <w:sz w:val="17"/>
              </w:rPr>
              <w:t>Integrate with change management: production deployments require an approved change and are scheduled in its window.</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FR-REQ-005</w:t>
            </w:r>
          </w:p>
        </w:tc>
        <w:tc>
          <w:tcPr>
            <w:tcW w:type="dxa" w:w="6300"/>
          </w:tcPr>
          <w:p>
            <w:pPr>
              <w:spacing w:after="0" w:line="240" w:lineRule="auto"/>
            </w:pPr>
            <w:r>
              <w:rPr>
                <w:sz w:val="17"/>
              </w:rPr>
              <w:t>Create renewal requests automatically at a configurable threshold (default 30 days before expiry) and run them through the same policy path.</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FR-REQ-006</w:t>
            </w:r>
          </w:p>
        </w:tc>
        <w:tc>
          <w:tcPr>
            <w:tcW w:type="dxa" w:w="6300"/>
            <w:shd w:val="clear" w:color="auto" w:fill="F3F6F8"/>
          </w:tcPr>
          <w:p>
            <w:pPr>
              <w:spacing w:after="0" w:line="240" w:lineRule="auto"/>
            </w:pPr>
            <w:r>
              <w:rPr>
                <w:sz w:val="17"/>
              </w:rPr>
              <w:t>Revocation request with mandatory reason and approval; calls the CA and updates inventory and bindings.</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FR-REQ-007</w:t>
            </w:r>
          </w:p>
        </w:tc>
        <w:tc>
          <w:tcPr>
            <w:tcW w:type="dxa" w:w="6300"/>
          </w:tcPr>
          <w:p>
            <w:pPr>
              <w:spacing w:after="0" w:line="240" w:lineRule="auto"/>
            </w:pPr>
            <w:r>
              <w:rPr>
                <w:sz w:val="17"/>
              </w:rPr>
              <w:t>Each request has a unique ID and a visible state history.</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FR-REQ-008</w:t>
            </w:r>
          </w:p>
        </w:tc>
        <w:tc>
          <w:tcPr>
            <w:tcW w:type="dxa" w:w="6300"/>
            <w:shd w:val="clear" w:color="auto" w:fill="F3F6F8"/>
          </w:tcPr>
          <w:p>
            <w:pPr>
              <w:spacing w:after="0" w:line="240" w:lineRule="auto"/>
            </w:pPr>
            <w:r>
              <w:rPr>
                <w:sz w:val="17"/>
              </w:rPr>
              <w:t>Bulk requests from CSV with per-item status.</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FR-REQ-009</w:t>
            </w:r>
          </w:p>
        </w:tc>
        <w:tc>
          <w:tcPr>
            <w:tcW w:type="dxa" w:w="6300"/>
          </w:tcPr>
          <w:p>
            <w:pPr>
              <w:spacing w:after="0" w:line="240" w:lineRule="auto"/>
            </w:pPr>
            <w:r>
              <w:rPr>
                <w:sz w:val="17"/>
              </w:rPr>
              <w:t>Emergency replacement path with post-hoc approval and elevated audit.</w:t>
            </w:r>
          </w:p>
        </w:tc>
        <w:tc>
          <w:tcPr>
            <w:tcW w:type="dxa" w:w="517"/>
          </w:tcPr>
          <w:p>
            <w:pPr>
              <w:spacing w:after="0" w:line="240" w:lineRule="auto"/>
            </w:pPr>
            <w:r>
              <w:rPr>
                <w:sz w:val="17"/>
              </w:rPr>
              <w:t>C</w:t>
            </w:r>
          </w:p>
        </w:tc>
        <w:tc>
          <w:tcPr>
            <w:tcW w:type="dxa" w:w="752"/>
          </w:tcPr>
          <w:p>
            <w:pPr>
              <w:spacing w:after="0" w:line="240" w:lineRule="auto"/>
            </w:pPr>
            <w:r>
              <w:rPr>
                <w:sz w:val="17"/>
              </w:rPr>
              <w:t>P3</w:t>
            </w:r>
          </w:p>
        </w:tc>
        <w:tc>
          <w:tcPr>
            <w:tcW w:type="dxa" w:w="893"/>
          </w:tcPr>
          <w:p>
            <w:pPr>
              <w:spacing w:after="0" w:line="240" w:lineRule="auto"/>
            </w:pPr>
            <w:r>
              <w:rPr>
                <w:sz w:val="17"/>
              </w:rPr>
              <w:t>NEW</w:t>
            </w:r>
          </w:p>
        </w:tc>
      </w:tr>
    </w:tbl>
    <w:p>
      <w:pPr>
        <w:spacing w:after="40"/>
      </w:pPr>
    </w:p>
    <w:p>
      <w:pPr>
        <w:pStyle w:val="Heading2"/>
      </w:pPr>
      <w:r>
        <w:t>5.3 CA integration (CA)</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FR-CA-001</w:t>
            </w:r>
          </w:p>
        </w:tc>
        <w:tc>
          <w:tcPr>
            <w:tcW w:type="dxa" w:w="6300"/>
          </w:tcPr>
          <w:p>
            <w:pPr>
              <w:spacing w:after="0" w:line="240" w:lineRule="auto"/>
            </w:pPr>
            <w:r>
              <w:rPr>
                <w:sz w:val="17"/>
              </w:rPr>
              <w:t>Define a CA connector interface (enroll, collect, renew, revoke, status, list profiles) so CAs are pluggable.</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 D1</w:t>
            </w:r>
          </w:p>
        </w:tc>
      </w:tr>
      <w:tr>
        <w:trPr>
          <w:cantSplit w:val="true"/>
        </w:trPr>
        <w:tc>
          <w:tcPr>
            <w:tcW w:type="dxa" w:w="1175"/>
            <w:shd w:val="clear" w:color="auto" w:fill="F3F6F8"/>
          </w:tcPr>
          <w:p>
            <w:pPr>
              <w:spacing w:after="0" w:line="240" w:lineRule="auto"/>
            </w:pPr>
            <w:r>
              <w:rPr>
                <w:b/>
                <w:sz w:val="17"/>
              </w:rPr>
              <w:t>FR-CA-002</w:t>
            </w:r>
          </w:p>
        </w:tc>
        <w:tc>
          <w:tcPr>
            <w:tcW w:type="dxa" w:w="6300"/>
            <w:shd w:val="clear" w:color="auto" w:fill="F3F6F8"/>
          </w:tcPr>
          <w:p>
            <w:pPr>
              <w:spacing w:after="0" w:line="240" w:lineRule="auto"/>
            </w:pPr>
            <w:r>
              <w:rPr>
                <w:sz w:val="17"/>
              </w:rPr>
              <w:t>Implement the Sectigo connector on the Sectigo Certificate Manager REST API: enroll with CSR, collect the certificate and chain in PEM, renew, revoke. Endpoints and fields per current Sectigo documentation (Appendix C).</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PLAN</w:t>
            </w:r>
          </w:p>
        </w:tc>
      </w:tr>
      <w:tr>
        <w:trPr>
          <w:cantSplit w:val="true"/>
        </w:trPr>
        <w:tc>
          <w:tcPr>
            <w:tcW w:type="dxa" w:w="1175"/>
          </w:tcPr>
          <w:p>
            <w:pPr>
              <w:spacing w:after="0" w:line="240" w:lineRule="auto"/>
            </w:pPr>
            <w:r>
              <w:rPr>
                <w:b/>
                <w:sz w:val="17"/>
              </w:rPr>
              <w:t>FR-CA-003</w:t>
            </w:r>
          </w:p>
        </w:tc>
        <w:tc>
          <w:tcPr>
            <w:tcW w:type="dxa" w:w="6300"/>
          </w:tcPr>
          <w:p>
            <w:pPr>
              <w:spacing w:after="0" w:line="240" w:lineRule="auto"/>
            </w:pPr>
            <w:r>
              <w:rPr>
                <w:sz w:val="17"/>
              </w:rPr>
              <w:t>CA credentials (login, password or API key, customer URI) are stored only as vault aliases, never in a REST Message, script or flow variable.</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D2</w:t>
            </w:r>
          </w:p>
        </w:tc>
      </w:tr>
      <w:tr>
        <w:trPr>
          <w:cantSplit w:val="true"/>
        </w:trPr>
        <w:tc>
          <w:tcPr>
            <w:tcW w:type="dxa" w:w="1175"/>
            <w:shd w:val="clear" w:color="auto" w:fill="F3F6F8"/>
          </w:tcPr>
          <w:p>
            <w:pPr>
              <w:spacing w:after="0" w:line="240" w:lineRule="auto"/>
            </w:pPr>
            <w:r>
              <w:rPr>
                <w:b/>
                <w:sz w:val="17"/>
              </w:rPr>
              <w:t>FR-CA-004</w:t>
            </w:r>
          </w:p>
        </w:tc>
        <w:tc>
          <w:tcPr>
            <w:tcW w:type="dxa" w:w="6300"/>
            <w:shd w:val="clear" w:color="auto" w:fill="F3F6F8"/>
          </w:tcPr>
          <w:p>
            <w:pPr>
              <w:spacing w:after="0" w:line="240" w:lineRule="auto"/>
            </w:pPr>
            <w:r>
              <w:rPr>
                <w:sz w:val="17"/>
              </w:rPr>
              <w:t>CA profiles carry an environment (sandbox or production). A sandbox certificate can never be deployed to a production target.</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SETUP, NEW</w:t>
            </w:r>
          </w:p>
        </w:tc>
      </w:tr>
      <w:tr>
        <w:trPr>
          <w:cantSplit w:val="true"/>
        </w:trPr>
        <w:tc>
          <w:tcPr>
            <w:tcW w:type="dxa" w:w="1175"/>
          </w:tcPr>
          <w:p>
            <w:pPr>
              <w:spacing w:after="0" w:line="240" w:lineRule="auto"/>
            </w:pPr>
            <w:r>
              <w:rPr>
                <w:b/>
                <w:sz w:val="17"/>
              </w:rPr>
              <w:t>FR-CA-005</w:t>
            </w:r>
          </w:p>
        </w:tc>
        <w:tc>
          <w:tcPr>
            <w:tcW w:type="dxa" w:w="6300"/>
          </w:tcPr>
          <w:p>
            <w:pPr>
              <w:spacing w:after="0" w:line="240" w:lineRule="auto"/>
            </w:pPr>
            <w:r>
              <w:rPr>
                <w:sz w:val="17"/>
              </w:rPr>
              <w:t>ACME connector (RFC 8555) with HTTP-01 and DNS-01 challenge support for eligible domains.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FR-CA-006</w:t>
            </w:r>
          </w:p>
        </w:tc>
        <w:tc>
          <w:tcPr>
            <w:tcW w:type="dxa" w:w="6300"/>
            <w:shd w:val="clear" w:color="auto" w:fill="F3F6F8"/>
          </w:tcPr>
          <w:p>
            <w:pPr>
              <w:spacing w:after="0" w:line="240" w:lineRule="auto"/>
            </w:pPr>
            <w:r>
              <w:rPr>
                <w:sz w:val="17"/>
              </w:rPr>
              <w:t>Microsoft ADCS and private CA connector.</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P3</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FR-CA-007</w:t>
            </w:r>
          </w:p>
        </w:tc>
        <w:tc>
          <w:tcPr>
            <w:tcW w:type="dxa" w:w="6300"/>
          </w:tcPr>
          <w:p>
            <w:pPr>
              <w:spacing w:after="0" w:line="240" w:lineRule="auto"/>
            </w:pPr>
            <w:r>
              <w:rPr>
                <w:sz w:val="17"/>
              </w:rPr>
              <w:t>Handle asynchronous issuance: pending validation, polling with back-off, optional webhook, timeout and escalation.</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FR-CA-008</w:t>
            </w:r>
          </w:p>
        </w:tc>
        <w:tc>
          <w:tcPr>
            <w:tcW w:type="dxa" w:w="6300"/>
            <w:shd w:val="clear" w:color="auto" w:fill="F3F6F8"/>
          </w:tcPr>
          <w:p>
            <w:pPr>
              <w:spacing w:after="0" w:line="240" w:lineRule="auto"/>
            </w:pPr>
            <w:r>
              <w:rPr>
                <w:sz w:val="17"/>
              </w:rPr>
              <w:t>Validate every returned certificate: public key matches the CSR, names match the request, chain builds to a trusted root, validity is correct. Reject otherwise.</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FR-CA-009</w:t>
            </w:r>
          </w:p>
        </w:tc>
        <w:tc>
          <w:tcPr>
            <w:tcW w:type="dxa" w:w="6300"/>
          </w:tcPr>
          <w:p>
            <w:pPr>
              <w:spacing w:after="0" w:line="240" w:lineRule="auto"/>
            </w:pPr>
            <w:r>
              <w:rPr>
                <w:sz w:val="17"/>
              </w:rPr>
              <w:t>Respect CA rate limits and quotas by queuing and throttling.</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FR-CA-010</w:t>
            </w:r>
          </w:p>
        </w:tc>
        <w:tc>
          <w:tcPr>
            <w:tcW w:type="dxa" w:w="6300"/>
            <w:shd w:val="clear" w:color="auto" w:fill="F3F6F8"/>
          </w:tcPr>
          <w:p>
            <w:pPr>
              <w:spacing w:after="0" w:line="240" w:lineRule="auto"/>
            </w:pPr>
            <w:r>
              <w:rPr>
                <w:sz w:val="17"/>
              </w:rPr>
              <w:t>Provide a test CA (replacing the fixed-string mock) that signs real CSRs and returns real PEM with correct content types. It must be impossible to enable in production.</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MOCK</w:t>
            </w:r>
          </w:p>
        </w:tc>
      </w:tr>
    </w:tbl>
    <w:p>
      <w:pPr>
        <w:spacing w:after="40"/>
      </w:pPr>
    </w:p>
    <w:p>
      <w:pPr>
        <w:pStyle w:val="Heading2"/>
      </w:pPr>
      <w:r>
        <w:t>5.4 Key and CSR management (KEY)</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FR-KEY-001</w:t>
            </w:r>
          </w:p>
        </w:tc>
        <w:tc>
          <w:tcPr>
            <w:tcW w:type="dxa" w:w="6300"/>
          </w:tcPr>
          <w:p>
            <w:pPr>
              <w:spacing w:after="0" w:line="240" w:lineRule="auto"/>
            </w:pPr>
            <w:r>
              <w:rPr>
                <w:sz w:val="17"/>
              </w:rPr>
              <w:t>Generate private keys on the target (or in HSM, TPM or KMS) whenever the platform supports it. Only the CSR travels.</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D2</w:t>
            </w:r>
          </w:p>
        </w:tc>
      </w:tr>
      <w:tr>
        <w:trPr>
          <w:cantSplit w:val="true"/>
        </w:trPr>
        <w:tc>
          <w:tcPr>
            <w:tcW w:type="dxa" w:w="1175"/>
            <w:shd w:val="clear" w:color="auto" w:fill="F3F6F8"/>
          </w:tcPr>
          <w:p>
            <w:pPr>
              <w:spacing w:after="0" w:line="240" w:lineRule="auto"/>
            </w:pPr>
            <w:r>
              <w:rPr>
                <w:b/>
                <w:sz w:val="17"/>
              </w:rPr>
              <w:t>FR-KEY-002</w:t>
            </w:r>
          </w:p>
        </w:tc>
        <w:tc>
          <w:tcPr>
            <w:tcW w:type="dxa" w:w="6300"/>
            <w:shd w:val="clear" w:color="auto" w:fill="F3F6F8"/>
          </w:tcPr>
          <w:p>
            <w:pPr>
              <w:spacing w:after="0" w:line="240" w:lineRule="auto"/>
            </w:pPr>
            <w:r>
              <w:rPr>
                <w:sz w:val="17"/>
              </w:rPr>
              <w:t>No permanent private key is stored on a MID Server, in ServiceNow tables, logs, ECC payloads or flow variables.</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D2</w:t>
            </w:r>
          </w:p>
        </w:tc>
      </w:tr>
      <w:tr>
        <w:trPr>
          <w:cantSplit w:val="true"/>
        </w:trPr>
        <w:tc>
          <w:tcPr>
            <w:tcW w:type="dxa" w:w="1175"/>
          </w:tcPr>
          <w:p>
            <w:pPr>
              <w:spacing w:after="0" w:line="240" w:lineRule="auto"/>
            </w:pPr>
            <w:r>
              <w:rPr>
                <w:b/>
                <w:sz w:val="17"/>
              </w:rPr>
              <w:t>FR-KEY-003</w:t>
            </w:r>
          </w:p>
        </w:tc>
        <w:tc>
          <w:tcPr>
            <w:tcW w:type="dxa" w:w="6300"/>
          </w:tcPr>
          <w:p>
            <w:pPr>
              <w:spacing w:after="0" w:line="240" w:lineRule="auto"/>
            </w:pPr>
            <w:r>
              <w:rPr>
                <w:sz w:val="17"/>
              </w:rPr>
              <w:t>Where key transport is unavoidable, use a password-protected PKCS#12 with a one-time password from the vault, in encrypted temporary storage, with a short lifetime (default 15 minutes), then secure deletion. Deletion is verified and audited.</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D2</w:t>
            </w:r>
          </w:p>
        </w:tc>
      </w:tr>
      <w:tr>
        <w:trPr>
          <w:cantSplit w:val="true"/>
        </w:trPr>
        <w:tc>
          <w:tcPr>
            <w:tcW w:type="dxa" w:w="1175"/>
            <w:shd w:val="clear" w:color="auto" w:fill="F3F6F8"/>
          </w:tcPr>
          <w:p>
            <w:pPr>
              <w:spacing w:after="0" w:line="240" w:lineRule="auto"/>
            </w:pPr>
            <w:r>
              <w:rPr>
                <w:b/>
                <w:sz w:val="17"/>
              </w:rPr>
              <w:t>FR-KEY-004</w:t>
            </w:r>
          </w:p>
        </w:tc>
        <w:tc>
          <w:tcPr>
            <w:tcW w:type="dxa" w:w="6300"/>
            <w:shd w:val="clear" w:color="auto" w:fill="F3F6F8"/>
          </w:tcPr>
          <w:p>
            <w:pPr>
              <w:spacing w:after="0" w:line="240" w:lineRule="auto"/>
            </w:pPr>
            <w:r>
              <w:rPr>
                <w:sz w:val="17"/>
              </w:rPr>
              <w:t>Key policy: RSA 3072 default (2048 minimum), ECDSA P-256 or P-384 where supported; non-exportable where the platform allows.</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FR-KEY-005</w:t>
            </w:r>
          </w:p>
        </w:tc>
        <w:tc>
          <w:tcPr>
            <w:tcW w:type="dxa" w:w="6300"/>
          </w:tcPr>
          <w:p>
            <w:pPr>
              <w:spacing w:after="0" w:line="240" w:lineRule="auto"/>
            </w:pPr>
            <w:r>
              <w:rPr>
                <w:sz w:val="17"/>
              </w:rPr>
              <w:t>Support HSM or KMS-backed keys (PKCS#11, Azure Key Vault HSM, AWS CloudHSM) for critical services.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FR-KEY-006</w:t>
            </w:r>
          </w:p>
        </w:tc>
        <w:tc>
          <w:tcPr>
            <w:tcW w:type="dxa" w:w="6300"/>
            <w:shd w:val="clear" w:color="auto" w:fill="F3F6F8"/>
          </w:tcPr>
          <w:p>
            <w:pPr>
              <w:spacing w:after="0" w:line="240" w:lineRule="auto"/>
            </w:pPr>
            <w:r>
              <w:rPr>
                <w:sz w:val="17"/>
              </w:rPr>
              <w:t>Generate a new key pair on every renewal by default; key reuse needs an approved policy exception.</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FR-KEY-007</w:t>
            </w:r>
          </w:p>
        </w:tc>
        <w:tc>
          <w:tcPr>
            <w:tcW w:type="dxa" w:w="6300"/>
          </w:tcPr>
          <w:p>
            <w:pPr>
              <w:spacing w:after="0" w:line="240" w:lineRule="auto"/>
            </w:pPr>
            <w:r>
              <w:rPr>
                <w:sz w:val="17"/>
              </w:rPr>
              <w:t>Detect and report weak key parameters during discovery.</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FR-KEY-008</w:t>
            </w:r>
          </w:p>
        </w:tc>
        <w:tc>
          <w:tcPr>
            <w:tcW w:type="dxa" w:w="6300"/>
            <w:shd w:val="clear" w:color="auto" w:fill="F3F6F8"/>
          </w:tcPr>
          <w:p>
            <w:pPr>
              <w:spacing w:after="0" w:line="240" w:lineRule="auto"/>
            </w:pPr>
            <w:r>
              <w:rPr>
                <w:sz w:val="17"/>
              </w:rPr>
              <w:t>Check each CSR against policy (names, algorithm, size) before submission to the CA.</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bl>
    <w:p>
      <w:pPr>
        <w:spacing w:after="40"/>
      </w:pPr>
    </w:p>
    <w:p>
      <w:pPr>
        <w:pStyle w:val="Heading2"/>
      </w:pPr>
      <w:r>
        <w:t>5.5 Orchestration and lifecycle (ORC)</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FR-ORC-001</w:t>
            </w:r>
          </w:p>
        </w:tc>
        <w:tc>
          <w:tcPr>
            <w:tcW w:type="dxa" w:w="6300"/>
          </w:tcPr>
          <w:p>
            <w:pPr>
              <w:spacing w:after="0" w:line="240" w:lineRule="auto"/>
            </w:pPr>
            <w:r>
              <w:rPr>
                <w:sz w:val="17"/>
              </w:rPr>
              <w:t>Implement the lifecycle state machine (Figure 5). Transitions are enforced server-side. Illegal transitions are rejected and audited.</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FR-ORC-002</w:t>
            </w:r>
          </w:p>
        </w:tc>
        <w:tc>
          <w:tcPr>
            <w:tcW w:type="dxa" w:w="6300"/>
            <w:shd w:val="clear" w:color="auto" w:fill="F3F6F8"/>
          </w:tcPr>
          <w:p>
            <w:pPr>
              <w:spacing w:after="0" w:line="240" w:lineRule="auto"/>
            </w:pPr>
            <w:r>
              <w:rPr>
                <w:sz w:val="17"/>
              </w:rPr>
              <w:t>Execute each request as the workflow in Figure 6. Steps are idempotent and resumable after MID or instance restarts.</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PLAN, NEW</w:t>
            </w:r>
          </w:p>
        </w:tc>
      </w:tr>
      <w:tr>
        <w:trPr>
          <w:cantSplit w:val="true"/>
        </w:trPr>
        <w:tc>
          <w:tcPr>
            <w:tcW w:type="dxa" w:w="1175"/>
          </w:tcPr>
          <w:p>
            <w:pPr>
              <w:spacing w:after="0" w:line="240" w:lineRule="auto"/>
            </w:pPr>
            <w:r>
              <w:rPr>
                <w:b/>
                <w:sz w:val="17"/>
              </w:rPr>
              <w:t>FR-ORC-003</w:t>
            </w:r>
          </w:p>
        </w:tc>
        <w:tc>
          <w:tcPr>
            <w:tcW w:type="dxa" w:w="6300"/>
          </w:tcPr>
          <w:p>
            <w:pPr>
              <w:spacing w:after="0" w:line="240" w:lineRule="auto"/>
            </w:pPr>
            <w:r>
              <w:rPr>
                <w:sz w:val="17"/>
              </w:rPr>
              <w:t>Derive technology, zone and environment from the target's CMDB record, not from a manually edited variable.</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PLAN (G7)</w:t>
            </w:r>
          </w:p>
        </w:tc>
      </w:tr>
      <w:tr>
        <w:trPr>
          <w:cantSplit w:val="true"/>
        </w:trPr>
        <w:tc>
          <w:tcPr>
            <w:tcW w:type="dxa" w:w="1175"/>
            <w:shd w:val="clear" w:color="auto" w:fill="F3F6F8"/>
          </w:tcPr>
          <w:p>
            <w:pPr>
              <w:spacing w:after="0" w:line="240" w:lineRule="auto"/>
            </w:pPr>
            <w:r>
              <w:rPr>
                <w:b/>
                <w:sz w:val="17"/>
              </w:rPr>
              <w:t>FR-ORC-004</w:t>
            </w:r>
          </w:p>
        </w:tc>
        <w:tc>
          <w:tcPr>
            <w:tcW w:type="dxa" w:w="6300"/>
            <w:shd w:val="clear" w:color="auto" w:fill="F3F6F8"/>
          </w:tcPr>
          <w:p>
            <w:pPr>
              <w:spacing w:after="0" w:line="240" w:lineRule="auto"/>
            </w:pPr>
            <w:r>
              <w:rPr>
                <w:sz w:val="17"/>
              </w:rPr>
              <w:t>Dispatch jobs only to MID Servers that belong to the target's zone.</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D2</w:t>
            </w:r>
          </w:p>
        </w:tc>
      </w:tr>
      <w:tr>
        <w:trPr>
          <w:cantSplit w:val="true"/>
        </w:trPr>
        <w:tc>
          <w:tcPr>
            <w:tcW w:type="dxa" w:w="1175"/>
          </w:tcPr>
          <w:p>
            <w:pPr>
              <w:spacing w:after="0" w:line="240" w:lineRule="auto"/>
            </w:pPr>
            <w:r>
              <w:rPr>
                <w:b/>
                <w:sz w:val="17"/>
              </w:rPr>
              <w:t>FR-ORC-005</w:t>
            </w:r>
          </w:p>
        </w:tc>
        <w:tc>
          <w:tcPr>
            <w:tcW w:type="dxa" w:w="6300"/>
          </w:tcPr>
          <w:p>
            <w:pPr>
              <w:spacing w:after="0" w:line="240" w:lineRule="auto"/>
            </w:pPr>
            <w:r>
              <w:rPr>
                <w:sz w:val="17"/>
              </w:rPr>
              <w:t>Timeouts and retries with exponential back-off for transient errors. Permanent failure triggers rollback and an incident.</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FR-ORC-006</w:t>
            </w:r>
          </w:p>
        </w:tc>
        <w:tc>
          <w:tcPr>
            <w:tcW w:type="dxa" w:w="6300"/>
            <w:shd w:val="clear" w:color="auto" w:fill="F3F6F8"/>
          </w:tcPr>
          <w:p>
            <w:pPr>
              <w:spacing w:after="0" w:line="240" w:lineRule="auto"/>
            </w:pPr>
            <w:r>
              <w:rPr>
                <w:sz w:val="17"/>
              </w:rPr>
              <w:t>Concurrency limits per zone, adapter and cluster (default 5) and a per-target lock so jobs never overlap.</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FR-ORC-007</w:t>
            </w:r>
          </w:p>
        </w:tc>
        <w:tc>
          <w:tcPr>
            <w:tcW w:type="dxa" w:w="6300"/>
          </w:tcPr>
          <w:p>
            <w:pPr>
              <w:spacing w:after="0" w:line="240" w:lineRule="auto"/>
            </w:pPr>
            <w:r>
              <w:rPr>
                <w:sz w:val="17"/>
              </w:rPr>
              <w:t>Schedule deployments in change windows, with deferral and re-queue.</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FR-ORC-008</w:t>
            </w:r>
          </w:p>
        </w:tc>
        <w:tc>
          <w:tcPr>
            <w:tcW w:type="dxa" w:w="6300"/>
            <w:shd w:val="clear" w:color="auto" w:fill="F3F6F8"/>
          </w:tcPr>
          <w:p>
            <w:pPr>
              <w:spacing w:after="0" w:line="240" w:lineRule="auto"/>
            </w:pPr>
            <w:r>
              <w:rPr>
                <w:sz w:val="17"/>
              </w:rPr>
              <w:t>Dry-run mode that performs pre-checks only and reports what would change.</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FR-ORC-009</w:t>
            </w:r>
          </w:p>
        </w:tc>
        <w:tc>
          <w:tcPr>
            <w:tcW w:type="dxa" w:w="6300"/>
          </w:tcPr>
          <w:p>
            <w:pPr>
              <w:spacing w:after="0" w:line="240" w:lineRule="auto"/>
            </w:pPr>
            <w:r>
              <w:rPr>
                <w:sz w:val="17"/>
              </w:rPr>
              <w:t>Staged rollout for multi-target deployments: canary first, then waves, stop on first failure.</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FR-ORC-010</w:t>
            </w:r>
          </w:p>
        </w:tc>
        <w:tc>
          <w:tcPr>
            <w:tcW w:type="dxa" w:w="6300"/>
            <w:shd w:val="clear" w:color="auto" w:fill="F3F6F8"/>
          </w:tcPr>
          <w:p>
            <w:pPr>
              <w:spacing w:after="0" w:line="240" w:lineRule="auto"/>
            </w:pPr>
            <w:r>
              <w:rPr>
                <w:sz w:val="17"/>
              </w:rPr>
              <w:t>Authorised cancellation before deployment starts. After start, only a safe abort with rollback.</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bl>
    <w:p>
      <w:pPr>
        <w:spacing w:after="40"/>
      </w:pPr>
    </w:p>
    <w:p>
      <w:pPr>
        <w:pStyle w:val="Heading2"/>
      </w:pPr>
      <w:r>
        <w:t>5.6 Adapter framework and routing (ADP)</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FR-ADP-001</w:t>
            </w:r>
          </w:p>
        </w:tc>
        <w:tc>
          <w:tcPr>
            <w:tcW w:type="dxa" w:w="6300"/>
          </w:tcPr>
          <w:p>
            <w:pPr>
              <w:spacing w:after="0" w:line="240" w:lineRule="auto"/>
            </w:pPr>
            <w:r>
              <w:rPr>
                <w:sz w:val="17"/>
              </w:rPr>
              <w:t>Define one adapter contract with operations: precheck, backup, generate_csr, install, activate, verify, rollback, cleanup, discover. Each returns structured JSON (status, evidence, error code). See Appendix A.</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D1, NEW</w:t>
            </w:r>
          </w:p>
        </w:tc>
      </w:tr>
      <w:tr>
        <w:trPr>
          <w:cantSplit w:val="true"/>
        </w:trPr>
        <w:tc>
          <w:tcPr>
            <w:tcW w:type="dxa" w:w="1175"/>
            <w:shd w:val="clear" w:color="auto" w:fill="F3F6F8"/>
          </w:tcPr>
          <w:p>
            <w:pPr>
              <w:spacing w:after="0" w:line="240" w:lineRule="auto"/>
            </w:pPr>
            <w:r>
              <w:rPr>
                <w:b/>
                <w:sz w:val="17"/>
              </w:rPr>
              <w:t>FR-ADP-002</w:t>
            </w:r>
          </w:p>
        </w:tc>
        <w:tc>
          <w:tcPr>
            <w:tcW w:type="dxa" w:w="6300"/>
            <w:shd w:val="clear" w:color="auto" w:fill="F3F6F8"/>
          </w:tcPr>
          <w:p>
            <w:pPr>
              <w:spacing w:after="0" w:line="240" w:lineRule="auto"/>
            </w:pPr>
            <w:r>
              <w:rPr>
                <w:sz w:val="17"/>
              </w:rPr>
              <w:t>Keep an adapter registry with technology, version, SHA-256 signature and approval status. Only approved, signed versions may run (allow-list).</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D3</w:t>
            </w:r>
          </w:p>
        </w:tc>
      </w:tr>
      <w:tr>
        <w:trPr>
          <w:cantSplit w:val="true"/>
        </w:trPr>
        <w:tc>
          <w:tcPr>
            <w:tcW w:type="dxa" w:w="1175"/>
          </w:tcPr>
          <w:p>
            <w:pPr>
              <w:spacing w:after="0" w:line="240" w:lineRule="auto"/>
            </w:pPr>
            <w:r>
              <w:rPr>
                <w:b/>
                <w:sz w:val="17"/>
              </w:rPr>
              <w:t>FR-ADP-003</w:t>
            </w:r>
          </w:p>
        </w:tc>
        <w:tc>
          <w:tcPr>
            <w:tcW w:type="dxa" w:w="6300"/>
          </w:tcPr>
          <w:p>
            <w:pPr>
              <w:spacing w:after="0" w:line="240" w:lineRule="auto"/>
            </w:pPr>
            <w:r>
              <w:rPr>
                <w:sz w:val="17"/>
              </w:rPr>
              <w:t>MID Servers run only registered adapters. Free-text script execution from flow variables is disabled.</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D3 (G5)</w:t>
            </w:r>
          </w:p>
        </w:tc>
      </w:tr>
      <w:tr>
        <w:trPr>
          <w:cantSplit w:val="true"/>
        </w:trPr>
        <w:tc>
          <w:tcPr>
            <w:tcW w:type="dxa" w:w="1175"/>
            <w:shd w:val="clear" w:color="auto" w:fill="F3F6F8"/>
          </w:tcPr>
          <w:p>
            <w:pPr>
              <w:spacing w:after="0" w:line="240" w:lineRule="auto"/>
            </w:pPr>
            <w:r>
              <w:rPr>
                <w:b/>
                <w:sz w:val="17"/>
              </w:rPr>
              <w:t>FR-ADP-004</w:t>
            </w:r>
          </w:p>
        </w:tc>
        <w:tc>
          <w:tcPr>
            <w:tcW w:type="dxa" w:w="6300"/>
            <w:shd w:val="clear" w:color="auto" w:fill="F3F6F8"/>
          </w:tcPr>
          <w:p>
            <w:pPr>
              <w:spacing w:after="0" w:line="240" w:lineRule="auto"/>
            </w:pPr>
            <w:r>
              <w:rPr>
                <w:sz w:val="17"/>
              </w:rPr>
              <w:t>Adapter inputs are typed and validated and passed as parameters, never concatenated into script text. Certificate content is validated as PEM before use.</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 (G5)</w:t>
            </w:r>
          </w:p>
        </w:tc>
      </w:tr>
      <w:tr>
        <w:trPr>
          <w:cantSplit w:val="true"/>
        </w:trPr>
        <w:tc>
          <w:tcPr>
            <w:tcW w:type="dxa" w:w="1175"/>
          </w:tcPr>
          <w:p>
            <w:pPr>
              <w:spacing w:after="0" w:line="240" w:lineRule="auto"/>
            </w:pPr>
            <w:r>
              <w:rPr>
                <w:b/>
                <w:sz w:val="17"/>
              </w:rPr>
              <w:t>FR-ADP-005</w:t>
            </w:r>
          </w:p>
        </w:tc>
        <w:tc>
          <w:tcPr>
            <w:tcW w:type="dxa" w:w="6300"/>
          </w:tcPr>
          <w:p>
            <w:pPr>
              <w:spacing w:after="0" w:line="240" w:lineRule="auto"/>
            </w:pPr>
            <w:r>
              <w:rPr>
                <w:sz w:val="17"/>
              </w:rPr>
              <w:t>Adapters are version controlled with peer review, automated tests and signed releases, promoted dev, test, production.</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FR-ADP-006</w:t>
            </w:r>
          </w:p>
        </w:tc>
        <w:tc>
          <w:tcPr>
            <w:tcW w:type="dxa" w:w="6300"/>
            <w:shd w:val="clear" w:color="auto" w:fill="F3F6F8"/>
          </w:tcPr>
          <w:p>
            <w:pPr>
              <w:spacing w:after="0" w:line="240" w:lineRule="auto"/>
            </w:pPr>
            <w:r>
              <w:rPr>
                <w:sz w:val="17"/>
              </w:rPr>
              <w:t>Deliver adapters in phases per Figure 8: Windows, Linux and Manual in P1; Kubernetes, Apple, Java, load balancers in P2; cloud, databases, network in P3.</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D1, NEW</w:t>
            </w:r>
          </w:p>
        </w:tc>
      </w:tr>
      <w:tr>
        <w:trPr>
          <w:cantSplit w:val="true"/>
        </w:trPr>
        <w:tc>
          <w:tcPr>
            <w:tcW w:type="dxa" w:w="1175"/>
          </w:tcPr>
          <w:p>
            <w:pPr>
              <w:spacing w:after="0" w:line="240" w:lineRule="auto"/>
            </w:pPr>
            <w:r>
              <w:rPr>
                <w:b/>
                <w:sz w:val="17"/>
              </w:rPr>
              <w:t>FR-ADP-007</w:t>
            </w:r>
          </w:p>
        </w:tc>
        <w:tc>
          <w:tcPr>
            <w:tcW w:type="dxa" w:w="6300"/>
          </w:tcPr>
          <w:p>
            <w:pPr>
              <w:spacing w:after="0" w:line="240" w:lineRule="auto"/>
            </w:pPr>
            <w:r>
              <w:rPr>
                <w:sz w:val="17"/>
              </w:rPr>
              <w:t>Adapters declare capabilities (CSR on target, cluster aware, rollback, hitless activation). The router uses them, for example to force manual fallback when rollback is impossible.</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FR-ADP-008</w:t>
            </w:r>
          </w:p>
        </w:tc>
        <w:tc>
          <w:tcPr>
            <w:tcW w:type="dxa" w:w="6300"/>
            <w:shd w:val="clear" w:color="auto" w:fill="F3F6F8"/>
          </w:tcPr>
          <w:p>
            <w:pPr>
              <w:spacing w:after="0" w:line="240" w:lineRule="auto"/>
            </w:pPr>
            <w:r>
              <w:rPr>
                <w:sz w:val="17"/>
              </w:rPr>
              <w:t>Provide an adapter template, linter and documentation for new technologies.</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FR-ADP-009</w:t>
            </w:r>
          </w:p>
        </w:tc>
        <w:tc>
          <w:tcPr>
            <w:tcW w:type="dxa" w:w="6300"/>
          </w:tcPr>
          <w:p>
            <w:pPr>
              <w:spacing w:after="0" w:line="240" w:lineRule="auto"/>
            </w:pPr>
            <w:r>
              <w:rPr>
                <w:sz w:val="17"/>
              </w:rPr>
              <w:t>Map adapter errors to a catalogue of error codes with remediation hints.</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FR-ADP-010</w:t>
            </w:r>
          </w:p>
        </w:tc>
        <w:tc>
          <w:tcPr>
            <w:tcW w:type="dxa" w:w="6300"/>
            <w:shd w:val="clear" w:color="auto" w:fill="F3F6F8"/>
          </w:tcPr>
          <w:p>
            <w:pPr>
              <w:spacing w:after="0" w:line="240" w:lineRule="auto"/>
            </w:pPr>
            <w:r>
              <w:rPr>
                <w:sz w:val="17"/>
              </w:rPr>
              <w:t>Allow several adapters per technology, chosen by service type (for example nginx and Apache on Linux).</w:t>
            </w:r>
          </w:p>
        </w:tc>
        <w:tc>
          <w:tcPr>
            <w:tcW w:type="dxa" w:w="517"/>
            <w:shd w:val="clear" w:color="auto" w:fill="F3F6F8"/>
          </w:tcPr>
          <w:p>
            <w:pPr>
              <w:spacing w:after="0" w:line="240" w:lineRule="auto"/>
            </w:pPr>
            <w:r>
              <w:rPr>
                <w:sz w:val="17"/>
              </w:rPr>
              <w:t>C</w:t>
            </w:r>
          </w:p>
        </w:tc>
        <w:tc>
          <w:tcPr>
            <w:tcW w:type="dxa" w:w="752"/>
            <w:shd w:val="clear" w:color="auto" w:fill="F3F6F8"/>
          </w:tcPr>
          <w:p>
            <w:pPr>
              <w:spacing w:after="0" w:line="240" w:lineRule="auto"/>
            </w:pPr>
            <w:r>
              <w:rPr>
                <w:sz w:val="17"/>
              </w:rPr>
              <w:t>P3</w:t>
            </w:r>
          </w:p>
        </w:tc>
        <w:tc>
          <w:tcPr>
            <w:tcW w:type="dxa" w:w="893"/>
            <w:shd w:val="clear" w:color="auto" w:fill="F3F6F8"/>
          </w:tcPr>
          <w:p>
            <w:pPr>
              <w:spacing w:after="0" w:line="240" w:lineRule="auto"/>
            </w:pPr>
            <w:r>
              <w:rPr>
                <w:sz w:val="17"/>
              </w:rPr>
              <w:t>NEW</w:t>
            </w:r>
          </w:p>
        </w:tc>
      </w:tr>
    </w:tbl>
    <w:p>
      <w:pPr>
        <w:spacing w:after="40"/>
      </w:pP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8640000" cy="6264000"/>
            <wp:docPr id="8" name="Picture 8"/>
            <wp:cNvGraphicFramePr>
              <a:graphicFrameLocks noChangeAspect="1"/>
            </wp:cNvGraphicFramePr>
            <a:graphic>
              <a:graphicData uri="http://schemas.openxmlformats.org/drawingml/2006/picture">
                <pic:pic>
                  <pic:nvPicPr>
                    <pic:cNvPr id="0" name="Fig08_adapter_routing_matrix.png"/>
                    <pic:cNvPicPr/>
                  </pic:nvPicPr>
                  <pic:blipFill>
                    <a:blip r:embed="rId17"/>
                    <a:stretch>
                      <a:fillRect/>
                    </a:stretch>
                  </pic:blipFill>
                  <pic:spPr>
                    <a:xfrm>
                      <a:off x="0" y="0"/>
                      <a:ext cx="8640000" cy="6264000"/>
                    </a:xfrm>
                    <a:prstGeom prst="rect"/>
                  </pic:spPr>
                </pic:pic>
              </a:graphicData>
            </a:graphic>
          </wp:inline>
        </w:drawing>
      </w:r>
    </w:p>
    <w:p>
      <w:pPr>
        <w:jc w:val="center"/>
      </w:pPr>
      <w:r>
        <w:rPr>
          <w:i/>
          <w:color w:val="606B7A"/>
          <w:sz w:val="18"/>
        </w:rPr>
        <w:t>Figure 8: Technology adapter routing matrix</w:t>
      </w:r>
    </w:p>
    <w:p>
      <w:pPr>
        <w:sectPr>
          <w:pgSz w:w="16838" w:h="11906" w:orient="landscape"/>
          <w:pgMar w:top="737" w:right="850" w:bottom="850" w:left="850" w:header="720" w:footer="720" w:gutter="0"/>
          <w:cols w:space="720"/>
          <w:docGrid w:linePitch="360"/>
        </w:sectPr>
      </w:pPr>
    </w:p>
    <w:p>
      <w:pPr>
        <w:pStyle w:val="Heading2"/>
      </w:pPr>
      <w:r>
        <w:t>5.7 Deployment safety (SAF)</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FR-SAF-001</w:t>
            </w:r>
          </w:p>
        </w:tc>
        <w:tc>
          <w:tcPr>
            <w:tcW w:type="dxa" w:w="6300"/>
          </w:tcPr>
          <w:p>
            <w:pPr>
              <w:spacing w:after="0" w:line="240" w:lineRule="auto"/>
            </w:pPr>
            <w:r>
              <w:rPr>
                <w:sz w:val="17"/>
              </w:rPr>
              <w:t>Pre-check before any change: target reachable, credential valid, permissions, disk space, service state, current certificate identified, cluster peers healthy, change window open.</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FR-SAF-002</w:t>
            </w:r>
          </w:p>
        </w:tc>
        <w:tc>
          <w:tcPr>
            <w:tcW w:type="dxa" w:w="6300"/>
            <w:shd w:val="clear" w:color="auto" w:fill="F3F6F8"/>
          </w:tcPr>
          <w:p>
            <w:pPr>
              <w:spacing w:after="0" w:line="240" w:lineRule="auto"/>
            </w:pPr>
            <w:r>
              <w:rPr>
                <w:sz w:val="17"/>
              </w:rPr>
              <w:t>Back up the current certificate and configuration reference (thumbprint, binding, config version) as a rollback point before replacing anything. Keys stay in place; nothing secret is copied into ServiceNow.</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D3</w:t>
            </w:r>
          </w:p>
        </w:tc>
      </w:tr>
      <w:tr>
        <w:trPr>
          <w:cantSplit w:val="true"/>
        </w:trPr>
        <w:tc>
          <w:tcPr>
            <w:tcW w:type="dxa" w:w="1175"/>
          </w:tcPr>
          <w:p>
            <w:pPr>
              <w:spacing w:after="0" w:line="240" w:lineRule="auto"/>
            </w:pPr>
            <w:r>
              <w:rPr>
                <w:b/>
                <w:sz w:val="17"/>
              </w:rPr>
              <w:t>FR-SAF-003</w:t>
            </w:r>
          </w:p>
        </w:tc>
        <w:tc>
          <w:tcPr>
            <w:tcW w:type="dxa" w:w="6300"/>
          </w:tcPr>
          <w:p>
            <w:pPr>
              <w:spacing w:after="0" w:line="240" w:lineRule="auto"/>
            </w:pPr>
            <w:r>
              <w:rPr>
                <w:sz w:val="17"/>
              </w:rPr>
              <w:t>Roll back automatically when activation or verification fails. The rollback itself is verified.</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FR-SAF-004</w:t>
            </w:r>
          </w:p>
        </w:tc>
        <w:tc>
          <w:tcPr>
            <w:tcW w:type="dxa" w:w="6300"/>
            <w:shd w:val="clear" w:color="auto" w:fill="F3F6F8"/>
          </w:tcPr>
          <w:p>
            <w:pPr>
              <w:spacing w:after="0" w:line="240" w:lineRule="auto"/>
            </w:pPr>
            <w:r>
              <w:rPr>
                <w:sz w:val="17"/>
              </w:rPr>
              <w:t>Verify against the live endpoint: presented thumbprint equals expected, SAN covers all names, chain is complete and trusted, not expired, protocol and cipher unchanged. Run from a MID Server in the target's zone.</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D3</w:t>
            </w:r>
          </w:p>
        </w:tc>
      </w:tr>
      <w:tr>
        <w:trPr>
          <w:cantSplit w:val="true"/>
        </w:trPr>
        <w:tc>
          <w:tcPr>
            <w:tcW w:type="dxa" w:w="1175"/>
          </w:tcPr>
          <w:p>
            <w:pPr>
              <w:spacing w:after="0" w:line="240" w:lineRule="auto"/>
            </w:pPr>
            <w:r>
              <w:rPr>
                <w:b/>
                <w:sz w:val="17"/>
              </w:rPr>
              <w:t>FR-SAF-005</w:t>
            </w:r>
          </w:p>
        </w:tc>
        <w:tc>
          <w:tcPr>
            <w:tcW w:type="dxa" w:w="6300"/>
          </w:tcPr>
          <w:p>
            <w:pPr>
              <w:spacing w:after="0" w:line="240" w:lineRule="auto"/>
            </w:pPr>
            <w:r>
              <w:rPr>
                <w:sz w:val="17"/>
              </w:rPr>
              <w:t>A failed verification is never ignored. It requires rollback or an approved, audited exception.</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FR-SAF-006</w:t>
            </w:r>
          </w:p>
        </w:tc>
        <w:tc>
          <w:tcPr>
            <w:tcW w:type="dxa" w:w="6300"/>
            <w:shd w:val="clear" w:color="auto" w:fill="F3F6F8"/>
          </w:tcPr>
          <w:p>
            <w:pPr>
              <w:spacing w:after="0" w:line="240" w:lineRule="auto"/>
            </w:pPr>
            <w:r>
              <w:rPr>
                <w:sz w:val="17"/>
              </w:rPr>
              <w:t>Cluster awareness: deploy node by node, drain or remove from rotation, restart, health-check, re-add. Validate each node and the VIP. Abort and roll back on the first failure.</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D3</w:t>
            </w:r>
          </w:p>
        </w:tc>
      </w:tr>
      <w:tr>
        <w:trPr>
          <w:cantSplit w:val="true"/>
        </w:trPr>
        <w:tc>
          <w:tcPr>
            <w:tcW w:type="dxa" w:w="1175"/>
          </w:tcPr>
          <w:p>
            <w:pPr>
              <w:spacing w:after="0" w:line="240" w:lineRule="auto"/>
            </w:pPr>
            <w:r>
              <w:rPr>
                <w:b/>
                <w:sz w:val="17"/>
              </w:rPr>
              <w:t>FR-SAF-007</w:t>
            </w:r>
          </w:p>
        </w:tc>
        <w:tc>
          <w:tcPr>
            <w:tcW w:type="dxa" w:w="6300"/>
          </w:tcPr>
          <w:p>
            <w:pPr>
              <w:spacing w:after="0" w:line="240" w:lineRule="auto"/>
            </w:pPr>
            <w:r>
              <w:rPr>
                <w:sz w:val="17"/>
              </w:rPr>
              <w:t>Confirm high-availability pair synchronisation after deployment (for example F5 device group, Windows failover cluster, Kubernetes replicas).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FR-SAF-008</w:t>
            </w:r>
          </w:p>
        </w:tc>
        <w:tc>
          <w:tcPr>
            <w:tcW w:type="dxa" w:w="6300"/>
            <w:shd w:val="clear" w:color="auto" w:fill="F3F6F8"/>
          </w:tcPr>
          <w:p>
            <w:pPr>
              <w:spacing w:after="0" w:line="240" w:lineRule="auto"/>
            </w:pPr>
            <w:r>
              <w:rPr>
                <w:sz w:val="17"/>
              </w:rPr>
              <w:t>Secure clean-up: staging files, temporary key material and sessions are removed and confirmed. Evidence is audited.</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D2</w:t>
            </w:r>
          </w:p>
        </w:tc>
      </w:tr>
      <w:tr>
        <w:trPr>
          <w:cantSplit w:val="true"/>
        </w:trPr>
        <w:tc>
          <w:tcPr>
            <w:tcW w:type="dxa" w:w="1175"/>
          </w:tcPr>
          <w:p>
            <w:pPr>
              <w:spacing w:after="0" w:line="240" w:lineRule="auto"/>
            </w:pPr>
            <w:r>
              <w:rPr>
                <w:b/>
                <w:sz w:val="17"/>
              </w:rPr>
              <w:t>FR-SAF-009</w:t>
            </w:r>
          </w:p>
        </w:tc>
        <w:tc>
          <w:tcPr>
            <w:tcW w:type="dxa" w:w="6300"/>
          </w:tcPr>
          <w:p>
            <w:pPr>
              <w:spacing w:after="0" w:line="240" w:lineRule="auto"/>
            </w:pPr>
            <w:r>
              <w:rPr>
                <w:sz w:val="17"/>
              </w:rPr>
              <w:t>Adapters declare whether activation is hitless (reload) or needs a restart. Policy can require a change window for restarts.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FR-SAF-010</w:t>
            </w:r>
          </w:p>
        </w:tc>
        <w:tc>
          <w:tcPr>
            <w:tcW w:type="dxa" w:w="6300"/>
            <w:shd w:val="clear" w:color="auto" w:fill="F3F6F8"/>
          </w:tcPr>
          <w:p>
            <w:pPr>
              <w:spacing w:after="0" w:line="240" w:lineRule="auto"/>
            </w:pPr>
            <w:r>
              <w:rPr>
                <w:sz w:val="17"/>
              </w:rPr>
              <w:t>Refuse to deploy when the certificate names do not match the binding's expected names.</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bl>
    <w:p>
      <w:pPr>
        <w:spacing w:after="40"/>
      </w:pPr>
    </w:p>
    <w:p>
      <w:pPr>
        <w:pStyle w:val="Heading2"/>
      </w:pPr>
      <w:r>
        <w:t>5.8 Notifications and manual fallback (NTF)</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FR-NTF-001</w:t>
            </w:r>
          </w:p>
        </w:tc>
        <w:tc>
          <w:tcPr>
            <w:tcW w:type="dxa" w:w="6300"/>
          </w:tcPr>
          <w:p>
            <w:pPr>
              <w:spacing w:after="0" w:line="240" w:lineRule="auto"/>
            </w:pPr>
            <w:r>
              <w:rPr>
                <w:sz w:val="17"/>
              </w:rPr>
              <w:t>Notify owner groups and PKI admins on expiry thresholds, request status, approvals needed, deployment success or failure, and rollback.</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FR-NTF-002</w:t>
            </w:r>
          </w:p>
        </w:tc>
        <w:tc>
          <w:tcPr>
            <w:tcW w:type="dxa" w:w="6300"/>
            <w:shd w:val="clear" w:color="auto" w:fill="F3F6F8"/>
          </w:tcPr>
          <w:p>
            <w:pPr>
              <w:spacing w:after="0" w:line="240" w:lineRule="auto"/>
            </w:pPr>
            <w:r>
              <w:rPr>
                <w:sz w:val="17"/>
              </w:rPr>
              <w:t>Channels: email (M); Teams or Slack and ServiceNow mobile (S); paging for critical services (C).</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FR-NTF-003</w:t>
            </w:r>
          </w:p>
        </w:tc>
        <w:tc>
          <w:tcPr>
            <w:tcW w:type="dxa" w:w="6300"/>
          </w:tcPr>
          <w:p>
            <w:pPr>
              <w:spacing w:after="0" w:line="240" w:lineRule="auto"/>
            </w:pPr>
            <w:r>
              <w:rPr>
                <w:sz w:val="17"/>
              </w:rPr>
              <w:t>Manual fallback: when a technology has no approved adapter, policy forbids automation, or a prerequisite fails, create a task for the owner group with generated step-by-step instructions, the CSR if needed, the certificate package and required evidence fields.</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D1</w:t>
            </w:r>
          </w:p>
        </w:tc>
      </w:tr>
      <w:tr>
        <w:trPr>
          <w:cantSplit w:val="true"/>
        </w:trPr>
        <w:tc>
          <w:tcPr>
            <w:tcW w:type="dxa" w:w="1175"/>
            <w:shd w:val="clear" w:color="auto" w:fill="F3F6F8"/>
          </w:tcPr>
          <w:p>
            <w:pPr>
              <w:spacing w:after="0" w:line="240" w:lineRule="auto"/>
            </w:pPr>
            <w:r>
              <w:rPr>
                <w:b/>
                <w:sz w:val="17"/>
              </w:rPr>
              <w:t>FR-NTF-004</w:t>
            </w:r>
          </w:p>
        </w:tc>
        <w:tc>
          <w:tcPr>
            <w:tcW w:type="dxa" w:w="6300"/>
            <w:shd w:val="clear" w:color="auto" w:fill="F3F6F8"/>
          </w:tcPr>
          <w:p>
            <w:pPr>
              <w:spacing w:after="0" w:line="240" w:lineRule="auto"/>
            </w:pPr>
            <w:r>
              <w:rPr>
                <w:sz w:val="17"/>
              </w:rPr>
              <w:t>Manual tasks have SLA timers and escalation. Completion triggers automated verification of the live endpoint.</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D1</w:t>
            </w:r>
          </w:p>
        </w:tc>
      </w:tr>
      <w:tr>
        <w:trPr>
          <w:cantSplit w:val="true"/>
        </w:trPr>
        <w:tc>
          <w:tcPr>
            <w:tcW w:type="dxa" w:w="1175"/>
          </w:tcPr>
          <w:p>
            <w:pPr>
              <w:spacing w:after="0" w:line="240" w:lineRule="auto"/>
            </w:pPr>
            <w:r>
              <w:rPr>
                <w:b/>
                <w:sz w:val="17"/>
              </w:rPr>
              <w:t>FR-NTF-005</w:t>
            </w:r>
          </w:p>
        </w:tc>
        <w:tc>
          <w:tcPr>
            <w:tcW w:type="dxa" w:w="6300"/>
          </w:tcPr>
          <w:p>
            <w:pPr>
              <w:spacing w:after="0" w:line="240" w:lineRule="auto"/>
            </w:pPr>
            <w:r>
              <w:rPr>
                <w:sz w:val="17"/>
              </w:rPr>
              <w:t>Create an incident automatically for failed deployments or rollbacks, linked to the job evidence.</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FR-NTF-006</w:t>
            </w:r>
          </w:p>
        </w:tc>
        <w:tc>
          <w:tcPr>
            <w:tcW w:type="dxa" w:w="6300"/>
            <w:shd w:val="clear" w:color="auto" w:fill="F3F6F8"/>
          </w:tcPr>
          <w:p>
            <w:pPr>
              <w:spacing w:after="0" w:line="240" w:lineRule="auto"/>
            </w:pPr>
            <w:r>
              <w:rPr>
                <w:sz w:val="17"/>
              </w:rPr>
              <w:t>Notification templates are configurable and never contain secrets or key material.</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bl>
    <w:p>
      <w:pPr>
        <w:spacing w:after="40"/>
      </w:pPr>
    </w:p>
    <w:p>
      <w:pPr>
        <w:pStyle w:val="Heading2"/>
      </w:pPr>
      <w:r>
        <w:t>5.9 Reporting and audit (RPT)</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FR-RPT-001</w:t>
            </w:r>
          </w:p>
        </w:tc>
        <w:tc>
          <w:tcPr>
            <w:tcW w:type="dxa" w:w="6300"/>
          </w:tcPr>
          <w:p>
            <w:pPr>
              <w:spacing w:after="0" w:line="240" w:lineRule="auto"/>
            </w:pPr>
            <w:r>
              <w:rPr>
                <w:sz w:val="17"/>
              </w:rPr>
              <w:t>Dashboard: certificates by state, expiring in 7, 30, 60 and 90 days, failed deployments, automation coverage, renewal lead time.</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FR-RPT-002</w:t>
            </w:r>
          </w:p>
        </w:tc>
        <w:tc>
          <w:tcPr>
            <w:tcW w:type="dxa" w:w="6300"/>
            <w:shd w:val="clear" w:color="auto" w:fill="F3F6F8"/>
          </w:tcPr>
          <w:p>
            <w:pPr>
              <w:spacing w:after="0" w:line="240" w:lineRule="auto"/>
            </w:pPr>
            <w:r>
              <w:rPr>
                <w:sz w:val="17"/>
              </w:rPr>
              <w:t>Tamper-evident audit trail for every action: who, what, when, target, adapter and version, job ID, result, thumbprint before and after. Exportable to a SIEM.</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FR-RPT-003</w:t>
            </w:r>
          </w:p>
        </w:tc>
        <w:tc>
          <w:tcPr>
            <w:tcW w:type="dxa" w:w="6300"/>
          </w:tcPr>
          <w:p>
            <w:pPr>
              <w:spacing w:after="0" w:line="240" w:lineRule="auto"/>
            </w:pPr>
            <w:r>
              <w:rPr>
                <w:sz w:val="17"/>
              </w:rPr>
              <w:t>Compliance reports: inventory export, policy exceptions, orphaned or unmanaged certificates.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FR-RPT-004</w:t>
            </w:r>
          </w:p>
        </w:tc>
        <w:tc>
          <w:tcPr>
            <w:tcW w:type="dxa" w:w="6300"/>
            <w:shd w:val="clear" w:color="auto" w:fill="F3F6F8"/>
          </w:tcPr>
          <w:p>
            <w:pPr>
              <w:spacing w:after="0" w:line="240" w:lineRule="auto"/>
            </w:pPr>
            <w:r>
              <w:rPr>
                <w:sz w:val="17"/>
              </w:rPr>
              <w:t>Team scorecards and automation coverage by technology.</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FR-RPT-005</w:t>
            </w:r>
          </w:p>
        </w:tc>
        <w:tc>
          <w:tcPr>
            <w:tcW w:type="dxa" w:w="6300"/>
          </w:tcPr>
          <w:p>
            <w:pPr>
              <w:spacing w:after="0" w:line="240" w:lineRule="auto"/>
            </w:pPr>
            <w:r>
              <w:rPr>
                <w:sz w:val="17"/>
              </w:rPr>
              <w:t>Scheduled report delivery.</w:t>
            </w:r>
          </w:p>
        </w:tc>
        <w:tc>
          <w:tcPr>
            <w:tcW w:type="dxa" w:w="517"/>
          </w:tcPr>
          <w:p>
            <w:pPr>
              <w:spacing w:after="0" w:line="240" w:lineRule="auto"/>
            </w:pPr>
            <w:r>
              <w:rPr>
                <w:sz w:val="17"/>
              </w:rPr>
              <w:t>C</w:t>
            </w:r>
          </w:p>
        </w:tc>
        <w:tc>
          <w:tcPr>
            <w:tcW w:type="dxa" w:w="752"/>
          </w:tcPr>
          <w:p>
            <w:pPr>
              <w:spacing w:after="0" w:line="240" w:lineRule="auto"/>
            </w:pPr>
            <w:r>
              <w:rPr>
                <w:sz w:val="17"/>
              </w:rPr>
              <w:t>P3</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FR-RPT-006</w:t>
            </w:r>
          </w:p>
        </w:tc>
        <w:tc>
          <w:tcPr>
            <w:tcW w:type="dxa" w:w="6300"/>
            <w:shd w:val="clear" w:color="auto" w:fill="F3F6F8"/>
          </w:tcPr>
          <w:p>
            <w:pPr>
              <w:spacing w:after="0" w:line="240" w:lineRule="auto"/>
            </w:pPr>
            <w:r>
              <w:rPr>
                <w:sz w:val="17"/>
              </w:rPr>
              <w:t>Configurable audit retention (default 13 months online, then archive per policy).</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bl>
    <w:p>
      <w:pPr>
        <w:spacing w:after="40"/>
      </w:pPr>
    </w:p>
    <w:p>
      <w:pPr>
        <w:pStyle w:val="Heading2"/>
      </w:pPr>
      <w:r>
        <w:t>5.10 Administration (ADM)</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1928"/>
        <w:gridCol w:w="1928"/>
        <w:gridCol w:w="1928"/>
        <w:gridCol w:w="1928"/>
        <w:gridCol w:w="1928"/>
      </w:tblGrid>
      <w:tr>
        <w:trPr>
          <w:tblHeader w:val="true"/>
        </w:trPr>
        <w:tc>
          <w:tcPr>
            <w:tcW w:type="dxa" w:w="1175"/>
            <w:shd w:val="clear" w:color="auto" w:fill="1F2D3D"/>
          </w:tcPr>
          <w:p>
            <w:pPr>
              <w:spacing w:after="0"/>
            </w:pPr>
            <w:r>
              <w:rPr>
                <w:b/>
                <w:color w:val="FFFFFF"/>
                <w:sz w:val="17"/>
              </w:rPr>
              <w:t>ID</w:t>
            </w:r>
          </w:p>
        </w:tc>
        <w:tc>
          <w:tcPr>
            <w:tcW w:type="dxa" w:w="6300"/>
            <w:shd w:val="clear" w:color="auto" w:fill="1F2D3D"/>
          </w:tcPr>
          <w:p>
            <w:pPr>
              <w:spacing w:after="0"/>
            </w:pPr>
            <w:r>
              <w:rPr>
                <w:b/>
                <w:color w:val="FFFFFF"/>
                <w:sz w:val="17"/>
              </w:rPr>
              <w:t>Requirement</w:t>
            </w:r>
          </w:p>
        </w:tc>
        <w:tc>
          <w:tcPr>
            <w:tcW w:type="dxa" w:w="517"/>
            <w:shd w:val="clear" w:color="auto" w:fill="1F2D3D"/>
          </w:tcPr>
          <w:p>
            <w:pPr>
              <w:spacing w:after="0"/>
            </w:pPr>
            <w:r>
              <w:rPr>
                <w:b/>
                <w:color w:val="FFFFFF"/>
                <w:sz w:val="17"/>
              </w:rPr>
              <w:t>Pri</w:t>
            </w:r>
          </w:p>
        </w:tc>
        <w:tc>
          <w:tcPr>
            <w:tcW w:type="dxa" w:w="752"/>
            <w:shd w:val="clear" w:color="auto" w:fill="1F2D3D"/>
          </w:tcPr>
          <w:p>
            <w:pPr>
              <w:spacing w:after="0"/>
            </w:pPr>
            <w:r>
              <w:rPr>
                <w:b/>
                <w:color w:val="FFFFFF"/>
                <w:sz w:val="17"/>
              </w:rPr>
              <w:t>Phase</w:t>
            </w:r>
          </w:p>
        </w:tc>
        <w:tc>
          <w:tcPr>
            <w:tcW w:type="dxa" w:w="893"/>
            <w:shd w:val="clear" w:color="auto" w:fill="1F2D3D"/>
          </w:tcPr>
          <w:p>
            <w:pPr>
              <w:spacing w:after="0"/>
            </w:pPr>
            <w:r>
              <w:rPr>
                <w:b/>
                <w:color w:val="FFFFFF"/>
                <w:sz w:val="17"/>
              </w:rPr>
              <w:t>Src</w:t>
            </w:r>
          </w:p>
        </w:tc>
      </w:tr>
      <w:tr>
        <w:trPr>
          <w:cantSplit w:val="true"/>
        </w:trPr>
        <w:tc>
          <w:tcPr>
            <w:tcW w:type="dxa" w:w="1175"/>
          </w:tcPr>
          <w:p>
            <w:pPr>
              <w:spacing w:after="0" w:line="240" w:lineRule="auto"/>
            </w:pPr>
            <w:r>
              <w:rPr>
                <w:b/>
                <w:sz w:val="17"/>
              </w:rPr>
              <w:t>FR-ADM-001</w:t>
            </w:r>
          </w:p>
        </w:tc>
        <w:tc>
          <w:tcPr>
            <w:tcW w:type="dxa" w:w="6300"/>
          </w:tcPr>
          <w:p>
            <w:pPr>
              <w:spacing w:after="0" w:line="240" w:lineRule="auto"/>
            </w:pPr>
            <w:r>
              <w:rPr>
                <w:sz w:val="17"/>
              </w:rPr>
              <w:t>Role-based access with segregation of duties: requester, approver, PKI admin, deployment operator, discovery operator, adapter publisher, auditor. Least privilege.</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D1, D2</w:t>
            </w:r>
          </w:p>
        </w:tc>
      </w:tr>
      <w:tr>
        <w:trPr>
          <w:cantSplit w:val="true"/>
        </w:trPr>
        <w:tc>
          <w:tcPr>
            <w:tcW w:type="dxa" w:w="1175"/>
            <w:shd w:val="clear" w:color="auto" w:fill="F3F6F8"/>
          </w:tcPr>
          <w:p>
            <w:pPr>
              <w:spacing w:after="0" w:line="240" w:lineRule="auto"/>
            </w:pPr>
            <w:r>
              <w:rPr>
                <w:b/>
                <w:sz w:val="17"/>
              </w:rPr>
              <w:t>FR-ADM-002</w:t>
            </w:r>
          </w:p>
        </w:tc>
        <w:tc>
          <w:tcPr>
            <w:tcW w:type="dxa" w:w="6300"/>
            <w:shd w:val="clear" w:color="auto" w:fill="F3F6F8"/>
          </w:tcPr>
          <w:p>
            <w:pPr>
              <w:spacing w:after="0" w:line="240" w:lineRule="auto"/>
            </w:pPr>
            <w:r>
              <w:rPr>
                <w:sz w:val="17"/>
              </w:rPr>
              <w:t>Configuration registry for zones, MID Servers, CA profiles, policies, adapters and thresholds. All changes versioned and audited.</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FR-ADM-003</w:t>
            </w:r>
          </w:p>
        </w:tc>
        <w:tc>
          <w:tcPr>
            <w:tcW w:type="dxa" w:w="6300"/>
          </w:tcPr>
          <w:p>
            <w:pPr>
              <w:spacing w:after="0" w:line="240" w:lineRule="auto"/>
            </w:pPr>
            <w:r>
              <w:rPr>
                <w:sz w:val="17"/>
              </w:rPr>
              <w:t>Separate development, test and production instances with controlled promotion.</w:t>
            </w:r>
          </w:p>
        </w:tc>
        <w:tc>
          <w:tcPr>
            <w:tcW w:type="dxa" w:w="517"/>
          </w:tcPr>
          <w:p>
            <w:pPr>
              <w:spacing w:after="0" w:line="240" w:lineRule="auto"/>
            </w:pPr>
            <w:r>
              <w:rPr>
                <w:sz w:val="17"/>
              </w:rPr>
              <w:t>M</w:t>
            </w:r>
          </w:p>
        </w:tc>
        <w:tc>
          <w:tcPr>
            <w:tcW w:type="dxa" w:w="752"/>
          </w:tcPr>
          <w:p>
            <w:pPr>
              <w:spacing w:after="0" w:line="240" w:lineRule="auto"/>
            </w:pPr>
            <w:r>
              <w:rPr>
                <w:sz w:val="17"/>
              </w:rPr>
              <w:t>P1</w:t>
            </w:r>
          </w:p>
        </w:tc>
        <w:tc>
          <w:tcPr>
            <w:tcW w:type="dxa" w:w="893"/>
          </w:tcPr>
          <w:p>
            <w:pPr>
              <w:spacing w:after="0" w:line="240" w:lineRule="auto"/>
            </w:pPr>
            <w:r>
              <w:rPr>
                <w:sz w:val="17"/>
              </w:rPr>
              <w:t>NEW</w:t>
            </w:r>
          </w:p>
        </w:tc>
      </w:tr>
      <w:tr>
        <w:trPr>
          <w:cantSplit w:val="true"/>
        </w:trPr>
        <w:tc>
          <w:tcPr>
            <w:tcW w:type="dxa" w:w="1175"/>
            <w:shd w:val="clear" w:color="auto" w:fill="F3F6F8"/>
          </w:tcPr>
          <w:p>
            <w:pPr>
              <w:spacing w:after="0" w:line="240" w:lineRule="auto"/>
            </w:pPr>
            <w:r>
              <w:rPr>
                <w:b/>
                <w:sz w:val="17"/>
              </w:rPr>
              <w:t>FR-ADM-004</w:t>
            </w:r>
          </w:p>
        </w:tc>
        <w:tc>
          <w:tcPr>
            <w:tcW w:type="dxa" w:w="6300"/>
            <w:shd w:val="clear" w:color="auto" w:fill="F3F6F8"/>
          </w:tcPr>
          <w:p>
            <w:pPr>
              <w:spacing w:after="0" w:line="240" w:lineRule="auto"/>
            </w:pPr>
            <w:r>
              <w:rPr>
                <w:sz w:val="17"/>
              </w:rPr>
              <w:t>SSO and MFA for privileged actions, and a time-boxed break-glass procedure.</w:t>
            </w:r>
          </w:p>
        </w:tc>
        <w:tc>
          <w:tcPr>
            <w:tcW w:type="dxa" w:w="517"/>
            <w:shd w:val="clear" w:color="auto" w:fill="F3F6F8"/>
          </w:tcPr>
          <w:p>
            <w:pPr>
              <w:spacing w:after="0" w:line="240" w:lineRule="auto"/>
            </w:pPr>
            <w:r>
              <w:rPr>
                <w:sz w:val="17"/>
              </w:rPr>
              <w:t>S</w:t>
            </w:r>
          </w:p>
        </w:tc>
        <w:tc>
          <w:tcPr>
            <w:tcW w:type="dxa" w:w="752"/>
            <w:shd w:val="clear" w:color="auto" w:fill="F3F6F8"/>
          </w:tcPr>
          <w:p>
            <w:pPr>
              <w:spacing w:after="0" w:line="240" w:lineRule="auto"/>
            </w:pPr>
            <w:r>
              <w:rPr>
                <w:sz w:val="17"/>
              </w:rPr>
              <w:t>P2</w:t>
            </w:r>
          </w:p>
        </w:tc>
        <w:tc>
          <w:tcPr>
            <w:tcW w:type="dxa" w:w="893"/>
            <w:shd w:val="clear" w:color="auto" w:fill="F3F6F8"/>
          </w:tcPr>
          <w:p>
            <w:pPr>
              <w:spacing w:after="0" w:line="240" w:lineRule="auto"/>
            </w:pPr>
            <w:r>
              <w:rPr>
                <w:sz w:val="17"/>
              </w:rPr>
              <w:t>NEW</w:t>
            </w:r>
          </w:p>
        </w:tc>
      </w:tr>
      <w:tr>
        <w:trPr>
          <w:cantSplit w:val="true"/>
        </w:trPr>
        <w:tc>
          <w:tcPr>
            <w:tcW w:type="dxa" w:w="1175"/>
          </w:tcPr>
          <w:p>
            <w:pPr>
              <w:spacing w:after="0" w:line="240" w:lineRule="auto"/>
            </w:pPr>
            <w:r>
              <w:rPr>
                <w:b/>
                <w:sz w:val="17"/>
              </w:rPr>
              <w:t>FR-ADM-005</w:t>
            </w:r>
          </w:p>
        </w:tc>
        <w:tc>
          <w:tcPr>
            <w:tcW w:type="dxa" w:w="6300"/>
          </w:tcPr>
          <w:p>
            <w:pPr>
              <w:spacing w:after="0" w:line="240" w:lineRule="auto"/>
            </w:pPr>
            <w:r>
              <w:rPr>
                <w:sz w:val="17"/>
              </w:rPr>
              <w:t>Adapter approval requires a second person (four-eyes).</w:t>
            </w:r>
          </w:p>
        </w:tc>
        <w:tc>
          <w:tcPr>
            <w:tcW w:type="dxa" w:w="517"/>
          </w:tcPr>
          <w:p>
            <w:pPr>
              <w:spacing w:after="0" w:line="240" w:lineRule="auto"/>
            </w:pPr>
            <w:r>
              <w:rPr>
                <w:sz w:val="17"/>
              </w:rPr>
              <w:t>S</w:t>
            </w:r>
          </w:p>
        </w:tc>
        <w:tc>
          <w:tcPr>
            <w:tcW w:type="dxa" w:w="752"/>
          </w:tcPr>
          <w:p>
            <w:pPr>
              <w:spacing w:after="0" w:line="240" w:lineRule="auto"/>
            </w:pPr>
            <w:r>
              <w:rPr>
                <w:sz w:val="17"/>
              </w:rPr>
              <w:t>P2</w:t>
            </w:r>
          </w:p>
        </w:tc>
        <w:tc>
          <w:tcPr>
            <w:tcW w:type="dxa" w:w="893"/>
          </w:tcPr>
          <w:p>
            <w:pPr>
              <w:spacing w:after="0" w:line="240" w:lineRule="auto"/>
            </w:pPr>
            <w:r>
              <w:rPr>
                <w:sz w:val="17"/>
              </w:rPr>
              <w:t>D3</w:t>
            </w:r>
          </w:p>
        </w:tc>
      </w:tr>
      <w:tr>
        <w:trPr>
          <w:cantSplit w:val="true"/>
        </w:trPr>
        <w:tc>
          <w:tcPr>
            <w:tcW w:type="dxa" w:w="1175"/>
            <w:shd w:val="clear" w:color="auto" w:fill="F3F6F8"/>
          </w:tcPr>
          <w:p>
            <w:pPr>
              <w:spacing w:after="0" w:line="240" w:lineRule="auto"/>
            </w:pPr>
            <w:r>
              <w:rPr>
                <w:b/>
                <w:sz w:val="17"/>
              </w:rPr>
              <w:t>FR-ADM-006</w:t>
            </w:r>
          </w:p>
        </w:tc>
        <w:tc>
          <w:tcPr>
            <w:tcW w:type="dxa" w:w="6300"/>
            <w:shd w:val="clear" w:color="auto" w:fill="F3F6F8"/>
          </w:tcPr>
          <w:p>
            <w:pPr>
              <w:spacing w:after="0" w:line="240" w:lineRule="auto"/>
            </w:pPr>
            <w:r>
              <w:rPr>
                <w:sz w:val="17"/>
              </w:rPr>
              <w:t>Health monitoring and alerts for MID Servers (heartbeat, version, HA state), CA connectors and the vault.</w:t>
            </w:r>
          </w:p>
        </w:tc>
        <w:tc>
          <w:tcPr>
            <w:tcW w:type="dxa" w:w="517"/>
            <w:shd w:val="clear" w:color="auto" w:fill="F3F6F8"/>
          </w:tcPr>
          <w:p>
            <w:pPr>
              <w:spacing w:after="0" w:line="240" w:lineRule="auto"/>
            </w:pPr>
            <w:r>
              <w:rPr>
                <w:sz w:val="17"/>
              </w:rPr>
              <w:t>M</w:t>
            </w:r>
          </w:p>
        </w:tc>
        <w:tc>
          <w:tcPr>
            <w:tcW w:type="dxa" w:w="752"/>
            <w:shd w:val="clear" w:color="auto" w:fill="F3F6F8"/>
          </w:tcPr>
          <w:p>
            <w:pPr>
              <w:spacing w:after="0" w:line="240" w:lineRule="auto"/>
            </w:pPr>
            <w:r>
              <w:rPr>
                <w:sz w:val="17"/>
              </w:rPr>
              <w:t>P1</w:t>
            </w:r>
          </w:p>
        </w:tc>
        <w:tc>
          <w:tcPr>
            <w:tcW w:type="dxa" w:w="893"/>
            <w:shd w:val="clear" w:color="auto" w:fill="F3F6F8"/>
          </w:tcPr>
          <w:p>
            <w:pPr>
              <w:spacing w:after="0" w:line="240" w:lineRule="auto"/>
            </w:pPr>
            <w:r>
              <w:rPr>
                <w:sz w:val="17"/>
              </w:rPr>
              <w:t>D2</w:t>
            </w:r>
          </w:p>
        </w:tc>
      </w:tr>
      <w:tr>
        <w:trPr>
          <w:cantSplit w:val="true"/>
        </w:trPr>
        <w:tc>
          <w:tcPr>
            <w:tcW w:type="dxa" w:w="1175"/>
          </w:tcPr>
          <w:p>
            <w:pPr>
              <w:spacing w:after="0" w:line="240" w:lineRule="auto"/>
            </w:pPr>
            <w:r>
              <w:rPr>
                <w:b/>
                <w:sz w:val="17"/>
              </w:rPr>
              <w:t>FR-ADM-007</w:t>
            </w:r>
          </w:p>
        </w:tc>
        <w:tc>
          <w:tcPr>
            <w:tcW w:type="dxa" w:w="6300"/>
          </w:tcPr>
          <w:p>
            <w:pPr>
              <w:spacing w:after="0" w:line="240" w:lineRule="auto"/>
            </w:pPr>
            <w:r>
              <w:rPr>
                <w:sz w:val="17"/>
              </w:rPr>
              <w:t>Domain separation for business units.</w:t>
            </w:r>
          </w:p>
        </w:tc>
        <w:tc>
          <w:tcPr>
            <w:tcW w:type="dxa" w:w="517"/>
          </w:tcPr>
          <w:p>
            <w:pPr>
              <w:spacing w:after="0" w:line="240" w:lineRule="auto"/>
            </w:pPr>
            <w:r>
              <w:rPr>
                <w:sz w:val="17"/>
              </w:rPr>
              <w:t>C</w:t>
            </w:r>
          </w:p>
        </w:tc>
        <w:tc>
          <w:tcPr>
            <w:tcW w:type="dxa" w:w="752"/>
          </w:tcPr>
          <w:p>
            <w:pPr>
              <w:spacing w:after="0" w:line="240" w:lineRule="auto"/>
            </w:pPr>
            <w:r>
              <w:rPr>
                <w:sz w:val="17"/>
              </w:rPr>
              <w:t>P3</w:t>
            </w:r>
          </w:p>
        </w:tc>
        <w:tc>
          <w:tcPr>
            <w:tcW w:type="dxa" w:w="893"/>
          </w:tcPr>
          <w:p>
            <w:pPr>
              <w:spacing w:after="0" w:line="240" w:lineRule="auto"/>
            </w:pPr>
            <w:r>
              <w:rPr>
                <w:sz w:val="17"/>
              </w:rPr>
              <w:t>NEW</w:t>
            </w:r>
          </w:p>
        </w:tc>
      </w:tr>
    </w:tbl>
    <w:p>
      <w:pPr>
        <w:spacing w:after="40"/>
      </w:pPr>
    </w:p>
    <w:p>
      <w:pPr>
        <w:pStyle w:val="Heading1"/>
        <w:pBdr>
          <w:bottom w:val="single" w:sz="8" w:space="2" w:color="2E7D32"/>
        </w:pBdr>
      </w:pPr>
      <w:r>
        <w:t>6. Platform adapter specifications</w:t>
      </w:r>
    </w:p>
    <w:p>
      <w:r>
        <w:t>This chapter answers the requirement to cover all technologies. Each platform has its own adapter with the same contract (FR-ADP-001). The routing matrix is Figure 8, and the five-step path per platform is Figure 9. Commands and paths are indicative and must be confirmed in adapter design.</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280000" cy="6264000"/>
            <wp:docPr id="9" name="Picture 9"/>
            <wp:cNvGraphicFramePr>
              <a:graphicFrameLocks noChangeAspect="1"/>
            </wp:cNvGraphicFramePr>
            <a:graphic>
              <a:graphicData uri="http://schemas.openxmlformats.org/drawingml/2006/picture">
                <pic:pic>
                  <pic:nvPicPr>
                    <pic:cNvPr id="0" name="Fig09_platform_deployment_paths.png"/>
                    <pic:cNvPicPr/>
                  </pic:nvPicPr>
                  <pic:blipFill>
                    <a:blip r:embed="rId18"/>
                    <a:stretch>
                      <a:fillRect/>
                    </a:stretch>
                  </pic:blipFill>
                  <pic:spPr>
                    <a:xfrm>
                      <a:off x="0" y="0"/>
                      <a:ext cx="9280000" cy="6264000"/>
                    </a:xfrm>
                    <a:prstGeom prst="rect"/>
                  </pic:spPr>
                </pic:pic>
              </a:graphicData>
            </a:graphic>
          </wp:inline>
        </w:drawing>
      </w:r>
    </w:p>
    <w:p>
      <w:pPr>
        <w:jc w:val="center"/>
      </w:pPr>
      <w:r>
        <w:rPr>
          <w:i/>
          <w:color w:val="606B7A"/>
          <w:sz w:val="18"/>
        </w:rPr>
        <w:t>Figure 9: Platform-specific deployment paths</w:t>
      </w:r>
    </w:p>
    <w:p>
      <w:pPr>
        <w:sectPr>
          <w:pgSz w:w="16838" w:h="11906" w:orient="landscape"/>
          <w:pgMar w:top="737" w:right="850" w:bottom="850" w:left="850" w:header="720" w:footer="720" w:gutter="0"/>
          <w:cols w:space="720"/>
          <w:docGrid w:linePitch="360"/>
        </w:sectPr>
      </w:pPr>
    </w:p>
    <w:p>
      <w:pPr>
        <w:pStyle w:val="Heading2"/>
      </w:pPr>
      <w:r>
        <w:t>6.1 Windows (adapter WIN, Phase 1)</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AD-WIN-01</w:t>
            </w:r>
          </w:p>
        </w:tc>
        <w:tc>
          <w:tcPr>
            <w:tcW w:type="dxa" w:w="1589"/>
          </w:tcPr>
          <w:p>
            <w:pPr>
              <w:spacing w:after="0" w:line="240" w:lineRule="auto"/>
            </w:pPr>
            <w:r>
              <w:rPr>
                <w:sz w:val="17"/>
              </w:rPr>
              <w:t>Scope</w:t>
            </w:r>
          </w:p>
        </w:tc>
        <w:tc>
          <w:tcPr>
            <w:tcW w:type="dxa" w:w="6990"/>
          </w:tcPr>
          <w:p>
            <w:pPr>
              <w:spacing w:after="0" w:line="240" w:lineRule="auto"/>
            </w:pPr>
            <w:r>
              <w:rPr>
                <w:sz w:val="17"/>
              </w:rPr>
              <w:t>Windows Server 2016, 2019, 2022 and 2025. Certificate store, IIS, RDP listener, WinRM HTTPS listener, SQL Server, Windows services bound with netsh http. Exchange and ADFS in Phase 3.</w:t>
            </w:r>
          </w:p>
        </w:tc>
      </w:tr>
      <w:tr>
        <w:trPr>
          <w:cantSplit w:val="true"/>
        </w:trPr>
        <w:tc>
          <w:tcPr>
            <w:tcW w:type="dxa" w:w="1059"/>
            <w:shd w:val="clear" w:color="auto" w:fill="F3F6F8"/>
          </w:tcPr>
          <w:p>
            <w:pPr>
              <w:spacing w:after="0" w:line="240" w:lineRule="auto"/>
            </w:pPr>
            <w:r>
              <w:rPr>
                <w:b/>
                <w:sz w:val="17"/>
              </w:rPr>
              <w:t>AD-WIN-02</w:t>
            </w:r>
          </w:p>
        </w:tc>
        <w:tc>
          <w:tcPr>
            <w:tcW w:type="dxa" w:w="1589"/>
            <w:shd w:val="clear" w:color="auto" w:fill="F3F6F8"/>
          </w:tcPr>
          <w:p>
            <w:pPr>
              <w:spacing w:after="0" w:line="240" w:lineRule="auto"/>
            </w:pPr>
            <w:r>
              <w:rPr>
                <w:sz w:val="17"/>
              </w:rPr>
              <w:t>Transport</w:t>
            </w:r>
          </w:p>
        </w:tc>
        <w:tc>
          <w:tcPr>
            <w:tcW w:type="dxa" w:w="6990"/>
            <w:shd w:val="clear" w:color="auto" w:fill="F3F6F8"/>
          </w:tcPr>
          <w:p>
            <w:pPr>
              <w:spacing w:after="0" w:line="240" w:lineRule="auto"/>
            </w:pPr>
            <w:r>
              <w:rPr>
                <w:sz w:val="17"/>
              </w:rPr>
              <w:t>WinRM over HTTPS (5986) with a certificate-authenticated listener, or Kerberos in a domain. HTTP, Basic and AllowUnencrypted are forbidden outside the POC. Prefer a constrained JEA endpoint exposing only approved cmdlets.</w:t>
            </w:r>
          </w:p>
        </w:tc>
      </w:tr>
      <w:tr>
        <w:trPr>
          <w:cantSplit w:val="true"/>
        </w:trPr>
        <w:tc>
          <w:tcPr>
            <w:tcW w:type="dxa" w:w="1059"/>
          </w:tcPr>
          <w:p>
            <w:pPr>
              <w:spacing w:after="0" w:line="240" w:lineRule="auto"/>
            </w:pPr>
            <w:r>
              <w:rPr>
                <w:b/>
                <w:sz w:val="17"/>
              </w:rPr>
              <w:t>AD-WIN-03</w:t>
            </w:r>
          </w:p>
        </w:tc>
        <w:tc>
          <w:tcPr>
            <w:tcW w:type="dxa" w:w="1589"/>
          </w:tcPr>
          <w:p>
            <w:pPr>
              <w:spacing w:after="0" w:line="240" w:lineRule="auto"/>
            </w:pPr>
            <w:r>
              <w:rPr>
                <w:sz w:val="17"/>
              </w:rPr>
              <w:t>Accounts</w:t>
            </w:r>
          </w:p>
        </w:tc>
        <w:tc>
          <w:tcPr>
            <w:tcW w:type="dxa" w:w="6990"/>
          </w:tcPr>
          <w:p>
            <w:pPr>
              <w:spacing w:after="0" w:line="240" w:lineRule="auto"/>
            </w:pPr>
            <w:r>
              <w:rPr>
                <w:sz w:val="17"/>
              </w:rPr>
              <w:t>Separate read-only discovery account and scoped deployment account, gMSA or vault-rotated. Never a domain administrator.</w:t>
            </w:r>
          </w:p>
        </w:tc>
      </w:tr>
      <w:tr>
        <w:trPr>
          <w:cantSplit w:val="true"/>
        </w:trPr>
        <w:tc>
          <w:tcPr>
            <w:tcW w:type="dxa" w:w="1059"/>
            <w:shd w:val="clear" w:color="auto" w:fill="F3F6F8"/>
          </w:tcPr>
          <w:p>
            <w:pPr>
              <w:spacing w:after="0" w:line="240" w:lineRule="auto"/>
            </w:pPr>
            <w:r>
              <w:rPr>
                <w:b/>
                <w:sz w:val="17"/>
              </w:rPr>
              <w:t>AD-WIN-04</w:t>
            </w:r>
          </w:p>
        </w:tc>
        <w:tc>
          <w:tcPr>
            <w:tcW w:type="dxa" w:w="1589"/>
            <w:shd w:val="clear" w:color="auto" w:fill="F3F6F8"/>
          </w:tcPr>
          <w:p>
            <w:pPr>
              <w:spacing w:after="0" w:line="240" w:lineRule="auto"/>
            </w:pPr>
            <w:r>
              <w:rPr>
                <w:sz w:val="17"/>
              </w:rPr>
              <w:t>CSR and key</w:t>
            </w:r>
          </w:p>
        </w:tc>
        <w:tc>
          <w:tcPr>
            <w:tcW w:type="dxa" w:w="6990"/>
            <w:shd w:val="clear" w:color="auto" w:fill="F3F6F8"/>
          </w:tcPr>
          <w:p>
            <w:pPr>
              <w:spacing w:after="0" w:line="240" w:lineRule="auto"/>
            </w:pPr>
            <w:r>
              <w:rPr>
                <w:sz w:val="17"/>
              </w:rPr>
              <w:t>certreq -new with an INF: key created in Cert:\LocalMachine\My request store, non-exportable, 3072-bit, SANs from the request. Only the CSR leaves the host.</w:t>
            </w:r>
          </w:p>
        </w:tc>
      </w:tr>
      <w:tr>
        <w:trPr>
          <w:cantSplit w:val="true"/>
        </w:trPr>
        <w:tc>
          <w:tcPr>
            <w:tcW w:type="dxa" w:w="1059"/>
          </w:tcPr>
          <w:p>
            <w:pPr>
              <w:spacing w:after="0" w:line="240" w:lineRule="auto"/>
            </w:pPr>
            <w:r>
              <w:rPr>
                <w:b/>
                <w:sz w:val="17"/>
              </w:rPr>
              <w:t>AD-WIN-05</w:t>
            </w:r>
          </w:p>
        </w:tc>
        <w:tc>
          <w:tcPr>
            <w:tcW w:type="dxa" w:w="1589"/>
          </w:tcPr>
          <w:p>
            <w:pPr>
              <w:spacing w:after="0" w:line="240" w:lineRule="auto"/>
            </w:pPr>
            <w:r>
              <w:rPr>
                <w:sz w:val="17"/>
              </w:rPr>
              <w:t>Install</w:t>
            </w:r>
          </w:p>
        </w:tc>
        <w:tc>
          <w:tcPr>
            <w:tcW w:type="dxa" w:w="6990"/>
          </w:tcPr>
          <w:p>
            <w:pPr>
              <w:spacing w:after="0" w:line="240" w:lineRule="auto"/>
            </w:pPr>
            <w:r>
              <w:rPr>
                <w:sz w:val="17"/>
              </w:rPr>
              <w:t>certreq -accept binds the issued certificate to its private key. PFX import (Import-PfxCertificate, non-exportable) only under FR-KEY-003. Install intermediates into the intermediate CA store. Roots are managed by Group Policy, not CDM.</w:t>
            </w:r>
          </w:p>
        </w:tc>
      </w:tr>
      <w:tr>
        <w:trPr>
          <w:cantSplit w:val="true"/>
        </w:trPr>
        <w:tc>
          <w:tcPr>
            <w:tcW w:type="dxa" w:w="1059"/>
            <w:shd w:val="clear" w:color="auto" w:fill="F3F6F8"/>
          </w:tcPr>
          <w:p>
            <w:pPr>
              <w:spacing w:after="0" w:line="240" w:lineRule="auto"/>
            </w:pPr>
            <w:r>
              <w:rPr>
                <w:b/>
                <w:sz w:val="17"/>
              </w:rPr>
              <w:t>AD-WIN-06</w:t>
            </w:r>
          </w:p>
        </w:tc>
        <w:tc>
          <w:tcPr>
            <w:tcW w:type="dxa" w:w="1589"/>
            <w:shd w:val="clear" w:color="auto" w:fill="F3F6F8"/>
          </w:tcPr>
          <w:p>
            <w:pPr>
              <w:spacing w:after="0" w:line="240" w:lineRule="auto"/>
            </w:pPr>
            <w:r>
              <w:rPr>
                <w:sz w:val="17"/>
              </w:rPr>
              <w:t>Activate</w:t>
            </w:r>
          </w:p>
        </w:tc>
        <w:tc>
          <w:tcPr>
            <w:tcW w:type="dxa" w:w="6990"/>
            <w:shd w:val="clear" w:color="auto" w:fill="F3F6F8"/>
          </w:tcPr>
          <w:p>
            <w:pPr>
              <w:spacing w:after="0" w:line="240" w:lineRule="auto"/>
            </w:pPr>
            <w:r>
              <w:rPr>
                <w:sz w:val="17"/>
              </w:rPr>
              <w:t>IIS binding update including SNI, RDP listener thumbprint, SQL Server certificate registry setting with service restart, WinRM HTTPS listener, netsh http sslcert.</w:t>
            </w:r>
          </w:p>
        </w:tc>
      </w:tr>
      <w:tr>
        <w:trPr>
          <w:cantSplit w:val="true"/>
        </w:trPr>
        <w:tc>
          <w:tcPr>
            <w:tcW w:type="dxa" w:w="1059"/>
          </w:tcPr>
          <w:p>
            <w:pPr>
              <w:spacing w:after="0" w:line="240" w:lineRule="auto"/>
            </w:pPr>
            <w:r>
              <w:rPr>
                <w:b/>
                <w:sz w:val="17"/>
              </w:rPr>
              <w:t>AD-WIN-07</w:t>
            </w:r>
          </w:p>
        </w:tc>
        <w:tc>
          <w:tcPr>
            <w:tcW w:type="dxa" w:w="1589"/>
          </w:tcPr>
          <w:p>
            <w:pPr>
              <w:spacing w:after="0" w:line="240" w:lineRule="auto"/>
            </w:pPr>
            <w:r>
              <w:rPr>
                <w:sz w:val="17"/>
              </w:rPr>
              <w:t>Backup</w:t>
            </w:r>
          </w:p>
        </w:tc>
        <w:tc>
          <w:tcPr>
            <w:tcW w:type="dxa" w:w="6990"/>
          </w:tcPr>
          <w:p>
            <w:pPr>
              <w:spacing w:after="0" w:line="240" w:lineRule="auto"/>
            </w:pPr>
            <w:r>
              <w:rPr>
                <w:sz w:val="17"/>
              </w:rPr>
              <w:t>Record the previous thumbprint and every binding that uses it. The old certificate stays in the store (archived) for a retention period (default 30 days).</w:t>
            </w:r>
          </w:p>
        </w:tc>
      </w:tr>
      <w:tr>
        <w:trPr>
          <w:cantSplit w:val="true"/>
        </w:trPr>
        <w:tc>
          <w:tcPr>
            <w:tcW w:type="dxa" w:w="1059"/>
            <w:shd w:val="clear" w:color="auto" w:fill="F3F6F8"/>
          </w:tcPr>
          <w:p>
            <w:pPr>
              <w:spacing w:after="0" w:line="240" w:lineRule="auto"/>
            </w:pPr>
            <w:r>
              <w:rPr>
                <w:b/>
                <w:sz w:val="17"/>
              </w:rPr>
              <w:t>AD-WIN-08</w:t>
            </w:r>
          </w:p>
        </w:tc>
        <w:tc>
          <w:tcPr>
            <w:tcW w:type="dxa" w:w="1589"/>
            <w:shd w:val="clear" w:color="auto" w:fill="F3F6F8"/>
          </w:tcPr>
          <w:p>
            <w:pPr>
              <w:spacing w:after="0" w:line="240" w:lineRule="auto"/>
            </w:pPr>
            <w:r>
              <w:rPr>
                <w:sz w:val="17"/>
              </w:rPr>
              <w:t>Verify</w:t>
            </w:r>
          </w:p>
        </w:tc>
        <w:tc>
          <w:tcPr>
            <w:tcW w:type="dxa" w:w="6990"/>
            <w:shd w:val="clear" w:color="auto" w:fill="F3F6F8"/>
          </w:tcPr>
          <w:p>
            <w:pPr>
              <w:spacing w:after="0" w:line="240" w:lineRule="auto"/>
            </w:pPr>
            <w:r>
              <w:rPr>
                <w:sz w:val="17"/>
              </w:rPr>
              <w:t>TLS handshake with SNI to host and port from the zone MID Server. Compare thumbprint, validate the chain with the Windows chain engine, check SAN and expiry.</w:t>
            </w:r>
          </w:p>
        </w:tc>
      </w:tr>
      <w:tr>
        <w:trPr>
          <w:cantSplit w:val="true"/>
        </w:trPr>
        <w:tc>
          <w:tcPr>
            <w:tcW w:type="dxa" w:w="1059"/>
          </w:tcPr>
          <w:p>
            <w:pPr>
              <w:spacing w:after="0" w:line="240" w:lineRule="auto"/>
            </w:pPr>
            <w:r>
              <w:rPr>
                <w:b/>
                <w:sz w:val="17"/>
              </w:rPr>
              <w:t>AD-WIN-09</w:t>
            </w:r>
          </w:p>
        </w:tc>
        <w:tc>
          <w:tcPr>
            <w:tcW w:type="dxa" w:w="1589"/>
          </w:tcPr>
          <w:p>
            <w:pPr>
              <w:spacing w:after="0" w:line="240" w:lineRule="auto"/>
            </w:pPr>
            <w:r>
              <w:rPr>
                <w:sz w:val="17"/>
              </w:rPr>
              <w:t>Rollback</w:t>
            </w:r>
          </w:p>
        </w:tc>
        <w:tc>
          <w:tcPr>
            <w:tcW w:type="dxa" w:w="6990"/>
          </w:tcPr>
          <w:p>
            <w:pPr>
              <w:spacing w:after="0" w:line="240" w:lineRule="auto"/>
            </w:pPr>
            <w:r>
              <w:rPr>
                <w:sz w:val="17"/>
              </w:rPr>
              <w:t>Re-apply the previous thumbprint to each binding, restart if needed, verify. Remove the failed certificate.</w:t>
            </w:r>
          </w:p>
        </w:tc>
      </w:tr>
      <w:tr>
        <w:trPr>
          <w:cantSplit w:val="true"/>
        </w:trPr>
        <w:tc>
          <w:tcPr>
            <w:tcW w:type="dxa" w:w="1059"/>
            <w:shd w:val="clear" w:color="auto" w:fill="F3F6F8"/>
          </w:tcPr>
          <w:p>
            <w:pPr>
              <w:spacing w:after="0" w:line="240" w:lineRule="auto"/>
            </w:pPr>
            <w:r>
              <w:rPr>
                <w:b/>
                <w:sz w:val="17"/>
              </w:rPr>
              <w:t>AD-WIN-10</w:t>
            </w:r>
          </w:p>
        </w:tc>
        <w:tc>
          <w:tcPr>
            <w:tcW w:type="dxa" w:w="1589"/>
            <w:shd w:val="clear" w:color="auto" w:fill="F3F6F8"/>
          </w:tcPr>
          <w:p>
            <w:pPr>
              <w:spacing w:after="0" w:line="240" w:lineRule="auto"/>
            </w:pPr>
            <w:r>
              <w:rPr>
                <w:sz w:val="17"/>
              </w:rPr>
              <w:t>Discovery</w:t>
            </w:r>
          </w:p>
        </w:tc>
        <w:tc>
          <w:tcPr>
            <w:tcW w:type="dxa" w:w="6990"/>
            <w:shd w:val="clear" w:color="auto" w:fill="F3F6F8"/>
          </w:tcPr>
          <w:p>
            <w:pPr>
              <w:spacing w:after="0" w:line="240" w:lineRule="auto"/>
            </w:pPr>
            <w:r>
              <w:rPr>
                <w:sz w:val="17"/>
              </w:rPr>
              <w:t>Enumerate Cert:\LocalMachine\My and web-hosting stores: subject, SAN, thumbprint, expiry, has-private-key flag, bindings.</w:t>
            </w:r>
          </w:p>
        </w:tc>
      </w:tr>
      <w:tr>
        <w:trPr>
          <w:cantSplit w:val="true"/>
        </w:trPr>
        <w:tc>
          <w:tcPr>
            <w:tcW w:type="dxa" w:w="1059"/>
          </w:tcPr>
          <w:p>
            <w:pPr>
              <w:spacing w:after="0" w:line="240" w:lineRule="auto"/>
            </w:pPr>
            <w:r>
              <w:rPr>
                <w:b/>
                <w:sz w:val="17"/>
              </w:rPr>
              <w:t>AD-WIN-11</w:t>
            </w:r>
          </w:p>
        </w:tc>
        <w:tc>
          <w:tcPr>
            <w:tcW w:type="dxa" w:w="1589"/>
          </w:tcPr>
          <w:p>
            <w:pPr>
              <w:spacing w:after="0" w:line="240" w:lineRule="auto"/>
            </w:pPr>
            <w:r>
              <w:rPr>
                <w:sz w:val="17"/>
              </w:rPr>
              <w:t>POC continuity</w:t>
            </w:r>
          </w:p>
        </w:tc>
        <w:tc>
          <w:tcPr>
            <w:tcW w:type="dxa" w:w="6990"/>
          </w:tcPr>
          <w:p>
            <w:pPr>
              <w:spacing w:after="0" w:line="240" w:lineRule="auto"/>
            </w:pPr>
            <w:r>
              <w:rPr>
                <w:sz w:val="17"/>
              </w:rPr>
              <w:t>The POC path (Import-Certificate into Cert:\LocalMachine\My) is kept as the reference and extended with the CSR, key-association and binding steps.</w:t>
            </w:r>
          </w:p>
        </w:tc>
      </w:tr>
    </w:tbl>
    <w:p>
      <w:pPr>
        <w:spacing w:after="40"/>
      </w:pPr>
    </w:p>
    <w:p>
      <w:pPr>
        <w:pStyle w:val="Heading2"/>
      </w:pPr>
      <w:r>
        <w:t>6.2 Linux and Unix (adapter LNX, Phase 1)</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AD-LNX-01</w:t>
            </w:r>
          </w:p>
        </w:tc>
        <w:tc>
          <w:tcPr>
            <w:tcW w:type="dxa" w:w="1589"/>
          </w:tcPr>
          <w:p>
            <w:pPr>
              <w:spacing w:after="0" w:line="240" w:lineRule="auto"/>
            </w:pPr>
            <w:r>
              <w:rPr>
                <w:sz w:val="17"/>
              </w:rPr>
              <w:t>Scope</w:t>
            </w:r>
          </w:p>
        </w:tc>
        <w:tc>
          <w:tcPr>
            <w:tcW w:type="dxa" w:w="6990"/>
          </w:tcPr>
          <w:p>
            <w:pPr>
              <w:spacing w:after="0" w:line="240" w:lineRule="auto"/>
            </w:pPr>
            <w:r>
              <w:rPr>
                <w:sz w:val="17"/>
              </w:rPr>
              <w:t>RHEL, Rocky, Alma 8 and later; Ubuntu LTS 20.04 and later; Debian 11 and later; SUSE 15; Amazon Linux 2023. Services: nginx, Apache, HAProxy, Postfix, Dovecot, generic file-based TLS.</w:t>
            </w:r>
          </w:p>
        </w:tc>
      </w:tr>
      <w:tr>
        <w:trPr>
          <w:cantSplit w:val="true"/>
        </w:trPr>
        <w:tc>
          <w:tcPr>
            <w:tcW w:type="dxa" w:w="1059"/>
            <w:shd w:val="clear" w:color="auto" w:fill="F3F6F8"/>
          </w:tcPr>
          <w:p>
            <w:pPr>
              <w:spacing w:after="0" w:line="240" w:lineRule="auto"/>
            </w:pPr>
            <w:r>
              <w:rPr>
                <w:b/>
                <w:sz w:val="17"/>
              </w:rPr>
              <w:t>AD-LNX-02</w:t>
            </w:r>
          </w:p>
        </w:tc>
        <w:tc>
          <w:tcPr>
            <w:tcW w:type="dxa" w:w="1589"/>
            <w:shd w:val="clear" w:color="auto" w:fill="F3F6F8"/>
          </w:tcPr>
          <w:p>
            <w:pPr>
              <w:spacing w:after="0" w:line="240" w:lineRule="auto"/>
            </w:pPr>
            <w:r>
              <w:rPr>
                <w:sz w:val="17"/>
              </w:rPr>
              <w:t>Transport</w:t>
            </w:r>
          </w:p>
        </w:tc>
        <w:tc>
          <w:tcPr>
            <w:tcW w:type="dxa" w:w="6990"/>
            <w:shd w:val="clear" w:color="auto" w:fill="F3F6F8"/>
          </w:tcPr>
          <w:p>
            <w:pPr>
              <w:spacing w:after="0" w:line="240" w:lineRule="auto"/>
            </w:pPr>
            <w:r>
              <w:rPr>
                <w:sz w:val="17"/>
              </w:rPr>
              <w:t>SSH from the zone MID Server using short-lived signed SSH certificates from the vault (or a vault-brokered key). No password authentication. Host keys pinned.</w:t>
            </w:r>
          </w:p>
        </w:tc>
      </w:tr>
      <w:tr>
        <w:trPr>
          <w:cantSplit w:val="true"/>
        </w:trPr>
        <w:tc>
          <w:tcPr>
            <w:tcW w:type="dxa" w:w="1059"/>
          </w:tcPr>
          <w:p>
            <w:pPr>
              <w:spacing w:after="0" w:line="240" w:lineRule="auto"/>
            </w:pPr>
            <w:r>
              <w:rPr>
                <w:b/>
                <w:sz w:val="17"/>
              </w:rPr>
              <w:t>AD-LNX-03</w:t>
            </w:r>
          </w:p>
        </w:tc>
        <w:tc>
          <w:tcPr>
            <w:tcW w:type="dxa" w:w="1589"/>
          </w:tcPr>
          <w:p>
            <w:pPr>
              <w:spacing w:after="0" w:line="240" w:lineRule="auto"/>
            </w:pPr>
            <w:r>
              <w:rPr>
                <w:sz w:val="17"/>
              </w:rPr>
              <w:t>Privilege</w:t>
            </w:r>
          </w:p>
        </w:tc>
        <w:tc>
          <w:tcPr>
            <w:tcW w:type="dxa" w:w="6990"/>
          </w:tcPr>
          <w:p>
            <w:pPr>
              <w:spacing w:after="0" w:line="240" w:lineRule="auto"/>
            </w:pPr>
            <w:r>
              <w:rPr>
                <w:sz w:val="17"/>
              </w:rPr>
              <w:t>Dedicated deployment user. sudo rules limited to named commands (install, service reload, configtest, restorecon).</w:t>
            </w:r>
          </w:p>
        </w:tc>
      </w:tr>
      <w:tr>
        <w:trPr>
          <w:cantSplit w:val="true"/>
        </w:trPr>
        <w:tc>
          <w:tcPr>
            <w:tcW w:type="dxa" w:w="1059"/>
            <w:shd w:val="clear" w:color="auto" w:fill="F3F6F8"/>
          </w:tcPr>
          <w:p>
            <w:pPr>
              <w:spacing w:after="0" w:line="240" w:lineRule="auto"/>
            </w:pPr>
            <w:r>
              <w:rPr>
                <w:b/>
                <w:sz w:val="17"/>
              </w:rPr>
              <w:t>AD-LNX-04</w:t>
            </w:r>
          </w:p>
        </w:tc>
        <w:tc>
          <w:tcPr>
            <w:tcW w:type="dxa" w:w="1589"/>
            <w:shd w:val="clear" w:color="auto" w:fill="F3F6F8"/>
          </w:tcPr>
          <w:p>
            <w:pPr>
              <w:spacing w:after="0" w:line="240" w:lineRule="auto"/>
            </w:pPr>
            <w:r>
              <w:rPr>
                <w:sz w:val="17"/>
              </w:rPr>
              <w:t>CSR and key</w:t>
            </w:r>
          </w:p>
        </w:tc>
        <w:tc>
          <w:tcPr>
            <w:tcW w:type="dxa" w:w="6990"/>
            <w:shd w:val="clear" w:color="auto" w:fill="F3F6F8"/>
          </w:tcPr>
          <w:p>
            <w:pPr>
              <w:spacing w:after="0" w:line="240" w:lineRule="auto"/>
            </w:pPr>
            <w:r>
              <w:rPr>
                <w:sz w:val="17"/>
              </w:rPr>
              <w:t>openssl req -new with a new 3072-bit key created under umask 077 in /etc/pki/tls/private (RHEL family) or /etc/ssl/private (Debian family). Only the CSR is returned.</w:t>
            </w:r>
          </w:p>
        </w:tc>
      </w:tr>
      <w:tr>
        <w:trPr>
          <w:cantSplit w:val="true"/>
        </w:trPr>
        <w:tc>
          <w:tcPr>
            <w:tcW w:type="dxa" w:w="1059"/>
          </w:tcPr>
          <w:p>
            <w:pPr>
              <w:spacing w:after="0" w:line="240" w:lineRule="auto"/>
            </w:pPr>
            <w:r>
              <w:rPr>
                <w:b/>
                <w:sz w:val="17"/>
              </w:rPr>
              <w:t>AD-LNX-05</w:t>
            </w:r>
          </w:p>
        </w:tc>
        <w:tc>
          <w:tcPr>
            <w:tcW w:type="dxa" w:w="1589"/>
          </w:tcPr>
          <w:p>
            <w:pPr>
              <w:spacing w:after="0" w:line="240" w:lineRule="auto"/>
            </w:pPr>
            <w:r>
              <w:rPr>
                <w:sz w:val="17"/>
              </w:rPr>
              <w:t>Install</w:t>
            </w:r>
          </w:p>
        </w:tc>
        <w:tc>
          <w:tcPr>
            <w:tcW w:type="dxa" w:w="6990"/>
          </w:tcPr>
          <w:p>
            <w:pPr>
              <w:spacing w:after="0" w:line="240" w:lineRule="auto"/>
            </w:pPr>
            <w:r>
              <w:rPr>
                <w:sz w:val="17"/>
              </w:rPr>
              <w:t>Write certificate and chain to a versioned file and switch an atomic "current" symlink. Certificate mode 0644; key 0600 or 0640 with the service group.</w:t>
            </w:r>
          </w:p>
        </w:tc>
      </w:tr>
      <w:tr>
        <w:trPr>
          <w:cantSplit w:val="true"/>
        </w:trPr>
        <w:tc>
          <w:tcPr>
            <w:tcW w:type="dxa" w:w="1059"/>
            <w:shd w:val="clear" w:color="auto" w:fill="F3F6F8"/>
          </w:tcPr>
          <w:p>
            <w:pPr>
              <w:spacing w:after="0" w:line="240" w:lineRule="auto"/>
            </w:pPr>
            <w:r>
              <w:rPr>
                <w:b/>
                <w:sz w:val="17"/>
              </w:rPr>
              <w:t>AD-LNX-06</w:t>
            </w:r>
          </w:p>
        </w:tc>
        <w:tc>
          <w:tcPr>
            <w:tcW w:type="dxa" w:w="1589"/>
            <w:shd w:val="clear" w:color="auto" w:fill="F3F6F8"/>
          </w:tcPr>
          <w:p>
            <w:pPr>
              <w:spacing w:after="0" w:line="240" w:lineRule="auto"/>
            </w:pPr>
            <w:r>
              <w:rPr>
                <w:sz w:val="17"/>
              </w:rPr>
              <w:t>SELinux and AppArmor</w:t>
            </w:r>
          </w:p>
        </w:tc>
        <w:tc>
          <w:tcPr>
            <w:tcW w:type="dxa" w:w="6990"/>
            <w:shd w:val="clear" w:color="auto" w:fill="F3F6F8"/>
          </w:tcPr>
          <w:p>
            <w:pPr>
              <w:spacing w:after="0" w:line="240" w:lineRule="auto"/>
            </w:pPr>
            <w:r>
              <w:rPr>
                <w:sz w:val="17"/>
              </w:rPr>
              <w:t>restorecon on written paths and verification of the context; check the AppArmor profile allows the new path.</w:t>
            </w:r>
          </w:p>
        </w:tc>
      </w:tr>
      <w:tr>
        <w:trPr>
          <w:cantSplit w:val="true"/>
        </w:trPr>
        <w:tc>
          <w:tcPr>
            <w:tcW w:type="dxa" w:w="1059"/>
          </w:tcPr>
          <w:p>
            <w:pPr>
              <w:spacing w:after="0" w:line="240" w:lineRule="auto"/>
            </w:pPr>
            <w:r>
              <w:rPr>
                <w:b/>
                <w:sz w:val="17"/>
              </w:rPr>
              <w:t>AD-LNX-07</w:t>
            </w:r>
          </w:p>
        </w:tc>
        <w:tc>
          <w:tcPr>
            <w:tcW w:type="dxa" w:w="1589"/>
          </w:tcPr>
          <w:p>
            <w:pPr>
              <w:spacing w:after="0" w:line="240" w:lineRule="auto"/>
            </w:pPr>
            <w:r>
              <w:rPr>
                <w:sz w:val="17"/>
              </w:rPr>
              <w:t>Activate</w:t>
            </w:r>
          </w:p>
        </w:tc>
        <w:tc>
          <w:tcPr>
            <w:tcW w:type="dxa" w:w="6990"/>
          </w:tcPr>
          <w:p>
            <w:pPr>
              <w:spacing w:after="0" w:line="240" w:lineRule="auto"/>
            </w:pPr>
            <w:r>
              <w:rPr>
                <w:sz w:val="17"/>
              </w:rPr>
              <w:t>nginx -t then systemctl reload nginx; apachectl configtest then reload httpd or apache2; haproxy -c then reload. Restart only if reload is unsupported (FR-SAF-009).</w:t>
            </w:r>
          </w:p>
        </w:tc>
      </w:tr>
      <w:tr>
        <w:trPr>
          <w:cantSplit w:val="true"/>
        </w:trPr>
        <w:tc>
          <w:tcPr>
            <w:tcW w:type="dxa" w:w="1059"/>
            <w:shd w:val="clear" w:color="auto" w:fill="F3F6F8"/>
          </w:tcPr>
          <w:p>
            <w:pPr>
              <w:spacing w:after="0" w:line="240" w:lineRule="auto"/>
            </w:pPr>
            <w:r>
              <w:rPr>
                <w:b/>
                <w:sz w:val="17"/>
              </w:rPr>
              <w:t>AD-LNX-08</w:t>
            </w:r>
          </w:p>
        </w:tc>
        <w:tc>
          <w:tcPr>
            <w:tcW w:type="dxa" w:w="1589"/>
            <w:shd w:val="clear" w:color="auto" w:fill="F3F6F8"/>
          </w:tcPr>
          <w:p>
            <w:pPr>
              <w:spacing w:after="0" w:line="240" w:lineRule="auto"/>
            </w:pPr>
            <w:r>
              <w:rPr>
                <w:sz w:val="17"/>
              </w:rPr>
              <w:t>Backup</w:t>
            </w:r>
          </w:p>
        </w:tc>
        <w:tc>
          <w:tcPr>
            <w:tcW w:type="dxa" w:w="6990"/>
            <w:shd w:val="clear" w:color="auto" w:fill="F3F6F8"/>
          </w:tcPr>
          <w:p>
            <w:pPr>
              <w:spacing w:after="0" w:line="240" w:lineRule="auto"/>
            </w:pPr>
            <w:r>
              <w:rPr>
                <w:sz w:val="17"/>
              </w:rPr>
              <w:t>Copy the previous certificate, key reference and config file to a root-only backup directory keyed by job ID.</w:t>
            </w:r>
          </w:p>
        </w:tc>
      </w:tr>
      <w:tr>
        <w:trPr>
          <w:cantSplit w:val="true"/>
        </w:trPr>
        <w:tc>
          <w:tcPr>
            <w:tcW w:type="dxa" w:w="1059"/>
          </w:tcPr>
          <w:p>
            <w:pPr>
              <w:spacing w:after="0" w:line="240" w:lineRule="auto"/>
            </w:pPr>
            <w:r>
              <w:rPr>
                <w:b/>
                <w:sz w:val="17"/>
              </w:rPr>
              <w:t>AD-LNX-09</w:t>
            </w:r>
          </w:p>
        </w:tc>
        <w:tc>
          <w:tcPr>
            <w:tcW w:type="dxa" w:w="1589"/>
          </w:tcPr>
          <w:p>
            <w:pPr>
              <w:spacing w:after="0" w:line="240" w:lineRule="auto"/>
            </w:pPr>
            <w:r>
              <w:rPr>
                <w:sz w:val="17"/>
              </w:rPr>
              <w:t>Verify</w:t>
            </w:r>
          </w:p>
        </w:tc>
        <w:tc>
          <w:tcPr>
            <w:tcW w:type="dxa" w:w="6990"/>
          </w:tcPr>
          <w:p>
            <w:pPr>
              <w:spacing w:after="0" w:line="240" w:lineRule="auto"/>
            </w:pPr>
            <w:r>
              <w:rPr>
                <w:sz w:val="17"/>
              </w:rPr>
              <w:t>openssl s_client with -servername from the zone MID Server. Compare fingerprint, SAN, chain and expiry.</w:t>
            </w:r>
          </w:p>
        </w:tc>
      </w:tr>
      <w:tr>
        <w:trPr>
          <w:cantSplit w:val="true"/>
        </w:trPr>
        <w:tc>
          <w:tcPr>
            <w:tcW w:type="dxa" w:w="1059"/>
            <w:shd w:val="clear" w:color="auto" w:fill="F3F6F8"/>
          </w:tcPr>
          <w:p>
            <w:pPr>
              <w:spacing w:after="0" w:line="240" w:lineRule="auto"/>
            </w:pPr>
            <w:r>
              <w:rPr>
                <w:b/>
                <w:sz w:val="17"/>
              </w:rPr>
              <w:t>AD-LNX-10</w:t>
            </w:r>
          </w:p>
        </w:tc>
        <w:tc>
          <w:tcPr>
            <w:tcW w:type="dxa" w:w="1589"/>
            <w:shd w:val="clear" w:color="auto" w:fill="F3F6F8"/>
          </w:tcPr>
          <w:p>
            <w:pPr>
              <w:spacing w:after="0" w:line="240" w:lineRule="auto"/>
            </w:pPr>
            <w:r>
              <w:rPr>
                <w:sz w:val="17"/>
              </w:rPr>
              <w:t>Rollback</w:t>
            </w:r>
          </w:p>
        </w:tc>
        <w:tc>
          <w:tcPr>
            <w:tcW w:type="dxa" w:w="6990"/>
            <w:shd w:val="clear" w:color="auto" w:fill="F3F6F8"/>
          </w:tcPr>
          <w:p>
            <w:pPr>
              <w:spacing w:after="0" w:line="240" w:lineRule="auto"/>
            </w:pPr>
            <w:r>
              <w:rPr>
                <w:sz w:val="17"/>
              </w:rPr>
              <w:t>Flip the symlink back, reload, verify.</w:t>
            </w:r>
          </w:p>
        </w:tc>
      </w:tr>
      <w:tr>
        <w:trPr>
          <w:cantSplit w:val="true"/>
        </w:trPr>
        <w:tc>
          <w:tcPr>
            <w:tcW w:type="dxa" w:w="1059"/>
          </w:tcPr>
          <w:p>
            <w:pPr>
              <w:spacing w:after="0" w:line="240" w:lineRule="auto"/>
            </w:pPr>
            <w:r>
              <w:rPr>
                <w:b/>
                <w:sz w:val="17"/>
              </w:rPr>
              <w:t>AD-LNX-11</w:t>
            </w:r>
          </w:p>
        </w:tc>
        <w:tc>
          <w:tcPr>
            <w:tcW w:type="dxa" w:w="1589"/>
          </w:tcPr>
          <w:p>
            <w:pPr>
              <w:spacing w:after="0" w:line="240" w:lineRule="auto"/>
            </w:pPr>
            <w:r>
              <w:rPr>
                <w:sz w:val="17"/>
              </w:rPr>
              <w:t>Trust stores</w:t>
            </w:r>
          </w:p>
        </w:tc>
        <w:tc>
          <w:tcPr>
            <w:tcW w:type="dxa" w:w="6990"/>
          </w:tcPr>
          <w:p>
            <w:pPr>
              <w:spacing w:after="0" w:line="240" w:lineRule="auto"/>
            </w:pPr>
            <w:r>
              <w:rPr>
                <w:sz w:val="17"/>
              </w:rPr>
              <w:t>update-ca-trust or update-ca-certificates only for private CA roots and only after explicit approval.</w:t>
            </w:r>
          </w:p>
        </w:tc>
      </w:tr>
      <w:tr>
        <w:trPr>
          <w:cantSplit w:val="true"/>
        </w:trPr>
        <w:tc>
          <w:tcPr>
            <w:tcW w:type="dxa" w:w="1059"/>
            <w:shd w:val="clear" w:color="auto" w:fill="F3F6F8"/>
          </w:tcPr>
          <w:p>
            <w:pPr>
              <w:spacing w:after="0" w:line="240" w:lineRule="auto"/>
            </w:pPr>
            <w:r>
              <w:rPr>
                <w:b/>
                <w:sz w:val="17"/>
              </w:rPr>
              <w:t>AD-LNX-12</w:t>
            </w:r>
          </w:p>
        </w:tc>
        <w:tc>
          <w:tcPr>
            <w:tcW w:type="dxa" w:w="1589"/>
            <w:shd w:val="clear" w:color="auto" w:fill="F3F6F8"/>
          </w:tcPr>
          <w:p>
            <w:pPr>
              <w:spacing w:after="0" w:line="240" w:lineRule="auto"/>
            </w:pPr>
            <w:r>
              <w:rPr>
                <w:sz w:val="17"/>
              </w:rPr>
              <w:t>Simulator</w:t>
            </w:r>
          </w:p>
        </w:tc>
        <w:tc>
          <w:tcPr>
            <w:tcW w:type="dxa" w:w="6990"/>
            <w:shd w:val="clear" w:color="auto" w:fill="F3F6F8"/>
          </w:tcPr>
          <w:p>
            <w:pPr>
              <w:spacing w:after="0" w:line="240" w:lineRule="auto"/>
            </w:pPr>
            <w:r>
              <w:rPr>
                <w:sz w:val="17"/>
              </w:rPr>
              <w:t>The mock folder (C:\mock_linux_server) is upgraded to enforce naming, simulated permissions, a reload stub and a verify stub, and a real Linux target (WSL, VM or container) is added in Phase 1 so real validation is possible.</w:t>
            </w:r>
          </w:p>
        </w:tc>
      </w:tr>
    </w:tbl>
    <w:p>
      <w:pPr>
        <w:spacing w:after="40"/>
      </w:pPr>
    </w:p>
    <w:p>
      <w:pPr>
        <w:pStyle w:val="Heading2"/>
      </w:pPr>
      <w:r>
        <w:t>6.3 macOS, iOS and iPadOS (adapter APL, Phase 2)</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AD-APL-01</w:t>
            </w:r>
          </w:p>
        </w:tc>
        <w:tc>
          <w:tcPr>
            <w:tcW w:type="dxa" w:w="1589"/>
          </w:tcPr>
          <w:p>
            <w:pPr>
              <w:spacing w:after="0" w:line="240" w:lineRule="auto"/>
            </w:pPr>
            <w:r>
              <w:rPr>
                <w:sz w:val="17"/>
              </w:rPr>
              <w:t>Scope</w:t>
            </w:r>
          </w:p>
        </w:tc>
        <w:tc>
          <w:tcPr>
            <w:tcW w:type="dxa" w:w="6990"/>
          </w:tcPr>
          <w:p>
            <w:pPr>
              <w:spacing w:after="0" w:line="240" w:lineRule="auto"/>
            </w:pPr>
            <w:r>
              <w:rPr>
                <w:sz w:val="17"/>
              </w:rPr>
              <w:t>MDM-enrolled iPhone, iPad and Mac. iOS and iPadOS cannot be reached by SSH or WinRM: certificates arrive only through MDM configuration profiles (or user action). macOS supports MDM and direct methods; MDM is preferred.</w:t>
            </w:r>
          </w:p>
        </w:tc>
      </w:tr>
      <w:tr>
        <w:trPr>
          <w:cantSplit w:val="true"/>
        </w:trPr>
        <w:tc>
          <w:tcPr>
            <w:tcW w:type="dxa" w:w="1059"/>
            <w:shd w:val="clear" w:color="auto" w:fill="F3F6F8"/>
          </w:tcPr>
          <w:p>
            <w:pPr>
              <w:spacing w:after="0" w:line="240" w:lineRule="auto"/>
            </w:pPr>
            <w:r>
              <w:rPr>
                <w:b/>
                <w:sz w:val="17"/>
              </w:rPr>
              <w:t>AD-APL-02</w:t>
            </w:r>
          </w:p>
        </w:tc>
        <w:tc>
          <w:tcPr>
            <w:tcW w:type="dxa" w:w="1589"/>
            <w:shd w:val="clear" w:color="auto" w:fill="F3F6F8"/>
          </w:tcPr>
          <w:p>
            <w:pPr>
              <w:spacing w:after="0" w:line="240" w:lineRule="auto"/>
            </w:pPr>
            <w:r>
              <w:rPr>
                <w:sz w:val="17"/>
              </w:rPr>
              <w:t>MDM integration</w:t>
            </w:r>
          </w:p>
        </w:tc>
        <w:tc>
          <w:tcPr>
            <w:tcW w:type="dxa" w:w="6990"/>
            <w:shd w:val="clear" w:color="auto" w:fill="F3F6F8"/>
          </w:tcPr>
          <w:p>
            <w:pPr>
              <w:spacing w:after="0" w:line="240" w:lineRule="auto"/>
            </w:pPr>
            <w:r>
              <w:rPr>
                <w:sz w:val="17"/>
              </w:rPr>
              <w:t>Microsoft Intune and Jamf Pro first; Workspace ONE and Kandji in Phase 3. MDM API client credentials are vault aliases. Apple Business Manager enrolment is assumed.</w:t>
            </w:r>
          </w:p>
        </w:tc>
      </w:tr>
      <w:tr>
        <w:trPr>
          <w:cantSplit w:val="true"/>
        </w:trPr>
        <w:tc>
          <w:tcPr>
            <w:tcW w:type="dxa" w:w="1059"/>
          </w:tcPr>
          <w:p>
            <w:pPr>
              <w:spacing w:after="0" w:line="240" w:lineRule="auto"/>
            </w:pPr>
            <w:r>
              <w:rPr>
                <w:b/>
                <w:sz w:val="17"/>
              </w:rPr>
              <w:t>AD-APL-03</w:t>
            </w:r>
          </w:p>
        </w:tc>
        <w:tc>
          <w:tcPr>
            <w:tcW w:type="dxa" w:w="1589"/>
          </w:tcPr>
          <w:p>
            <w:pPr>
              <w:spacing w:after="0" w:line="240" w:lineRule="auto"/>
            </w:pPr>
            <w:r>
              <w:rPr>
                <w:sz w:val="17"/>
              </w:rPr>
              <w:t>Identity certificates</w:t>
            </w:r>
          </w:p>
        </w:tc>
        <w:tc>
          <w:tcPr>
            <w:tcW w:type="dxa" w:w="6990"/>
          </w:tcPr>
          <w:p>
            <w:pPr>
              <w:spacing w:after="0" w:line="240" w:lineRule="auto"/>
            </w:pPr>
            <w:r>
              <w:rPr>
                <w:sz w:val="17"/>
              </w:rPr>
              <w:t>Wi-Fi, VPN, client authentication and S/MIME identities use SCEP or ACME payloads. The key is generated on the device (Secure Enclave or keychain). CDM manages the profile and the CA endpoint; it never sees a private key.</w:t>
            </w:r>
          </w:p>
        </w:tc>
      </w:tr>
      <w:tr>
        <w:trPr>
          <w:cantSplit w:val="true"/>
        </w:trPr>
        <w:tc>
          <w:tcPr>
            <w:tcW w:type="dxa" w:w="1059"/>
            <w:shd w:val="clear" w:color="auto" w:fill="F3F6F8"/>
          </w:tcPr>
          <w:p>
            <w:pPr>
              <w:spacing w:after="0" w:line="240" w:lineRule="auto"/>
            </w:pPr>
            <w:r>
              <w:rPr>
                <w:b/>
                <w:sz w:val="17"/>
              </w:rPr>
              <w:t>AD-APL-04</w:t>
            </w:r>
          </w:p>
        </w:tc>
        <w:tc>
          <w:tcPr>
            <w:tcW w:type="dxa" w:w="1589"/>
            <w:shd w:val="clear" w:color="auto" w:fill="F3F6F8"/>
          </w:tcPr>
          <w:p>
            <w:pPr>
              <w:spacing w:after="0" w:line="240" w:lineRule="auto"/>
            </w:pPr>
            <w:r>
              <w:rPr>
                <w:sz w:val="17"/>
              </w:rPr>
              <w:t>Trust certificates</w:t>
            </w:r>
          </w:p>
        </w:tc>
        <w:tc>
          <w:tcPr>
            <w:tcW w:type="dxa" w:w="6990"/>
            <w:shd w:val="clear" w:color="auto" w:fill="F3F6F8"/>
          </w:tcPr>
          <w:p>
            <w:pPr>
              <w:spacing w:after="0" w:line="240" w:lineRule="auto"/>
            </w:pPr>
            <w:r>
              <w:rPr>
                <w:sz w:val="17"/>
              </w:rPr>
              <w:t>Root and intermediate certificates are pushed with certificate payloads through MDM.</w:t>
            </w:r>
          </w:p>
        </w:tc>
      </w:tr>
      <w:tr>
        <w:trPr>
          <w:cantSplit w:val="true"/>
        </w:trPr>
        <w:tc>
          <w:tcPr>
            <w:tcW w:type="dxa" w:w="1059"/>
          </w:tcPr>
          <w:p>
            <w:pPr>
              <w:spacing w:after="0" w:line="240" w:lineRule="auto"/>
            </w:pPr>
            <w:r>
              <w:rPr>
                <w:b/>
                <w:sz w:val="17"/>
              </w:rPr>
              <w:t>AD-APL-05</w:t>
            </w:r>
          </w:p>
        </w:tc>
        <w:tc>
          <w:tcPr>
            <w:tcW w:type="dxa" w:w="1589"/>
          </w:tcPr>
          <w:p>
            <w:pPr>
              <w:spacing w:after="0" w:line="240" w:lineRule="auto"/>
            </w:pPr>
            <w:r>
              <w:rPr>
                <w:sz w:val="17"/>
              </w:rPr>
              <w:t>macOS server certificates</w:t>
            </w:r>
          </w:p>
        </w:tc>
        <w:tc>
          <w:tcPr>
            <w:tcW w:type="dxa" w:w="6990"/>
          </w:tcPr>
          <w:p>
            <w:pPr>
              <w:spacing w:after="0" w:line="240" w:lineRule="auto"/>
            </w:pPr>
            <w:r>
              <w:rPr>
                <w:sz w:val="17"/>
              </w:rPr>
              <w:t>For Macs running services, use the SSH path with security import into the System keychain or file paths (Phase 3).</w:t>
            </w:r>
          </w:p>
        </w:tc>
      </w:tr>
      <w:tr>
        <w:trPr>
          <w:cantSplit w:val="true"/>
        </w:trPr>
        <w:tc>
          <w:tcPr>
            <w:tcW w:type="dxa" w:w="1059"/>
            <w:shd w:val="clear" w:color="auto" w:fill="F3F6F8"/>
          </w:tcPr>
          <w:p>
            <w:pPr>
              <w:spacing w:after="0" w:line="240" w:lineRule="auto"/>
            </w:pPr>
            <w:r>
              <w:rPr>
                <w:b/>
                <w:sz w:val="17"/>
              </w:rPr>
              <w:t>AD-APL-06</w:t>
            </w:r>
          </w:p>
        </w:tc>
        <w:tc>
          <w:tcPr>
            <w:tcW w:type="dxa" w:w="1589"/>
            <w:shd w:val="clear" w:color="auto" w:fill="F3F6F8"/>
          </w:tcPr>
          <w:p>
            <w:pPr>
              <w:spacing w:after="0" w:line="240" w:lineRule="auto"/>
            </w:pPr>
            <w:r>
              <w:rPr>
                <w:sz w:val="17"/>
              </w:rPr>
              <w:t>CA path</w:t>
            </w:r>
          </w:p>
        </w:tc>
        <w:tc>
          <w:tcPr>
            <w:tcW w:type="dxa" w:w="6990"/>
            <w:shd w:val="clear" w:color="auto" w:fill="F3F6F8"/>
          </w:tcPr>
          <w:p>
            <w:pPr>
              <w:spacing w:after="0" w:line="240" w:lineRule="auto"/>
            </w:pPr>
            <w:r>
              <w:rPr>
                <w:sz w:val="17"/>
              </w:rPr>
              <w:t>SCEP or ACME to the Sectigo endpoint (or the MDM's certificate connector). CDM orchestrates profile assignment and monitors status.</w:t>
            </w:r>
          </w:p>
        </w:tc>
      </w:tr>
      <w:tr>
        <w:trPr>
          <w:cantSplit w:val="true"/>
        </w:trPr>
        <w:tc>
          <w:tcPr>
            <w:tcW w:type="dxa" w:w="1059"/>
          </w:tcPr>
          <w:p>
            <w:pPr>
              <w:spacing w:after="0" w:line="240" w:lineRule="auto"/>
            </w:pPr>
            <w:r>
              <w:rPr>
                <w:b/>
                <w:sz w:val="17"/>
              </w:rPr>
              <w:t>AD-APL-07</w:t>
            </w:r>
          </w:p>
        </w:tc>
        <w:tc>
          <w:tcPr>
            <w:tcW w:type="dxa" w:w="1589"/>
          </w:tcPr>
          <w:p>
            <w:pPr>
              <w:spacing w:after="0" w:line="240" w:lineRule="auto"/>
            </w:pPr>
            <w:r>
              <w:rPr>
                <w:sz w:val="17"/>
              </w:rPr>
              <w:t>Activate and verify</w:t>
            </w:r>
          </w:p>
        </w:tc>
        <w:tc>
          <w:tcPr>
            <w:tcW w:type="dxa" w:w="6990"/>
          </w:tcPr>
          <w:p>
            <w:pPr>
              <w:spacing w:after="0" w:line="240" w:lineRule="auto"/>
            </w:pPr>
            <w:r>
              <w:rPr>
                <w:sz w:val="17"/>
              </w:rPr>
              <w:t>Assign the profile to a device group. Verify through the MDM inventory API: profile installed, certificate serial and expiry. Live TLS probing is not applicable.</w:t>
            </w:r>
          </w:p>
        </w:tc>
      </w:tr>
      <w:tr>
        <w:trPr>
          <w:cantSplit w:val="true"/>
        </w:trPr>
        <w:tc>
          <w:tcPr>
            <w:tcW w:type="dxa" w:w="1059"/>
            <w:shd w:val="clear" w:color="auto" w:fill="F3F6F8"/>
          </w:tcPr>
          <w:p>
            <w:pPr>
              <w:spacing w:after="0" w:line="240" w:lineRule="auto"/>
            </w:pPr>
            <w:r>
              <w:rPr>
                <w:b/>
                <w:sz w:val="17"/>
              </w:rPr>
              <w:t>AD-APL-08</w:t>
            </w:r>
          </w:p>
        </w:tc>
        <w:tc>
          <w:tcPr>
            <w:tcW w:type="dxa" w:w="1589"/>
            <w:shd w:val="clear" w:color="auto" w:fill="F3F6F8"/>
          </w:tcPr>
          <w:p>
            <w:pPr>
              <w:spacing w:after="0" w:line="240" w:lineRule="auto"/>
            </w:pPr>
            <w:r>
              <w:rPr>
                <w:sz w:val="17"/>
              </w:rPr>
              <w:t>Rollback</w:t>
            </w:r>
          </w:p>
        </w:tc>
        <w:tc>
          <w:tcPr>
            <w:tcW w:type="dxa" w:w="6990"/>
            <w:shd w:val="clear" w:color="auto" w:fill="F3F6F8"/>
          </w:tcPr>
          <w:p>
            <w:pPr>
              <w:spacing w:after="0" w:line="240" w:lineRule="auto"/>
            </w:pPr>
            <w:r>
              <w:rPr>
                <w:sz w:val="17"/>
              </w:rPr>
              <w:t>Remove or replace the profile with the previous version.</w:t>
            </w:r>
          </w:p>
        </w:tc>
      </w:tr>
      <w:tr>
        <w:trPr>
          <w:cantSplit w:val="true"/>
        </w:trPr>
        <w:tc>
          <w:tcPr>
            <w:tcW w:type="dxa" w:w="1059"/>
          </w:tcPr>
          <w:p>
            <w:pPr>
              <w:spacing w:after="0" w:line="240" w:lineRule="auto"/>
            </w:pPr>
            <w:r>
              <w:rPr>
                <w:b/>
                <w:sz w:val="17"/>
              </w:rPr>
              <w:t>AD-APL-09</w:t>
            </w:r>
          </w:p>
        </w:tc>
        <w:tc>
          <w:tcPr>
            <w:tcW w:type="dxa" w:w="1589"/>
          </w:tcPr>
          <w:p>
            <w:pPr>
              <w:spacing w:after="0" w:line="240" w:lineRule="auto"/>
            </w:pPr>
            <w:r>
              <w:rPr>
                <w:sz w:val="17"/>
              </w:rPr>
              <w:t>Constraints</w:t>
            </w:r>
          </w:p>
        </w:tc>
        <w:tc>
          <w:tcPr>
            <w:tcW w:type="dxa" w:w="6990"/>
          </w:tcPr>
          <w:p>
            <w:pPr>
              <w:spacing w:after="0" w:line="240" w:lineRule="auto"/>
            </w:pPr>
            <w:r>
              <w:rPr>
                <w:sz w:val="17"/>
              </w:rPr>
              <w:t>Silent installation needs supervised devices; BYOD needs user approval. Offline devices produce a "pending device check-in" state with an SLA, not a failure.</w:t>
            </w:r>
          </w:p>
        </w:tc>
      </w:tr>
      <w:tr>
        <w:trPr>
          <w:cantSplit w:val="true"/>
        </w:trPr>
        <w:tc>
          <w:tcPr>
            <w:tcW w:type="dxa" w:w="1059"/>
            <w:shd w:val="clear" w:color="auto" w:fill="F3F6F8"/>
          </w:tcPr>
          <w:p>
            <w:pPr>
              <w:spacing w:after="0" w:line="240" w:lineRule="auto"/>
            </w:pPr>
            <w:r>
              <w:rPr>
                <w:b/>
                <w:sz w:val="17"/>
              </w:rPr>
              <w:t>AD-APL-10</w:t>
            </w:r>
          </w:p>
        </w:tc>
        <w:tc>
          <w:tcPr>
            <w:tcW w:type="dxa" w:w="1589"/>
            <w:shd w:val="clear" w:color="auto" w:fill="F3F6F8"/>
          </w:tcPr>
          <w:p>
            <w:pPr>
              <w:spacing w:after="0" w:line="240" w:lineRule="auto"/>
            </w:pPr>
            <w:r>
              <w:rPr>
                <w:sz w:val="17"/>
              </w:rPr>
              <w:t>Discovery</w:t>
            </w:r>
          </w:p>
        </w:tc>
        <w:tc>
          <w:tcPr>
            <w:tcW w:type="dxa" w:w="6990"/>
            <w:shd w:val="clear" w:color="auto" w:fill="F3F6F8"/>
          </w:tcPr>
          <w:p>
            <w:pPr>
              <w:spacing w:after="0" w:line="240" w:lineRule="auto"/>
            </w:pPr>
            <w:r>
              <w:rPr>
                <w:sz w:val="17"/>
              </w:rPr>
              <w:t>Pull certificate inventory from the MDM into the CDM inventory.</w:t>
            </w:r>
          </w:p>
        </w:tc>
      </w:tr>
      <w:tr>
        <w:trPr>
          <w:cantSplit w:val="true"/>
        </w:trPr>
        <w:tc>
          <w:tcPr>
            <w:tcW w:type="dxa" w:w="1059"/>
          </w:tcPr>
          <w:p>
            <w:pPr>
              <w:spacing w:after="0" w:line="240" w:lineRule="auto"/>
            </w:pPr>
            <w:r>
              <w:rPr>
                <w:b/>
                <w:sz w:val="17"/>
              </w:rPr>
              <w:t>AD-APL-11</w:t>
            </w:r>
          </w:p>
        </w:tc>
        <w:tc>
          <w:tcPr>
            <w:tcW w:type="dxa" w:w="1589"/>
          </w:tcPr>
          <w:p>
            <w:pPr>
              <w:spacing w:after="0" w:line="240" w:lineRule="auto"/>
            </w:pPr>
            <w:r>
              <w:rPr>
                <w:sz w:val="17"/>
              </w:rPr>
              <w:t>Android</w:t>
            </w:r>
          </w:p>
        </w:tc>
        <w:tc>
          <w:tcPr>
            <w:tcW w:type="dxa" w:w="6990"/>
          </w:tcPr>
          <w:p>
            <w:pPr>
              <w:spacing w:after="0" w:line="240" w:lineRule="auto"/>
            </w:pPr>
            <w:r>
              <w:rPr>
                <w:sz w:val="17"/>
              </w:rPr>
              <w:t>Same pattern through Android Enterprise MDM (Phase 3, Could).</w:t>
            </w:r>
          </w:p>
        </w:tc>
      </w:tr>
    </w:tbl>
    <w:p>
      <w:pPr>
        <w:spacing w:after="40"/>
      </w:pPr>
    </w:p>
    <w:p>
      <w:pPr>
        <w:pStyle w:val="Heading2"/>
      </w:pPr>
      <w:r>
        <w:t>6.4 Kubernetes and OpenShift (adapter K8S, Phase 2)</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AD-K8S-01</w:t>
            </w:r>
          </w:p>
        </w:tc>
        <w:tc>
          <w:tcPr>
            <w:tcW w:type="dxa" w:w="1589"/>
          </w:tcPr>
          <w:p>
            <w:pPr>
              <w:spacing w:after="0" w:line="240" w:lineRule="auto"/>
            </w:pPr>
            <w:r>
              <w:rPr>
                <w:sz w:val="17"/>
              </w:rPr>
              <w:t>Scope</w:t>
            </w:r>
          </w:p>
        </w:tc>
        <w:tc>
          <w:tcPr>
            <w:tcW w:type="dxa" w:w="6990"/>
          </w:tcPr>
          <w:p>
            <w:pPr>
              <w:spacing w:after="0" w:line="240" w:lineRule="auto"/>
            </w:pPr>
            <w:r>
              <w:rPr>
                <w:sz w:val="17"/>
              </w:rPr>
              <w:t>Upstream Kubernetes, OpenShift 4, AKS, EKS, GKE. Ingress (ingress-nginx, Traefik), Istio or Gateway API, and workloads that mount TLS Secrets.</w:t>
            </w:r>
          </w:p>
        </w:tc>
      </w:tr>
      <w:tr>
        <w:trPr>
          <w:cantSplit w:val="true"/>
        </w:trPr>
        <w:tc>
          <w:tcPr>
            <w:tcW w:type="dxa" w:w="1059"/>
            <w:shd w:val="clear" w:color="auto" w:fill="F3F6F8"/>
          </w:tcPr>
          <w:p>
            <w:pPr>
              <w:spacing w:after="0" w:line="240" w:lineRule="auto"/>
            </w:pPr>
            <w:r>
              <w:rPr>
                <w:b/>
                <w:sz w:val="17"/>
              </w:rPr>
              <w:t>AD-K8S-02</w:t>
            </w:r>
          </w:p>
        </w:tc>
        <w:tc>
          <w:tcPr>
            <w:tcW w:type="dxa" w:w="1589"/>
            <w:shd w:val="clear" w:color="auto" w:fill="F3F6F8"/>
          </w:tcPr>
          <w:p>
            <w:pPr>
              <w:spacing w:after="0" w:line="240" w:lineRule="auto"/>
            </w:pPr>
            <w:r>
              <w:rPr>
                <w:sz w:val="17"/>
              </w:rPr>
              <w:t>Access</w:t>
            </w:r>
          </w:p>
        </w:tc>
        <w:tc>
          <w:tcPr>
            <w:tcW w:type="dxa" w:w="6990"/>
            <w:shd w:val="clear" w:color="auto" w:fill="F3F6F8"/>
          </w:tcPr>
          <w:p>
            <w:pPr>
              <w:spacing w:after="0" w:line="240" w:lineRule="auto"/>
            </w:pPr>
            <w:r>
              <w:rPr>
                <w:sz w:val="17"/>
              </w:rPr>
              <w:t>Kubernetes API over TLS with a ServiceAccount and short-lived tokens (OIDC or workload identity). RBAC limited to named namespaces and verbs (secrets get/create/update by label; deployments get/patch for restart). No cluster-admin. A zone MID Server or an in-cluster outbound agent runs the job.</w:t>
            </w:r>
          </w:p>
        </w:tc>
      </w:tr>
      <w:tr>
        <w:trPr>
          <w:cantSplit w:val="true"/>
        </w:trPr>
        <w:tc>
          <w:tcPr>
            <w:tcW w:type="dxa" w:w="1059"/>
          </w:tcPr>
          <w:p>
            <w:pPr>
              <w:spacing w:after="0" w:line="240" w:lineRule="auto"/>
            </w:pPr>
            <w:r>
              <w:rPr>
                <w:b/>
                <w:sz w:val="17"/>
              </w:rPr>
              <w:t>AD-K8S-03</w:t>
            </w:r>
          </w:p>
        </w:tc>
        <w:tc>
          <w:tcPr>
            <w:tcW w:type="dxa" w:w="1589"/>
          </w:tcPr>
          <w:p>
            <w:pPr>
              <w:spacing w:after="0" w:line="240" w:lineRule="auto"/>
            </w:pPr>
            <w:r>
              <w:rPr>
                <w:sz w:val="17"/>
              </w:rPr>
              <w:t>Modes</w:t>
            </w:r>
          </w:p>
        </w:tc>
        <w:tc>
          <w:tcPr>
            <w:tcW w:type="dxa" w:w="6990"/>
          </w:tcPr>
          <w:p>
            <w:pPr>
              <w:spacing w:after="0" w:line="240" w:lineRule="auto"/>
            </w:pPr>
            <w:r>
              <w:rPr>
                <w:sz w:val="17"/>
              </w:rPr>
              <w:t>Push mode: CDM writes the kubernetes.io/tls Secret. Delegated mode: cert-manager owns issuance and renewal (ACME to Sectigo) and CDM inventories and monitors. Delegated is the recommendation for new clusters.</w:t>
            </w:r>
          </w:p>
        </w:tc>
      </w:tr>
      <w:tr>
        <w:trPr>
          <w:cantSplit w:val="true"/>
        </w:trPr>
        <w:tc>
          <w:tcPr>
            <w:tcW w:type="dxa" w:w="1059"/>
            <w:shd w:val="clear" w:color="auto" w:fill="F3F6F8"/>
          </w:tcPr>
          <w:p>
            <w:pPr>
              <w:spacing w:after="0" w:line="240" w:lineRule="auto"/>
            </w:pPr>
            <w:r>
              <w:rPr>
                <w:b/>
                <w:sz w:val="17"/>
              </w:rPr>
              <w:t>AD-K8S-04</w:t>
            </w:r>
          </w:p>
        </w:tc>
        <w:tc>
          <w:tcPr>
            <w:tcW w:type="dxa" w:w="1589"/>
            <w:shd w:val="clear" w:color="auto" w:fill="F3F6F8"/>
          </w:tcPr>
          <w:p>
            <w:pPr>
              <w:spacing w:after="0" w:line="240" w:lineRule="auto"/>
            </w:pPr>
            <w:r>
              <w:rPr>
                <w:sz w:val="17"/>
              </w:rPr>
              <w:t>CSR and key</w:t>
            </w:r>
          </w:p>
        </w:tc>
        <w:tc>
          <w:tcPr>
            <w:tcW w:type="dxa" w:w="6990"/>
            <w:shd w:val="clear" w:color="auto" w:fill="F3F6F8"/>
          </w:tcPr>
          <w:p>
            <w:pPr>
              <w:spacing w:after="0" w:line="240" w:lineRule="auto"/>
            </w:pPr>
            <w:r>
              <w:rPr>
                <w:sz w:val="17"/>
              </w:rPr>
              <w:t>Delegated: cert-manager generates the key in-cluster. Push: a one-shot Job or ephemeral pod creates the key and CSR; the key exists only as Secret data. Encryption at rest with a KMS provider is required.</w:t>
            </w:r>
          </w:p>
        </w:tc>
      </w:tr>
      <w:tr>
        <w:trPr>
          <w:cantSplit w:val="true"/>
        </w:trPr>
        <w:tc>
          <w:tcPr>
            <w:tcW w:type="dxa" w:w="1059"/>
          </w:tcPr>
          <w:p>
            <w:pPr>
              <w:spacing w:after="0" w:line="240" w:lineRule="auto"/>
            </w:pPr>
            <w:r>
              <w:rPr>
                <w:b/>
                <w:sz w:val="17"/>
              </w:rPr>
              <w:t>AD-K8S-05</w:t>
            </w:r>
          </w:p>
        </w:tc>
        <w:tc>
          <w:tcPr>
            <w:tcW w:type="dxa" w:w="1589"/>
          </w:tcPr>
          <w:p>
            <w:pPr>
              <w:spacing w:after="0" w:line="240" w:lineRule="auto"/>
            </w:pPr>
            <w:r>
              <w:rPr>
                <w:sz w:val="17"/>
              </w:rPr>
              <w:t>Install</w:t>
            </w:r>
          </w:p>
        </w:tc>
        <w:tc>
          <w:tcPr>
            <w:tcW w:type="dxa" w:w="6990"/>
          </w:tcPr>
          <w:p>
            <w:pPr>
              <w:spacing w:after="0" w:line="240" w:lineRule="auto"/>
            </w:pPr>
            <w:r>
              <w:rPr>
                <w:sz w:val="17"/>
              </w:rPr>
              <w:t>Apply the Secret (tls.crt = leaf plus chain, tls.key) annotated with thumbprint and job ID. Keep the previous revision as a labelled Secret.</w:t>
            </w:r>
          </w:p>
        </w:tc>
      </w:tr>
      <w:tr>
        <w:trPr>
          <w:cantSplit w:val="true"/>
        </w:trPr>
        <w:tc>
          <w:tcPr>
            <w:tcW w:type="dxa" w:w="1059"/>
            <w:shd w:val="clear" w:color="auto" w:fill="F3F6F8"/>
          </w:tcPr>
          <w:p>
            <w:pPr>
              <w:spacing w:after="0" w:line="240" w:lineRule="auto"/>
            </w:pPr>
            <w:r>
              <w:rPr>
                <w:b/>
                <w:sz w:val="17"/>
              </w:rPr>
              <w:t>AD-K8S-06</w:t>
            </w:r>
          </w:p>
        </w:tc>
        <w:tc>
          <w:tcPr>
            <w:tcW w:type="dxa" w:w="1589"/>
            <w:shd w:val="clear" w:color="auto" w:fill="F3F6F8"/>
          </w:tcPr>
          <w:p>
            <w:pPr>
              <w:spacing w:after="0" w:line="240" w:lineRule="auto"/>
            </w:pPr>
            <w:r>
              <w:rPr>
                <w:sz w:val="17"/>
              </w:rPr>
              <w:t>GitOps</w:t>
            </w:r>
          </w:p>
        </w:tc>
        <w:tc>
          <w:tcPr>
            <w:tcW w:type="dxa" w:w="6990"/>
            <w:shd w:val="clear" w:color="auto" w:fill="F3F6F8"/>
          </w:tcPr>
          <w:p>
            <w:pPr>
              <w:spacing w:after="0" w:line="240" w:lineRule="auto"/>
            </w:pPr>
            <w:r>
              <w:rPr>
                <w:sz w:val="17"/>
              </w:rPr>
              <w:t>If Argo CD or Flux manages the cluster, open a pull request or update the sealed secret instead of writing directly, to avoid drift.</w:t>
            </w:r>
          </w:p>
        </w:tc>
      </w:tr>
      <w:tr>
        <w:trPr>
          <w:cantSplit w:val="true"/>
        </w:trPr>
        <w:tc>
          <w:tcPr>
            <w:tcW w:type="dxa" w:w="1059"/>
          </w:tcPr>
          <w:p>
            <w:pPr>
              <w:spacing w:after="0" w:line="240" w:lineRule="auto"/>
            </w:pPr>
            <w:r>
              <w:rPr>
                <w:b/>
                <w:sz w:val="17"/>
              </w:rPr>
              <w:t>AD-K8S-07</w:t>
            </w:r>
          </w:p>
        </w:tc>
        <w:tc>
          <w:tcPr>
            <w:tcW w:type="dxa" w:w="1589"/>
          </w:tcPr>
          <w:p>
            <w:pPr>
              <w:spacing w:after="0" w:line="240" w:lineRule="auto"/>
            </w:pPr>
            <w:r>
              <w:rPr>
                <w:sz w:val="17"/>
              </w:rPr>
              <w:t>Activate</w:t>
            </w:r>
          </w:p>
        </w:tc>
        <w:tc>
          <w:tcPr>
            <w:tcW w:type="dxa" w:w="6990"/>
          </w:tcPr>
          <w:p>
            <w:pPr>
              <w:spacing w:after="0" w:line="240" w:lineRule="auto"/>
            </w:pPr>
            <w:r>
              <w:rPr>
                <w:sz w:val="17"/>
              </w:rPr>
              <w:t>Ingress controllers normally reload on Secret change. For pods that mount the Secret, run a rollout restart honouring PodDisruptionBudgets and readiness gates.</w:t>
            </w:r>
          </w:p>
        </w:tc>
      </w:tr>
      <w:tr>
        <w:trPr>
          <w:cantSplit w:val="true"/>
        </w:trPr>
        <w:tc>
          <w:tcPr>
            <w:tcW w:type="dxa" w:w="1059"/>
            <w:shd w:val="clear" w:color="auto" w:fill="F3F6F8"/>
          </w:tcPr>
          <w:p>
            <w:pPr>
              <w:spacing w:after="0" w:line="240" w:lineRule="auto"/>
            </w:pPr>
            <w:r>
              <w:rPr>
                <w:b/>
                <w:sz w:val="17"/>
              </w:rPr>
              <w:t>AD-K8S-08</w:t>
            </w:r>
          </w:p>
        </w:tc>
        <w:tc>
          <w:tcPr>
            <w:tcW w:type="dxa" w:w="1589"/>
            <w:shd w:val="clear" w:color="auto" w:fill="F3F6F8"/>
          </w:tcPr>
          <w:p>
            <w:pPr>
              <w:spacing w:after="0" w:line="240" w:lineRule="auto"/>
            </w:pPr>
            <w:r>
              <w:rPr>
                <w:sz w:val="17"/>
              </w:rPr>
              <w:t>Verify</w:t>
            </w:r>
          </w:p>
        </w:tc>
        <w:tc>
          <w:tcPr>
            <w:tcW w:type="dxa" w:w="6990"/>
            <w:shd w:val="clear" w:color="auto" w:fill="F3F6F8"/>
          </w:tcPr>
          <w:p>
            <w:pPr>
              <w:spacing w:after="0" w:line="240" w:lineRule="auto"/>
            </w:pPr>
            <w:r>
              <w:rPr>
                <w:sz w:val="17"/>
              </w:rPr>
              <w:t>Probe the Ingress host with SNI from the zone. Compare thumbprint, SAN, chain and expiry. Optionally probe in-cluster mTLS endpoints.</w:t>
            </w:r>
          </w:p>
        </w:tc>
      </w:tr>
      <w:tr>
        <w:trPr>
          <w:cantSplit w:val="true"/>
        </w:trPr>
        <w:tc>
          <w:tcPr>
            <w:tcW w:type="dxa" w:w="1059"/>
          </w:tcPr>
          <w:p>
            <w:pPr>
              <w:spacing w:after="0" w:line="240" w:lineRule="auto"/>
            </w:pPr>
            <w:r>
              <w:rPr>
                <w:b/>
                <w:sz w:val="17"/>
              </w:rPr>
              <w:t>AD-K8S-09</w:t>
            </w:r>
          </w:p>
        </w:tc>
        <w:tc>
          <w:tcPr>
            <w:tcW w:type="dxa" w:w="1589"/>
          </w:tcPr>
          <w:p>
            <w:pPr>
              <w:spacing w:after="0" w:line="240" w:lineRule="auto"/>
            </w:pPr>
            <w:r>
              <w:rPr>
                <w:sz w:val="17"/>
              </w:rPr>
              <w:t>Rollback</w:t>
            </w:r>
          </w:p>
        </w:tc>
        <w:tc>
          <w:tcPr>
            <w:tcW w:type="dxa" w:w="6990"/>
          </w:tcPr>
          <w:p>
            <w:pPr>
              <w:spacing w:after="0" w:line="240" w:lineRule="auto"/>
            </w:pPr>
            <w:r>
              <w:rPr>
                <w:sz w:val="17"/>
              </w:rPr>
              <w:t>Restore the previous Secret revision, restart, verify.</w:t>
            </w:r>
          </w:p>
        </w:tc>
      </w:tr>
      <w:tr>
        <w:trPr>
          <w:cantSplit w:val="true"/>
        </w:trPr>
        <w:tc>
          <w:tcPr>
            <w:tcW w:type="dxa" w:w="1059"/>
            <w:shd w:val="clear" w:color="auto" w:fill="F3F6F8"/>
          </w:tcPr>
          <w:p>
            <w:pPr>
              <w:spacing w:after="0" w:line="240" w:lineRule="auto"/>
            </w:pPr>
            <w:r>
              <w:rPr>
                <w:b/>
                <w:sz w:val="17"/>
              </w:rPr>
              <w:t>AD-K8S-10</w:t>
            </w:r>
          </w:p>
        </w:tc>
        <w:tc>
          <w:tcPr>
            <w:tcW w:type="dxa" w:w="1589"/>
            <w:shd w:val="clear" w:color="auto" w:fill="F3F6F8"/>
          </w:tcPr>
          <w:p>
            <w:pPr>
              <w:spacing w:after="0" w:line="240" w:lineRule="auto"/>
            </w:pPr>
            <w:r>
              <w:rPr>
                <w:sz w:val="17"/>
              </w:rPr>
              <w:t>Discovery</w:t>
            </w:r>
          </w:p>
        </w:tc>
        <w:tc>
          <w:tcPr>
            <w:tcW w:type="dxa" w:w="6990"/>
            <w:shd w:val="clear" w:color="auto" w:fill="F3F6F8"/>
          </w:tcPr>
          <w:p>
            <w:pPr>
              <w:spacing w:after="0" w:line="240" w:lineRule="auto"/>
            </w:pPr>
            <w:r>
              <w:rPr>
                <w:sz w:val="17"/>
              </w:rPr>
              <w:t>List kubernetes.io/tls Secrets (parse certificate only), cert-manager Certificate resources and Ingress TLS hosts across namespaces.</w:t>
            </w:r>
          </w:p>
        </w:tc>
      </w:tr>
      <w:tr>
        <w:trPr>
          <w:cantSplit w:val="true"/>
        </w:trPr>
        <w:tc>
          <w:tcPr>
            <w:tcW w:type="dxa" w:w="1059"/>
          </w:tcPr>
          <w:p>
            <w:pPr>
              <w:spacing w:after="0" w:line="240" w:lineRule="auto"/>
            </w:pPr>
            <w:r>
              <w:rPr>
                <w:b/>
                <w:sz w:val="17"/>
              </w:rPr>
              <w:t>AD-K8S-11</w:t>
            </w:r>
          </w:p>
        </w:tc>
        <w:tc>
          <w:tcPr>
            <w:tcW w:type="dxa" w:w="1589"/>
          </w:tcPr>
          <w:p>
            <w:pPr>
              <w:spacing w:after="0" w:line="240" w:lineRule="auto"/>
            </w:pPr>
            <w:r>
              <w:rPr>
                <w:sz w:val="17"/>
              </w:rPr>
              <w:t>Multi-cluster</w:t>
            </w:r>
          </w:p>
        </w:tc>
        <w:tc>
          <w:tcPr>
            <w:tcW w:type="dxa" w:w="6990"/>
          </w:tcPr>
          <w:p>
            <w:pPr>
              <w:spacing w:after="0" w:line="240" w:lineRule="auto"/>
            </w:pPr>
            <w:r>
              <w:rPr>
                <w:sz w:val="17"/>
              </w:rPr>
              <w:t>A cluster registry with per-cluster credentials in the vault; deployments batched per cluster.</w:t>
            </w:r>
          </w:p>
        </w:tc>
      </w:tr>
    </w:tbl>
    <w:p>
      <w:pPr>
        <w:spacing w:after="40"/>
      </w:pPr>
    </w:p>
    <w:p>
      <w:pPr>
        <w:pStyle w:val="Heading2"/>
      </w:pPr>
      <w:r>
        <w:t>6.5 Java keystores and application servers (adapter JVA, Phase 2)</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AD-JVA-01</w:t>
            </w:r>
          </w:p>
        </w:tc>
        <w:tc>
          <w:tcPr>
            <w:tcW w:type="dxa" w:w="1589"/>
          </w:tcPr>
          <w:p>
            <w:pPr>
              <w:spacing w:after="0" w:line="240" w:lineRule="auto"/>
            </w:pPr>
            <w:r>
              <w:rPr>
                <w:sz w:val="17"/>
              </w:rPr>
              <w:t>Scope</w:t>
            </w:r>
          </w:p>
        </w:tc>
        <w:tc>
          <w:tcPr>
            <w:tcW w:type="dxa" w:w="6990"/>
          </w:tcPr>
          <w:p>
            <w:pPr>
              <w:spacing w:after="0" w:line="240" w:lineRule="auto"/>
            </w:pPr>
            <w:r>
              <w:rPr>
                <w:sz w:val="17"/>
              </w:rPr>
              <w:t>JKS and PKCS#12 keystores and truststores for Tomcat, JBoss/WildFly, WebLogic, WebSphere Liberty, Spring Boot, Kafka and similar.</w:t>
            </w:r>
          </w:p>
        </w:tc>
      </w:tr>
      <w:tr>
        <w:trPr>
          <w:cantSplit w:val="true"/>
        </w:trPr>
        <w:tc>
          <w:tcPr>
            <w:tcW w:type="dxa" w:w="1059"/>
            <w:shd w:val="clear" w:color="auto" w:fill="F3F6F8"/>
          </w:tcPr>
          <w:p>
            <w:pPr>
              <w:spacing w:after="0" w:line="240" w:lineRule="auto"/>
            </w:pPr>
            <w:r>
              <w:rPr>
                <w:b/>
                <w:sz w:val="17"/>
              </w:rPr>
              <w:t>AD-JVA-02</w:t>
            </w:r>
          </w:p>
        </w:tc>
        <w:tc>
          <w:tcPr>
            <w:tcW w:type="dxa" w:w="1589"/>
            <w:shd w:val="clear" w:color="auto" w:fill="F3F6F8"/>
          </w:tcPr>
          <w:p>
            <w:pPr>
              <w:spacing w:after="0" w:line="240" w:lineRule="auto"/>
            </w:pPr>
            <w:r>
              <w:rPr>
                <w:sz w:val="17"/>
              </w:rPr>
              <w:t>Access</w:t>
            </w:r>
          </w:p>
        </w:tc>
        <w:tc>
          <w:tcPr>
            <w:tcW w:type="dxa" w:w="6990"/>
            <w:shd w:val="clear" w:color="auto" w:fill="F3F6F8"/>
          </w:tcPr>
          <w:p>
            <w:pPr>
              <w:spacing w:after="0" w:line="240" w:lineRule="auto"/>
            </w:pPr>
            <w:r>
              <w:rPr>
                <w:sz w:val="17"/>
              </w:rPr>
              <w:t>Through the Windows or Linux adapter (SSH or WinRM). The keystore path and alias come from the Binding.</w:t>
            </w:r>
          </w:p>
        </w:tc>
      </w:tr>
      <w:tr>
        <w:trPr>
          <w:cantSplit w:val="true"/>
        </w:trPr>
        <w:tc>
          <w:tcPr>
            <w:tcW w:type="dxa" w:w="1059"/>
          </w:tcPr>
          <w:p>
            <w:pPr>
              <w:spacing w:after="0" w:line="240" w:lineRule="auto"/>
            </w:pPr>
            <w:r>
              <w:rPr>
                <w:b/>
                <w:sz w:val="17"/>
              </w:rPr>
              <w:t>AD-JVA-03</w:t>
            </w:r>
          </w:p>
        </w:tc>
        <w:tc>
          <w:tcPr>
            <w:tcW w:type="dxa" w:w="1589"/>
          </w:tcPr>
          <w:p>
            <w:pPr>
              <w:spacing w:after="0" w:line="240" w:lineRule="auto"/>
            </w:pPr>
            <w:r>
              <w:rPr>
                <w:sz w:val="17"/>
              </w:rPr>
              <w:t>CSR and key</w:t>
            </w:r>
          </w:p>
        </w:tc>
        <w:tc>
          <w:tcPr>
            <w:tcW w:type="dxa" w:w="6990"/>
          </w:tcPr>
          <w:p>
            <w:pPr>
              <w:spacing w:after="0" w:line="240" w:lineRule="auto"/>
            </w:pPr>
            <w:r>
              <w:rPr>
                <w:sz w:val="17"/>
              </w:rPr>
              <w:t>keytool -genkeypair (3072-bit) and -certreq. The keystore password comes from the vault and is never on a visible command line (use a protected file or environment).</w:t>
            </w:r>
          </w:p>
        </w:tc>
      </w:tr>
      <w:tr>
        <w:trPr>
          <w:cantSplit w:val="true"/>
        </w:trPr>
        <w:tc>
          <w:tcPr>
            <w:tcW w:type="dxa" w:w="1059"/>
            <w:shd w:val="clear" w:color="auto" w:fill="F3F6F8"/>
          </w:tcPr>
          <w:p>
            <w:pPr>
              <w:spacing w:after="0" w:line="240" w:lineRule="auto"/>
            </w:pPr>
            <w:r>
              <w:rPr>
                <w:b/>
                <w:sz w:val="17"/>
              </w:rPr>
              <w:t>AD-JVA-04</w:t>
            </w:r>
          </w:p>
        </w:tc>
        <w:tc>
          <w:tcPr>
            <w:tcW w:type="dxa" w:w="1589"/>
            <w:shd w:val="clear" w:color="auto" w:fill="F3F6F8"/>
          </w:tcPr>
          <w:p>
            <w:pPr>
              <w:spacing w:after="0" w:line="240" w:lineRule="auto"/>
            </w:pPr>
            <w:r>
              <w:rPr>
                <w:sz w:val="17"/>
              </w:rPr>
              <w:t>Install</w:t>
            </w:r>
          </w:p>
        </w:tc>
        <w:tc>
          <w:tcPr>
            <w:tcW w:type="dxa" w:w="6990"/>
            <w:shd w:val="clear" w:color="auto" w:fill="F3F6F8"/>
          </w:tcPr>
          <w:p>
            <w:pPr>
              <w:spacing w:after="0" w:line="240" w:lineRule="auto"/>
            </w:pPr>
            <w:r>
              <w:rPr>
                <w:sz w:val="17"/>
              </w:rPr>
              <w:t>keytool -importcert of the chain in order (root, intermediates, leaf). Prefer PKCS#12; flag JKS for migration.</w:t>
            </w:r>
          </w:p>
        </w:tc>
      </w:tr>
      <w:tr>
        <w:trPr>
          <w:cantSplit w:val="true"/>
        </w:trPr>
        <w:tc>
          <w:tcPr>
            <w:tcW w:type="dxa" w:w="1059"/>
          </w:tcPr>
          <w:p>
            <w:pPr>
              <w:spacing w:after="0" w:line="240" w:lineRule="auto"/>
            </w:pPr>
            <w:r>
              <w:rPr>
                <w:b/>
                <w:sz w:val="17"/>
              </w:rPr>
              <w:t>AD-JVA-05</w:t>
            </w:r>
          </w:p>
        </w:tc>
        <w:tc>
          <w:tcPr>
            <w:tcW w:type="dxa" w:w="1589"/>
          </w:tcPr>
          <w:p>
            <w:pPr>
              <w:spacing w:after="0" w:line="240" w:lineRule="auto"/>
            </w:pPr>
            <w:r>
              <w:rPr>
                <w:sz w:val="17"/>
              </w:rPr>
              <w:t>Backup and rollback</w:t>
            </w:r>
          </w:p>
        </w:tc>
        <w:tc>
          <w:tcPr>
            <w:tcW w:type="dxa" w:w="6990"/>
          </w:tcPr>
          <w:p>
            <w:pPr>
              <w:spacing w:after="0" w:line="240" w:lineRule="auto"/>
            </w:pPr>
            <w:r>
              <w:rPr>
                <w:sz w:val="17"/>
              </w:rPr>
              <w:t>Timestamped, checksummed keystore copy. Rollback restores it and restarts.</w:t>
            </w:r>
          </w:p>
        </w:tc>
      </w:tr>
      <w:tr>
        <w:trPr>
          <w:cantSplit w:val="true"/>
        </w:trPr>
        <w:tc>
          <w:tcPr>
            <w:tcW w:type="dxa" w:w="1059"/>
            <w:shd w:val="clear" w:color="auto" w:fill="F3F6F8"/>
          </w:tcPr>
          <w:p>
            <w:pPr>
              <w:spacing w:after="0" w:line="240" w:lineRule="auto"/>
            </w:pPr>
            <w:r>
              <w:rPr>
                <w:b/>
                <w:sz w:val="17"/>
              </w:rPr>
              <w:t>AD-JVA-06</w:t>
            </w:r>
          </w:p>
        </w:tc>
        <w:tc>
          <w:tcPr>
            <w:tcW w:type="dxa" w:w="1589"/>
            <w:shd w:val="clear" w:color="auto" w:fill="F3F6F8"/>
          </w:tcPr>
          <w:p>
            <w:pPr>
              <w:spacing w:after="0" w:line="240" w:lineRule="auto"/>
            </w:pPr>
            <w:r>
              <w:rPr>
                <w:sz w:val="17"/>
              </w:rPr>
              <w:t>Activate and verify</w:t>
            </w:r>
          </w:p>
        </w:tc>
        <w:tc>
          <w:tcPr>
            <w:tcW w:type="dxa" w:w="6990"/>
            <w:shd w:val="clear" w:color="auto" w:fill="F3F6F8"/>
          </w:tcPr>
          <w:p>
            <w:pPr>
              <w:spacing w:after="0" w:line="240" w:lineRule="auto"/>
            </w:pPr>
            <w:r>
              <w:rPr>
                <w:sz w:val="17"/>
              </w:rPr>
              <w:t>Connector reload or service restart per product. Verify with s_client and keytool -list -v.</w:t>
            </w:r>
          </w:p>
        </w:tc>
      </w:tr>
    </w:tbl>
    <w:p>
      <w:pPr>
        <w:spacing w:after="40"/>
      </w:pPr>
    </w:p>
    <w:p>
      <w:pPr>
        <w:pStyle w:val="Heading2"/>
      </w:pPr>
      <w:r>
        <w:t>6.6 Load balancers and firewalls (adapter LBX, Phase 2 for F5 and NetScaler, Phase 3 for others)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AD-LBX-01</w:t>
            </w:r>
          </w:p>
        </w:tc>
        <w:tc>
          <w:tcPr>
            <w:tcW w:type="dxa" w:w="1589"/>
          </w:tcPr>
          <w:p>
            <w:pPr>
              <w:spacing w:after="0" w:line="240" w:lineRule="auto"/>
            </w:pPr>
            <w:r>
              <w:rPr>
                <w:sz w:val="17"/>
              </w:rPr>
              <w:t>Scope</w:t>
            </w:r>
          </w:p>
        </w:tc>
        <w:tc>
          <w:tcPr>
            <w:tcW w:type="dxa" w:w="6990"/>
          </w:tcPr>
          <w:p>
            <w:pPr>
              <w:spacing w:after="0" w:line="240" w:lineRule="auto"/>
            </w:pPr>
            <w:r>
              <w:rPr>
                <w:sz w:val="17"/>
              </w:rPr>
              <w:t>F5 BIG-IP (TMOS 14 and later) and Citrix NetScaler in Phase 2; Palo Alto, Fortinet, Cisco, A10 in Phase 3.</w:t>
            </w:r>
          </w:p>
        </w:tc>
      </w:tr>
      <w:tr>
        <w:trPr>
          <w:cantSplit w:val="true"/>
        </w:trPr>
        <w:tc>
          <w:tcPr>
            <w:tcW w:type="dxa" w:w="1059"/>
            <w:shd w:val="clear" w:color="auto" w:fill="F3F6F8"/>
          </w:tcPr>
          <w:p>
            <w:pPr>
              <w:spacing w:after="0" w:line="240" w:lineRule="auto"/>
            </w:pPr>
            <w:r>
              <w:rPr>
                <w:b/>
                <w:sz w:val="17"/>
              </w:rPr>
              <w:t>AD-LBX-02</w:t>
            </w:r>
          </w:p>
        </w:tc>
        <w:tc>
          <w:tcPr>
            <w:tcW w:type="dxa" w:w="1589"/>
            <w:shd w:val="clear" w:color="auto" w:fill="F3F6F8"/>
          </w:tcPr>
          <w:p>
            <w:pPr>
              <w:spacing w:after="0" w:line="240" w:lineRule="auto"/>
            </w:pPr>
            <w:r>
              <w:rPr>
                <w:sz w:val="17"/>
              </w:rPr>
              <w:t>Access</w:t>
            </w:r>
          </w:p>
        </w:tc>
        <w:tc>
          <w:tcPr>
            <w:tcW w:type="dxa" w:w="6990"/>
            <w:shd w:val="clear" w:color="auto" w:fill="F3F6F8"/>
          </w:tcPr>
          <w:p>
            <w:pPr>
              <w:spacing w:after="0" w:line="240" w:lineRule="auto"/>
            </w:pPr>
            <w:r>
              <w:rPr>
                <w:sz w:val="17"/>
              </w:rPr>
              <w:t>Vendor REST API (iControl REST, NITRO) over HTTPS from the zone MID Server. Token or service account from the vault. Management-plane ACL allows only MID Server addresses.</w:t>
            </w:r>
          </w:p>
        </w:tc>
      </w:tr>
      <w:tr>
        <w:trPr>
          <w:cantSplit w:val="true"/>
        </w:trPr>
        <w:tc>
          <w:tcPr>
            <w:tcW w:type="dxa" w:w="1059"/>
          </w:tcPr>
          <w:p>
            <w:pPr>
              <w:spacing w:after="0" w:line="240" w:lineRule="auto"/>
            </w:pPr>
            <w:r>
              <w:rPr>
                <w:b/>
                <w:sz w:val="17"/>
              </w:rPr>
              <w:t>AD-LBX-03</w:t>
            </w:r>
          </w:p>
        </w:tc>
        <w:tc>
          <w:tcPr>
            <w:tcW w:type="dxa" w:w="1589"/>
          </w:tcPr>
          <w:p>
            <w:pPr>
              <w:spacing w:after="0" w:line="240" w:lineRule="auto"/>
            </w:pPr>
            <w:r>
              <w:rPr>
                <w:sz w:val="17"/>
              </w:rPr>
              <w:t>CSR and key</w:t>
            </w:r>
          </w:p>
        </w:tc>
        <w:tc>
          <w:tcPr>
            <w:tcW w:type="dxa" w:w="6990"/>
          </w:tcPr>
          <w:p>
            <w:pPr>
              <w:spacing w:after="0" w:line="240" w:lineRule="auto"/>
            </w:pPr>
            <w:r>
              <w:rPr>
                <w:sz w:val="17"/>
              </w:rPr>
              <w:t>Generated on the device (FIPS HSM if present); the key stays on the device.</w:t>
            </w:r>
          </w:p>
        </w:tc>
      </w:tr>
      <w:tr>
        <w:trPr>
          <w:cantSplit w:val="true"/>
        </w:trPr>
        <w:tc>
          <w:tcPr>
            <w:tcW w:type="dxa" w:w="1059"/>
            <w:shd w:val="clear" w:color="auto" w:fill="F3F6F8"/>
          </w:tcPr>
          <w:p>
            <w:pPr>
              <w:spacing w:after="0" w:line="240" w:lineRule="auto"/>
            </w:pPr>
            <w:r>
              <w:rPr>
                <w:b/>
                <w:sz w:val="17"/>
              </w:rPr>
              <w:t>AD-LBX-04</w:t>
            </w:r>
          </w:p>
        </w:tc>
        <w:tc>
          <w:tcPr>
            <w:tcW w:type="dxa" w:w="1589"/>
            <w:shd w:val="clear" w:color="auto" w:fill="F3F6F8"/>
          </w:tcPr>
          <w:p>
            <w:pPr>
              <w:spacing w:after="0" w:line="240" w:lineRule="auto"/>
            </w:pPr>
            <w:r>
              <w:rPr>
                <w:sz w:val="17"/>
              </w:rPr>
              <w:t>Install</w:t>
            </w:r>
          </w:p>
        </w:tc>
        <w:tc>
          <w:tcPr>
            <w:tcW w:type="dxa" w:w="6990"/>
            <w:shd w:val="clear" w:color="auto" w:fill="F3F6F8"/>
          </w:tcPr>
          <w:p>
            <w:pPr>
              <w:spacing w:after="0" w:line="240" w:lineRule="auto"/>
            </w:pPr>
            <w:r>
              <w:rPr>
                <w:sz w:val="17"/>
              </w:rPr>
              <w:t>Import the certificate and chain as a new, versioned object. Never overwrite the existing one.</w:t>
            </w:r>
          </w:p>
        </w:tc>
      </w:tr>
      <w:tr>
        <w:trPr>
          <w:cantSplit w:val="true"/>
        </w:trPr>
        <w:tc>
          <w:tcPr>
            <w:tcW w:type="dxa" w:w="1059"/>
          </w:tcPr>
          <w:p>
            <w:pPr>
              <w:spacing w:after="0" w:line="240" w:lineRule="auto"/>
            </w:pPr>
            <w:r>
              <w:rPr>
                <w:b/>
                <w:sz w:val="17"/>
              </w:rPr>
              <w:t>AD-LBX-05</w:t>
            </w:r>
          </w:p>
        </w:tc>
        <w:tc>
          <w:tcPr>
            <w:tcW w:type="dxa" w:w="1589"/>
          </w:tcPr>
          <w:p>
            <w:pPr>
              <w:spacing w:after="0" w:line="240" w:lineRule="auto"/>
            </w:pPr>
            <w:r>
              <w:rPr>
                <w:sz w:val="17"/>
              </w:rPr>
              <w:t>Activate</w:t>
            </w:r>
          </w:p>
        </w:tc>
        <w:tc>
          <w:tcPr>
            <w:tcW w:type="dxa" w:w="6990"/>
          </w:tcPr>
          <w:p>
            <w:pPr>
              <w:spacing w:after="0" w:line="240" w:lineRule="auto"/>
            </w:pPr>
            <w:r>
              <w:rPr>
                <w:sz w:val="17"/>
              </w:rPr>
              <w:t>Update the client-SSL profile to the new object, sync the device group, save the configuration.</w:t>
            </w:r>
          </w:p>
        </w:tc>
      </w:tr>
      <w:tr>
        <w:trPr>
          <w:cantSplit w:val="true"/>
        </w:trPr>
        <w:tc>
          <w:tcPr>
            <w:tcW w:type="dxa" w:w="1059"/>
            <w:shd w:val="clear" w:color="auto" w:fill="F3F6F8"/>
          </w:tcPr>
          <w:p>
            <w:pPr>
              <w:spacing w:after="0" w:line="240" w:lineRule="auto"/>
            </w:pPr>
            <w:r>
              <w:rPr>
                <w:b/>
                <w:sz w:val="17"/>
              </w:rPr>
              <w:t>AD-LBX-06</w:t>
            </w:r>
          </w:p>
        </w:tc>
        <w:tc>
          <w:tcPr>
            <w:tcW w:type="dxa" w:w="1589"/>
            <w:shd w:val="clear" w:color="auto" w:fill="F3F6F8"/>
          </w:tcPr>
          <w:p>
            <w:pPr>
              <w:spacing w:after="0" w:line="240" w:lineRule="auto"/>
            </w:pPr>
            <w:r>
              <w:rPr>
                <w:sz w:val="17"/>
              </w:rPr>
              <w:t>Verify</w:t>
            </w:r>
          </w:p>
        </w:tc>
        <w:tc>
          <w:tcPr>
            <w:tcW w:type="dxa" w:w="6990"/>
            <w:shd w:val="clear" w:color="auto" w:fill="F3F6F8"/>
          </w:tcPr>
          <w:p>
            <w:pPr>
              <w:spacing w:after="0" w:line="240" w:lineRule="auto"/>
            </w:pPr>
            <w:r>
              <w:rPr>
                <w:sz w:val="17"/>
              </w:rPr>
              <w:t>Probe every VIP and each TLS-enabled pool member; confirm the standby has synchronised.</w:t>
            </w:r>
          </w:p>
        </w:tc>
      </w:tr>
      <w:tr>
        <w:trPr>
          <w:cantSplit w:val="true"/>
        </w:trPr>
        <w:tc>
          <w:tcPr>
            <w:tcW w:type="dxa" w:w="1059"/>
          </w:tcPr>
          <w:p>
            <w:pPr>
              <w:spacing w:after="0" w:line="240" w:lineRule="auto"/>
            </w:pPr>
            <w:r>
              <w:rPr>
                <w:b/>
                <w:sz w:val="17"/>
              </w:rPr>
              <w:t>AD-LBX-07</w:t>
            </w:r>
          </w:p>
        </w:tc>
        <w:tc>
          <w:tcPr>
            <w:tcW w:type="dxa" w:w="1589"/>
          </w:tcPr>
          <w:p>
            <w:pPr>
              <w:spacing w:after="0" w:line="240" w:lineRule="auto"/>
            </w:pPr>
            <w:r>
              <w:rPr>
                <w:sz w:val="17"/>
              </w:rPr>
              <w:t>Rollback</w:t>
            </w:r>
          </w:p>
        </w:tc>
        <w:tc>
          <w:tcPr>
            <w:tcW w:type="dxa" w:w="6990"/>
          </w:tcPr>
          <w:p>
            <w:pPr>
              <w:spacing w:after="0" w:line="240" w:lineRule="auto"/>
            </w:pPr>
            <w:r>
              <w:rPr>
                <w:sz w:val="17"/>
              </w:rPr>
              <w:t>Point the profile back to the previous object and sync.</w:t>
            </w:r>
          </w:p>
        </w:tc>
      </w:tr>
      <w:tr>
        <w:trPr>
          <w:cantSplit w:val="true"/>
        </w:trPr>
        <w:tc>
          <w:tcPr>
            <w:tcW w:type="dxa" w:w="1059"/>
            <w:shd w:val="clear" w:color="auto" w:fill="F3F6F8"/>
          </w:tcPr>
          <w:p>
            <w:pPr>
              <w:spacing w:after="0" w:line="240" w:lineRule="auto"/>
            </w:pPr>
            <w:r>
              <w:rPr>
                <w:b/>
                <w:sz w:val="17"/>
              </w:rPr>
              <w:t>AD-LBX-08</w:t>
            </w:r>
          </w:p>
        </w:tc>
        <w:tc>
          <w:tcPr>
            <w:tcW w:type="dxa" w:w="1589"/>
            <w:shd w:val="clear" w:color="auto" w:fill="F3F6F8"/>
          </w:tcPr>
          <w:p>
            <w:pPr>
              <w:spacing w:after="0" w:line="240" w:lineRule="auto"/>
            </w:pPr>
            <w:r>
              <w:rPr>
                <w:sz w:val="17"/>
              </w:rPr>
              <w:t>Discovery</w:t>
            </w:r>
          </w:p>
        </w:tc>
        <w:tc>
          <w:tcPr>
            <w:tcW w:type="dxa" w:w="6990"/>
            <w:shd w:val="clear" w:color="auto" w:fill="F3F6F8"/>
          </w:tcPr>
          <w:p>
            <w:pPr>
              <w:spacing w:after="0" w:line="240" w:lineRule="auto"/>
            </w:pPr>
            <w:r>
              <w:rPr>
                <w:sz w:val="17"/>
              </w:rPr>
              <w:t>List certificates on the device and map them to virtual servers and profiles.</w:t>
            </w:r>
          </w:p>
        </w:tc>
      </w:tr>
    </w:tbl>
    <w:p>
      <w:pPr>
        <w:spacing w:after="40"/>
      </w:pPr>
    </w:p>
    <w:p>
      <w:pPr>
        <w:pStyle w:val="Heading2"/>
      </w:pPr>
      <w:r>
        <w:t>6.7 Cloud services (adapter CLD, Phase 3)</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AD-CLD-01</w:t>
            </w:r>
          </w:p>
        </w:tc>
        <w:tc>
          <w:tcPr>
            <w:tcW w:type="dxa" w:w="1589"/>
          </w:tcPr>
          <w:p>
            <w:pPr>
              <w:spacing w:after="0" w:line="240" w:lineRule="auto"/>
            </w:pPr>
            <w:r>
              <w:rPr>
                <w:sz w:val="17"/>
              </w:rPr>
              <w:t>Scope</w:t>
            </w:r>
          </w:p>
        </w:tc>
        <w:tc>
          <w:tcPr>
            <w:tcW w:type="dxa" w:w="6990"/>
          </w:tcPr>
          <w:p>
            <w:pPr>
              <w:spacing w:after="0" w:line="240" w:lineRule="auto"/>
            </w:pPr>
            <w:r>
              <w:rPr>
                <w:sz w:val="17"/>
              </w:rPr>
              <w:t>Azure Key Vault with Application Gateway or Front Door; AWS ACM with ELB or CloudFront; Google Certificate Manager.</w:t>
            </w:r>
          </w:p>
        </w:tc>
      </w:tr>
      <w:tr>
        <w:trPr>
          <w:cantSplit w:val="true"/>
        </w:trPr>
        <w:tc>
          <w:tcPr>
            <w:tcW w:type="dxa" w:w="1059"/>
            <w:shd w:val="clear" w:color="auto" w:fill="F3F6F8"/>
          </w:tcPr>
          <w:p>
            <w:pPr>
              <w:spacing w:after="0" w:line="240" w:lineRule="auto"/>
            </w:pPr>
            <w:r>
              <w:rPr>
                <w:b/>
                <w:sz w:val="17"/>
              </w:rPr>
              <w:t>AD-CLD-02</w:t>
            </w:r>
          </w:p>
        </w:tc>
        <w:tc>
          <w:tcPr>
            <w:tcW w:type="dxa" w:w="1589"/>
            <w:shd w:val="clear" w:color="auto" w:fill="F3F6F8"/>
          </w:tcPr>
          <w:p>
            <w:pPr>
              <w:spacing w:after="0" w:line="240" w:lineRule="auto"/>
            </w:pPr>
            <w:r>
              <w:rPr>
                <w:sz w:val="17"/>
              </w:rPr>
              <w:t>Access</w:t>
            </w:r>
          </w:p>
        </w:tc>
        <w:tc>
          <w:tcPr>
            <w:tcW w:type="dxa" w:w="6990"/>
            <w:shd w:val="clear" w:color="auto" w:fill="F3F6F8"/>
          </w:tcPr>
          <w:p>
            <w:pPr>
              <w:spacing w:after="0" w:line="240" w:lineRule="auto"/>
            </w:pPr>
            <w:r>
              <w:rPr>
                <w:sz w:val="17"/>
              </w:rPr>
              <w:t>Workload identity or OIDC federation. No static access keys.</w:t>
            </w:r>
          </w:p>
        </w:tc>
      </w:tr>
      <w:tr>
        <w:trPr>
          <w:cantSplit w:val="true"/>
        </w:trPr>
        <w:tc>
          <w:tcPr>
            <w:tcW w:type="dxa" w:w="1059"/>
          </w:tcPr>
          <w:p>
            <w:pPr>
              <w:spacing w:after="0" w:line="240" w:lineRule="auto"/>
            </w:pPr>
            <w:r>
              <w:rPr>
                <w:b/>
                <w:sz w:val="17"/>
              </w:rPr>
              <w:t>AD-CLD-03</w:t>
            </w:r>
          </w:p>
        </w:tc>
        <w:tc>
          <w:tcPr>
            <w:tcW w:type="dxa" w:w="1589"/>
          </w:tcPr>
          <w:p>
            <w:pPr>
              <w:spacing w:after="0" w:line="240" w:lineRule="auto"/>
            </w:pPr>
            <w:r>
              <w:rPr>
                <w:sz w:val="17"/>
              </w:rPr>
              <w:t>Approach</w:t>
            </w:r>
          </w:p>
        </w:tc>
        <w:tc>
          <w:tcPr>
            <w:tcW w:type="dxa" w:w="6990"/>
          </w:tcPr>
          <w:p>
            <w:pPr>
              <w:spacing w:after="0" w:line="240" w:lineRule="auto"/>
            </w:pPr>
            <w:r>
              <w:rPr>
                <w:sz w:val="17"/>
              </w:rPr>
              <w:t>Prefer native managed certificates that renew themselves and only inventory them. Use import (Key Vault certificate import, ACM ImportCertificate) for CA-issued certificates that must come from Sectigo.</w:t>
            </w:r>
          </w:p>
        </w:tc>
      </w:tr>
      <w:tr>
        <w:trPr>
          <w:cantSplit w:val="true"/>
        </w:trPr>
        <w:tc>
          <w:tcPr>
            <w:tcW w:type="dxa" w:w="1059"/>
            <w:shd w:val="clear" w:color="auto" w:fill="F3F6F8"/>
          </w:tcPr>
          <w:p>
            <w:pPr>
              <w:spacing w:after="0" w:line="240" w:lineRule="auto"/>
            </w:pPr>
            <w:r>
              <w:rPr>
                <w:b/>
                <w:sz w:val="17"/>
              </w:rPr>
              <w:t>AD-CLD-04</w:t>
            </w:r>
          </w:p>
        </w:tc>
        <w:tc>
          <w:tcPr>
            <w:tcW w:type="dxa" w:w="1589"/>
            <w:shd w:val="clear" w:color="auto" w:fill="F3F6F8"/>
          </w:tcPr>
          <w:p>
            <w:pPr>
              <w:spacing w:after="0" w:line="240" w:lineRule="auto"/>
            </w:pPr>
            <w:r>
              <w:rPr>
                <w:sz w:val="17"/>
              </w:rPr>
              <w:t>Verify and rollback</w:t>
            </w:r>
          </w:p>
        </w:tc>
        <w:tc>
          <w:tcPr>
            <w:tcW w:type="dxa" w:w="6990"/>
            <w:shd w:val="clear" w:color="auto" w:fill="F3F6F8"/>
          </w:tcPr>
          <w:p>
            <w:pPr>
              <w:spacing w:after="0" w:line="240" w:lineRule="auto"/>
            </w:pPr>
            <w:r>
              <w:rPr>
                <w:sz w:val="17"/>
              </w:rPr>
              <w:t>Probe the public listener. Roll back to the previous certificate version or ARN.</w:t>
            </w:r>
          </w:p>
        </w:tc>
      </w:tr>
    </w:tbl>
    <w:p>
      <w:pPr>
        <w:spacing w:after="40"/>
      </w:pPr>
    </w:p>
    <w:p>
      <w:pPr>
        <w:pStyle w:val="Heading2"/>
      </w:pPr>
      <w:r>
        <w:t>6.8 Databases, middleware and network devices (Phase 3)</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059"/>
            <w:shd w:val="clear" w:color="auto" w:fill="1F2D3D"/>
          </w:tcPr>
          <w:p>
            <w:pPr>
              <w:spacing w:after="0"/>
            </w:pPr>
            <w:r>
              <w:rPr>
                <w:b/>
                <w:color w:val="FFFFFF"/>
                <w:sz w:val="17"/>
              </w:rPr>
              <w:t>ID</w:t>
            </w:r>
          </w:p>
        </w:tc>
        <w:tc>
          <w:tcPr>
            <w:tcW w:type="dxa" w:w="1589"/>
            <w:shd w:val="clear" w:color="auto" w:fill="1F2D3D"/>
          </w:tcPr>
          <w:p>
            <w:pPr>
              <w:spacing w:after="0"/>
            </w:pPr>
            <w:r>
              <w:rPr>
                <w:b/>
                <w:color w:val="FFFFFF"/>
                <w:sz w:val="17"/>
              </w:rPr>
              <w:t>Aspect</w:t>
            </w:r>
          </w:p>
        </w:tc>
        <w:tc>
          <w:tcPr>
            <w:tcW w:type="dxa" w:w="6990"/>
            <w:shd w:val="clear" w:color="auto" w:fill="1F2D3D"/>
          </w:tcPr>
          <w:p>
            <w:pPr>
              <w:spacing w:after="0"/>
            </w:pPr>
            <w:r>
              <w:rPr>
                <w:b/>
                <w:color w:val="FFFFFF"/>
                <w:sz w:val="17"/>
              </w:rPr>
              <w:t>Specification</w:t>
            </w:r>
          </w:p>
        </w:tc>
      </w:tr>
      <w:tr>
        <w:trPr>
          <w:cantSplit w:val="true"/>
        </w:trPr>
        <w:tc>
          <w:tcPr>
            <w:tcW w:type="dxa" w:w="1059"/>
          </w:tcPr>
          <w:p>
            <w:pPr>
              <w:spacing w:after="0" w:line="240" w:lineRule="auto"/>
            </w:pPr>
            <w:r>
              <w:rPr>
                <w:b/>
                <w:sz w:val="17"/>
              </w:rPr>
              <w:t>AD-OTH-01</w:t>
            </w:r>
          </w:p>
        </w:tc>
        <w:tc>
          <w:tcPr>
            <w:tcW w:type="dxa" w:w="1589"/>
          </w:tcPr>
          <w:p>
            <w:pPr>
              <w:spacing w:after="0" w:line="240" w:lineRule="auto"/>
            </w:pPr>
            <w:r>
              <w:rPr>
                <w:sz w:val="17"/>
              </w:rPr>
              <w:t>Databases</w:t>
            </w:r>
          </w:p>
        </w:tc>
        <w:tc>
          <w:tcPr>
            <w:tcW w:type="dxa" w:w="6990"/>
          </w:tcPr>
          <w:p>
            <w:pPr>
              <w:spacing w:after="0" w:line="240" w:lineRule="auto"/>
            </w:pPr>
            <w:r>
              <w:rPr>
                <w:sz w:val="17"/>
              </w:rPr>
              <w:t>SQL Server (Windows adapter plus service restart), PostgreSQL (ssl_cert_file plus reload), Oracle (wallet, orapki), MQ and Kafka (keystore). Restarts require a change window (FR-SAF-009).</w:t>
            </w:r>
          </w:p>
        </w:tc>
      </w:tr>
      <w:tr>
        <w:trPr>
          <w:cantSplit w:val="true"/>
        </w:trPr>
        <w:tc>
          <w:tcPr>
            <w:tcW w:type="dxa" w:w="1059"/>
            <w:shd w:val="clear" w:color="auto" w:fill="F3F6F8"/>
          </w:tcPr>
          <w:p>
            <w:pPr>
              <w:spacing w:after="0" w:line="240" w:lineRule="auto"/>
            </w:pPr>
            <w:r>
              <w:rPr>
                <w:b/>
                <w:sz w:val="17"/>
              </w:rPr>
              <w:t>AD-OTH-02</w:t>
            </w:r>
          </w:p>
        </w:tc>
        <w:tc>
          <w:tcPr>
            <w:tcW w:type="dxa" w:w="1589"/>
            <w:shd w:val="clear" w:color="auto" w:fill="F3F6F8"/>
          </w:tcPr>
          <w:p>
            <w:pPr>
              <w:spacing w:after="0" w:line="240" w:lineRule="auto"/>
            </w:pPr>
            <w:r>
              <w:rPr>
                <w:sz w:val="17"/>
              </w:rPr>
              <w:t>Network devices and IoT</w:t>
            </w:r>
          </w:p>
        </w:tc>
        <w:tc>
          <w:tcPr>
            <w:tcW w:type="dxa" w:w="6990"/>
            <w:shd w:val="clear" w:color="auto" w:fill="F3F6F8"/>
          </w:tcPr>
          <w:p>
            <w:pPr>
              <w:spacing w:after="0" w:line="240" w:lineRule="auto"/>
            </w:pPr>
            <w:r>
              <w:rPr>
                <w:sz w:val="17"/>
              </w:rPr>
              <w:t>Routers, switches, printers and appliances through SCEP or EST enrolment or vendor CLI over SSH. This is also where Cisco IOS would be covered if that was the intent of "iOS" (Q4).</w:t>
            </w:r>
          </w:p>
        </w:tc>
      </w:tr>
      <w:tr>
        <w:trPr>
          <w:cantSplit w:val="true"/>
        </w:trPr>
        <w:tc>
          <w:tcPr>
            <w:tcW w:type="dxa" w:w="1059"/>
          </w:tcPr>
          <w:p>
            <w:pPr>
              <w:spacing w:after="0" w:line="240" w:lineRule="auto"/>
            </w:pPr>
            <w:r>
              <w:rPr>
                <w:b/>
                <w:sz w:val="17"/>
              </w:rPr>
              <w:t>AD-OTH-03</w:t>
            </w:r>
          </w:p>
        </w:tc>
        <w:tc>
          <w:tcPr>
            <w:tcW w:type="dxa" w:w="1589"/>
          </w:tcPr>
          <w:p>
            <w:pPr>
              <w:spacing w:after="0" w:line="240" w:lineRule="auto"/>
            </w:pPr>
            <w:r>
              <w:rPr>
                <w:sz w:val="17"/>
              </w:rPr>
              <w:t>Backlog</w:t>
            </w:r>
          </w:p>
        </w:tc>
        <w:tc>
          <w:tcPr>
            <w:tcW w:type="dxa" w:w="6990"/>
          </w:tcPr>
          <w:p>
            <w:pPr>
              <w:spacing w:after="0" w:line="240" w:lineRule="auto"/>
            </w:pPr>
            <w:r>
              <w:rPr>
                <w:sz w:val="17"/>
              </w:rPr>
              <w:t>VMware vCenter and ESXi, SAP, Exchange, ADFS, mail gateways, SSH certificate authorities. Each is added as an adapter without changing the core.</w:t>
            </w:r>
          </w:p>
        </w:tc>
      </w:tr>
    </w:tbl>
    <w:p>
      <w:pPr>
        <w:spacing w:after="40"/>
      </w:pPr>
    </w:p>
    <w:p>
      <w:pPr>
        <w:pStyle w:val="Heading1"/>
        <w:pBdr>
          <w:bottom w:val="single" w:sz="8" w:space="2" w:color="2E7D32"/>
        </w:pBdr>
      </w:pPr>
      <w:r>
        <w:t>7. Non-functional requirements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2409"/>
        <w:gridCol w:w="2409"/>
        <w:gridCol w:w="2409"/>
        <w:gridCol w:w="2409"/>
      </w:tblGrid>
      <w:tr>
        <w:trPr>
          <w:tblHeader w:val="true"/>
        </w:trPr>
        <w:tc>
          <w:tcPr>
            <w:tcW w:type="dxa" w:w="1299"/>
            <w:shd w:val="clear" w:color="auto" w:fill="1F2D3D"/>
          </w:tcPr>
          <w:p>
            <w:pPr>
              <w:spacing w:after="0"/>
            </w:pPr>
            <w:r>
              <w:rPr>
                <w:b/>
                <w:color w:val="FFFFFF"/>
                <w:sz w:val="17"/>
              </w:rPr>
              <w:t>ID</w:t>
            </w:r>
          </w:p>
        </w:tc>
        <w:tc>
          <w:tcPr>
            <w:tcW w:type="dxa" w:w="5414"/>
            <w:shd w:val="clear" w:color="auto" w:fill="1F2D3D"/>
          </w:tcPr>
          <w:p>
            <w:pPr>
              <w:spacing w:after="0"/>
            </w:pPr>
            <w:r>
              <w:rPr>
                <w:b/>
                <w:color w:val="FFFFFF"/>
                <w:sz w:val="17"/>
              </w:rPr>
              <w:t>Requirement</w:t>
            </w:r>
          </w:p>
        </w:tc>
        <w:tc>
          <w:tcPr>
            <w:tcW w:type="dxa" w:w="1949"/>
            <w:shd w:val="clear" w:color="auto" w:fill="1F2D3D"/>
          </w:tcPr>
          <w:p>
            <w:pPr>
              <w:spacing w:after="0"/>
            </w:pPr>
            <w:r>
              <w:rPr>
                <w:b/>
                <w:color w:val="FFFFFF"/>
                <w:sz w:val="17"/>
              </w:rPr>
              <w:t>Measure / target</w:t>
            </w:r>
          </w:p>
        </w:tc>
        <w:tc>
          <w:tcPr>
            <w:tcW w:type="dxa" w:w="975"/>
            <w:shd w:val="clear" w:color="auto" w:fill="1F2D3D"/>
          </w:tcPr>
          <w:p>
            <w:pPr>
              <w:spacing w:after="0"/>
            </w:pPr>
            <w:r>
              <w:rPr>
                <w:b/>
                <w:color w:val="FFFFFF"/>
                <w:sz w:val="17"/>
              </w:rPr>
              <w:t>Src</w:t>
            </w:r>
          </w:p>
        </w:tc>
      </w:tr>
      <w:tr>
        <w:trPr>
          <w:cantSplit w:val="true"/>
        </w:trPr>
        <w:tc>
          <w:tcPr>
            <w:tcW w:type="dxa" w:w="1299"/>
          </w:tcPr>
          <w:p>
            <w:pPr>
              <w:spacing w:after="0" w:line="240" w:lineRule="auto"/>
            </w:pPr>
            <w:r>
              <w:rPr>
                <w:b/>
                <w:sz w:val="17"/>
              </w:rPr>
              <w:t>NFR-SEC-01</w:t>
            </w:r>
          </w:p>
        </w:tc>
        <w:tc>
          <w:tcPr>
            <w:tcW w:type="dxa" w:w="5414"/>
          </w:tcPr>
          <w:p>
            <w:pPr>
              <w:spacing w:after="0" w:line="240" w:lineRule="auto"/>
            </w:pPr>
            <w:r>
              <w:rPr>
                <w:sz w:val="17"/>
              </w:rPr>
              <w:t>All CDM links use TLS 1.2 or higher (1.3 preferred). MID Server to vault uses mutual TLS. No HTTP, Basic over HTTP or unencrypted WinRM outside the POC.</w:t>
            </w:r>
          </w:p>
        </w:tc>
        <w:tc>
          <w:tcPr>
            <w:tcW w:type="dxa" w:w="1949"/>
          </w:tcPr>
          <w:p>
            <w:pPr>
              <w:spacing w:after="0" w:line="240" w:lineRule="auto"/>
            </w:pPr>
            <w:r>
              <w:rPr>
                <w:sz w:val="17"/>
              </w:rPr>
              <w:t>Verified by configuration scan</w:t>
            </w:r>
          </w:p>
        </w:tc>
        <w:tc>
          <w:tcPr>
            <w:tcW w:type="dxa" w:w="975"/>
          </w:tcPr>
          <w:p>
            <w:pPr>
              <w:spacing w:after="0" w:line="240" w:lineRule="auto"/>
            </w:pPr>
            <w:r>
              <w:rPr>
                <w:sz w:val="17"/>
              </w:rPr>
              <w:t>D2, SETUP</w:t>
            </w:r>
          </w:p>
        </w:tc>
      </w:tr>
      <w:tr>
        <w:trPr>
          <w:cantSplit w:val="true"/>
        </w:trPr>
        <w:tc>
          <w:tcPr>
            <w:tcW w:type="dxa" w:w="1299"/>
            <w:shd w:val="clear" w:color="auto" w:fill="F3F6F8"/>
          </w:tcPr>
          <w:p>
            <w:pPr>
              <w:spacing w:after="0" w:line="240" w:lineRule="auto"/>
            </w:pPr>
            <w:r>
              <w:rPr>
                <w:b/>
                <w:sz w:val="17"/>
              </w:rPr>
              <w:t>NFR-SEC-02</w:t>
            </w:r>
          </w:p>
        </w:tc>
        <w:tc>
          <w:tcPr>
            <w:tcW w:type="dxa" w:w="5414"/>
            <w:shd w:val="clear" w:color="auto" w:fill="F3F6F8"/>
          </w:tcPr>
          <w:p>
            <w:pPr>
              <w:spacing w:after="0" w:line="240" w:lineRule="auto"/>
            </w:pPr>
            <w:r>
              <w:rPr>
                <w:sz w:val="17"/>
              </w:rPr>
              <w:t>MID Servers make outbound-only connections (443) to the instance and accept no inbound connections. Hardened to a recognised baseline, dedicated service account, disk encryption, no domain admin.</w:t>
            </w:r>
          </w:p>
        </w:tc>
        <w:tc>
          <w:tcPr>
            <w:tcW w:type="dxa" w:w="1949"/>
            <w:shd w:val="clear" w:color="auto" w:fill="F3F6F8"/>
          </w:tcPr>
          <w:p>
            <w:pPr>
              <w:spacing w:after="0" w:line="240" w:lineRule="auto"/>
            </w:pPr>
            <w:r>
              <w:rPr>
                <w:sz w:val="17"/>
              </w:rPr>
              <w:t>Firewall review and benchmark scan</w:t>
            </w:r>
          </w:p>
        </w:tc>
        <w:tc>
          <w:tcPr>
            <w:tcW w:type="dxa" w:w="975"/>
            <w:shd w:val="clear" w:color="auto" w:fill="F3F6F8"/>
          </w:tcPr>
          <w:p>
            <w:pPr>
              <w:spacing w:after="0" w:line="240" w:lineRule="auto"/>
            </w:pPr>
            <w:r>
              <w:rPr>
                <w:sz w:val="17"/>
              </w:rPr>
              <w:t>D2</w:t>
            </w:r>
          </w:p>
        </w:tc>
      </w:tr>
      <w:tr>
        <w:trPr>
          <w:cantSplit w:val="true"/>
        </w:trPr>
        <w:tc>
          <w:tcPr>
            <w:tcW w:type="dxa" w:w="1299"/>
          </w:tcPr>
          <w:p>
            <w:pPr>
              <w:spacing w:after="0" w:line="240" w:lineRule="auto"/>
            </w:pPr>
            <w:r>
              <w:rPr>
                <w:b/>
                <w:sz w:val="17"/>
              </w:rPr>
              <w:t>NFR-SEC-03</w:t>
            </w:r>
          </w:p>
        </w:tc>
        <w:tc>
          <w:tcPr>
            <w:tcW w:type="dxa" w:w="5414"/>
          </w:tcPr>
          <w:p>
            <w:pPr>
              <w:spacing w:after="0" w:line="240" w:lineRule="auto"/>
            </w:pPr>
            <w:r>
              <w:rPr>
                <w:sz w:val="17"/>
              </w:rPr>
              <w:t>Adapter signatures are verified before execution. Tampering blocks execution and raises an alert. Signing keys live in an HSM or KMS.</w:t>
            </w:r>
          </w:p>
        </w:tc>
        <w:tc>
          <w:tcPr>
            <w:tcW w:type="dxa" w:w="1949"/>
          </w:tcPr>
          <w:p>
            <w:pPr>
              <w:spacing w:after="0" w:line="240" w:lineRule="auto"/>
            </w:pPr>
            <w:r>
              <w:rPr>
                <w:sz w:val="17"/>
              </w:rPr>
              <w:t>Tamper test blocked 100%</w:t>
            </w:r>
          </w:p>
        </w:tc>
        <w:tc>
          <w:tcPr>
            <w:tcW w:type="dxa" w:w="975"/>
          </w:tcPr>
          <w:p>
            <w:pPr>
              <w:spacing w:after="0" w:line="240" w:lineRule="auto"/>
            </w:pPr>
            <w:r>
              <w:rPr>
                <w:sz w:val="17"/>
              </w:rPr>
              <w:t>D3</w:t>
            </w:r>
          </w:p>
        </w:tc>
      </w:tr>
      <w:tr>
        <w:trPr>
          <w:cantSplit w:val="true"/>
        </w:trPr>
        <w:tc>
          <w:tcPr>
            <w:tcW w:type="dxa" w:w="1299"/>
            <w:shd w:val="clear" w:color="auto" w:fill="F3F6F8"/>
          </w:tcPr>
          <w:p>
            <w:pPr>
              <w:spacing w:after="0" w:line="240" w:lineRule="auto"/>
            </w:pPr>
            <w:r>
              <w:rPr>
                <w:b/>
                <w:sz w:val="17"/>
              </w:rPr>
              <w:t>NFR-SEC-04</w:t>
            </w:r>
          </w:p>
        </w:tc>
        <w:tc>
          <w:tcPr>
            <w:tcW w:type="dxa" w:w="5414"/>
            <w:shd w:val="clear" w:color="auto" w:fill="F3F6F8"/>
          </w:tcPr>
          <w:p>
            <w:pPr>
              <w:spacing w:after="0" w:line="240" w:lineRule="auto"/>
            </w:pPr>
            <w:r>
              <w:rPr>
                <w:sz w:val="17"/>
              </w:rPr>
              <w:t>Credentials are JIT from the vault, TTL 15 minutes or less, never reused across zones, and never embedded in scripts, variables or files.</w:t>
            </w:r>
          </w:p>
        </w:tc>
        <w:tc>
          <w:tcPr>
            <w:tcW w:type="dxa" w:w="1949"/>
            <w:shd w:val="clear" w:color="auto" w:fill="F3F6F8"/>
          </w:tcPr>
          <w:p>
            <w:pPr>
              <w:spacing w:after="0" w:line="240" w:lineRule="auto"/>
            </w:pPr>
            <w:r>
              <w:rPr>
                <w:sz w:val="17"/>
              </w:rPr>
              <w:t>Secret scan finds none</w:t>
            </w:r>
          </w:p>
        </w:tc>
        <w:tc>
          <w:tcPr>
            <w:tcW w:type="dxa" w:w="975"/>
            <w:shd w:val="clear" w:color="auto" w:fill="F3F6F8"/>
          </w:tcPr>
          <w:p>
            <w:pPr>
              <w:spacing w:after="0" w:line="240" w:lineRule="auto"/>
            </w:pPr>
            <w:r>
              <w:rPr>
                <w:sz w:val="17"/>
              </w:rPr>
              <w:t>D1, D2</w:t>
            </w:r>
          </w:p>
        </w:tc>
      </w:tr>
      <w:tr>
        <w:trPr>
          <w:cantSplit w:val="true"/>
        </w:trPr>
        <w:tc>
          <w:tcPr>
            <w:tcW w:type="dxa" w:w="1299"/>
          </w:tcPr>
          <w:p>
            <w:pPr>
              <w:spacing w:after="0" w:line="240" w:lineRule="auto"/>
            </w:pPr>
            <w:r>
              <w:rPr>
                <w:b/>
                <w:sz w:val="17"/>
              </w:rPr>
              <w:t>NFR-SEC-05</w:t>
            </w:r>
          </w:p>
        </w:tc>
        <w:tc>
          <w:tcPr>
            <w:tcW w:type="dxa" w:w="5414"/>
          </w:tcPr>
          <w:p>
            <w:pPr>
              <w:spacing w:after="0" w:line="240" w:lineRule="auto"/>
            </w:pPr>
            <w:r>
              <w:rPr>
                <w:sz w:val="17"/>
              </w:rPr>
              <w:t>Logs, ECC payloads and flow context never contain private keys, passwords or PKCS#12 content (redaction).</w:t>
            </w:r>
          </w:p>
        </w:tc>
        <w:tc>
          <w:tcPr>
            <w:tcW w:type="dxa" w:w="1949"/>
          </w:tcPr>
          <w:p>
            <w:pPr>
              <w:spacing w:after="0" w:line="240" w:lineRule="auto"/>
            </w:pPr>
            <w:r>
              <w:rPr>
                <w:sz w:val="17"/>
              </w:rPr>
              <w:t>Log review and automated test</w:t>
            </w:r>
          </w:p>
        </w:tc>
        <w:tc>
          <w:tcPr>
            <w:tcW w:type="dxa" w:w="975"/>
          </w:tcPr>
          <w:p>
            <w:pPr>
              <w:spacing w:after="0" w:line="240" w:lineRule="auto"/>
            </w:pPr>
            <w:r>
              <w:rPr>
                <w:sz w:val="17"/>
              </w:rPr>
              <w:t>D2</w:t>
            </w:r>
          </w:p>
        </w:tc>
      </w:tr>
      <w:tr>
        <w:trPr>
          <w:cantSplit w:val="true"/>
        </w:trPr>
        <w:tc>
          <w:tcPr>
            <w:tcW w:type="dxa" w:w="1299"/>
            <w:shd w:val="clear" w:color="auto" w:fill="F3F6F8"/>
          </w:tcPr>
          <w:p>
            <w:pPr>
              <w:spacing w:after="0" w:line="240" w:lineRule="auto"/>
            </w:pPr>
            <w:r>
              <w:rPr>
                <w:b/>
                <w:sz w:val="17"/>
              </w:rPr>
              <w:t>NFR-SEC-06</w:t>
            </w:r>
          </w:p>
        </w:tc>
        <w:tc>
          <w:tcPr>
            <w:tcW w:type="dxa" w:w="5414"/>
            <w:shd w:val="clear" w:color="auto" w:fill="F3F6F8"/>
          </w:tcPr>
          <w:p>
            <w:pPr>
              <w:spacing w:after="0" w:line="240" w:lineRule="auto"/>
            </w:pPr>
            <w:r>
              <w:rPr>
                <w:sz w:val="17"/>
              </w:rPr>
              <w:t>Mapped to NIST SP 800-57 (key management), NIST SP 800-52 (TLS), CA/B Forum Baseline Requirements, ISO 27001 cryptography controls, SOC 2, and PCI DSS 4.0 certificate inventory expectations where applicable.</w:t>
            </w:r>
          </w:p>
        </w:tc>
        <w:tc>
          <w:tcPr>
            <w:tcW w:type="dxa" w:w="1949"/>
            <w:shd w:val="clear" w:color="auto" w:fill="F3F6F8"/>
          </w:tcPr>
          <w:p>
            <w:pPr>
              <w:spacing w:after="0" w:line="240" w:lineRule="auto"/>
            </w:pPr>
            <w:r>
              <w:rPr>
                <w:sz w:val="17"/>
              </w:rPr>
              <w:t>Control mapping document</w:t>
            </w:r>
          </w:p>
        </w:tc>
        <w:tc>
          <w:tcPr>
            <w:tcW w:type="dxa" w:w="975"/>
            <w:shd w:val="clear" w:color="auto" w:fill="F3F6F8"/>
          </w:tcPr>
          <w:p>
            <w:pPr>
              <w:spacing w:after="0" w:line="240" w:lineRule="auto"/>
            </w:pPr>
            <w:r>
              <w:rPr>
                <w:sz w:val="17"/>
              </w:rPr>
              <w:t>NEW</w:t>
            </w:r>
          </w:p>
        </w:tc>
      </w:tr>
      <w:tr>
        <w:trPr>
          <w:cantSplit w:val="true"/>
        </w:trPr>
        <w:tc>
          <w:tcPr>
            <w:tcW w:type="dxa" w:w="1299"/>
          </w:tcPr>
          <w:p>
            <w:pPr>
              <w:spacing w:after="0" w:line="240" w:lineRule="auto"/>
            </w:pPr>
            <w:r>
              <w:rPr>
                <w:b/>
                <w:sz w:val="17"/>
              </w:rPr>
              <w:t>NFR-AVL-01</w:t>
            </w:r>
          </w:p>
        </w:tc>
        <w:tc>
          <w:tcPr>
            <w:tcW w:type="dxa" w:w="5414"/>
          </w:tcPr>
          <w:p>
            <w:pPr>
              <w:spacing w:after="0" w:line="240" w:lineRule="auto"/>
            </w:pPr>
            <w:r>
              <w:rPr>
                <w:sz w:val="17"/>
              </w:rPr>
              <w:t>At least two MID Servers per production zone with automatic failover.</w:t>
            </w:r>
          </w:p>
        </w:tc>
        <w:tc>
          <w:tcPr>
            <w:tcW w:type="dxa" w:w="1949"/>
          </w:tcPr>
          <w:p>
            <w:pPr>
              <w:spacing w:after="0" w:line="240" w:lineRule="auto"/>
            </w:pPr>
            <w:r>
              <w:rPr>
                <w:sz w:val="17"/>
              </w:rPr>
              <w:t>Failover test passes</w:t>
            </w:r>
          </w:p>
        </w:tc>
        <w:tc>
          <w:tcPr>
            <w:tcW w:type="dxa" w:w="975"/>
          </w:tcPr>
          <w:p>
            <w:pPr>
              <w:spacing w:after="0" w:line="240" w:lineRule="auto"/>
            </w:pPr>
            <w:r>
              <w:rPr>
                <w:sz w:val="17"/>
              </w:rPr>
              <w:t>D2</w:t>
            </w:r>
          </w:p>
        </w:tc>
      </w:tr>
      <w:tr>
        <w:trPr>
          <w:cantSplit w:val="true"/>
        </w:trPr>
        <w:tc>
          <w:tcPr>
            <w:tcW w:type="dxa" w:w="1299"/>
            <w:shd w:val="clear" w:color="auto" w:fill="F3F6F8"/>
          </w:tcPr>
          <w:p>
            <w:pPr>
              <w:spacing w:after="0" w:line="240" w:lineRule="auto"/>
            </w:pPr>
            <w:r>
              <w:rPr>
                <w:b/>
                <w:sz w:val="17"/>
              </w:rPr>
              <w:t>NFR-AVL-02</w:t>
            </w:r>
          </w:p>
        </w:tc>
        <w:tc>
          <w:tcPr>
            <w:tcW w:type="dxa" w:w="5414"/>
            <w:shd w:val="clear" w:color="auto" w:fill="F3F6F8"/>
          </w:tcPr>
          <w:p>
            <w:pPr>
              <w:spacing w:after="0" w:line="240" w:lineRule="auto"/>
            </w:pPr>
            <w:r>
              <w:rPr>
                <w:sz w:val="17"/>
              </w:rPr>
              <w:t>A MID Server failure does not lose an in-flight job: the job resumes or rolls back within 5 minutes.</w:t>
            </w:r>
          </w:p>
        </w:tc>
        <w:tc>
          <w:tcPr>
            <w:tcW w:type="dxa" w:w="1949"/>
            <w:shd w:val="clear" w:color="auto" w:fill="F3F6F8"/>
          </w:tcPr>
          <w:p>
            <w:pPr>
              <w:spacing w:after="0" w:line="240" w:lineRule="auto"/>
            </w:pPr>
            <w:r>
              <w:rPr>
                <w:sz w:val="17"/>
              </w:rPr>
              <w:t>Chaos test passes</w:t>
            </w:r>
          </w:p>
        </w:tc>
        <w:tc>
          <w:tcPr>
            <w:tcW w:type="dxa" w:w="975"/>
            <w:shd w:val="clear" w:color="auto" w:fill="F3F6F8"/>
          </w:tcPr>
          <w:p>
            <w:pPr>
              <w:spacing w:after="0" w:line="240" w:lineRule="auto"/>
            </w:pPr>
            <w:r>
              <w:rPr>
                <w:sz w:val="17"/>
              </w:rPr>
              <w:t>D2</w:t>
            </w:r>
          </w:p>
        </w:tc>
      </w:tr>
      <w:tr>
        <w:trPr>
          <w:cantSplit w:val="true"/>
        </w:trPr>
        <w:tc>
          <w:tcPr>
            <w:tcW w:type="dxa" w:w="1299"/>
          </w:tcPr>
          <w:p>
            <w:pPr>
              <w:spacing w:after="0" w:line="240" w:lineRule="auto"/>
            </w:pPr>
            <w:r>
              <w:rPr>
                <w:b/>
                <w:sz w:val="17"/>
              </w:rPr>
              <w:t>NFR-AVL-03</w:t>
            </w:r>
          </w:p>
        </w:tc>
        <w:tc>
          <w:tcPr>
            <w:tcW w:type="dxa" w:w="5414"/>
          </w:tcPr>
          <w:p>
            <w:pPr>
              <w:spacing w:after="0" w:line="240" w:lineRule="auto"/>
            </w:pPr>
            <w:r>
              <w:rPr>
                <w:sz w:val="17"/>
              </w:rPr>
              <w:t>The system tolerates a 7-day outage of CDM or a CA without an expiry incident, because renewal starts at least 30 days ahead.</w:t>
            </w:r>
          </w:p>
        </w:tc>
        <w:tc>
          <w:tcPr>
            <w:tcW w:type="dxa" w:w="1949"/>
          </w:tcPr>
          <w:p>
            <w:pPr>
              <w:spacing w:after="0" w:line="240" w:lineRule="auto"/>
            </w:pPr>
            <w:r>
              <w:rPr>
                <w:sz w:val="17"/>
              </w:rPr>
              <w:t>Design review</w:t>
            </w:r>
          </w:p>
        </w:tc>
        <w:tc>
          <w:tcPr>
            <w:tcW w:type="dxa" w:w="975"/>
          </w:tcPr>
          <w:p>
            <w:pPr>
              <w:spacing w:after="0" w:line="240" w:lineRule="auto"/>
            </w:pPr>
            <w:r>
              <w:rPr>
                <w:sz w:val="17"/>
              </w:rPr>
              <w:t>NEW</w:t>
            </w:r>
          </w:p>
        </w:tc>
      </w:tr>
      <w:tr>
        <w:trPr>
          <w:cantSplit w:val="true"/>
        </w:trPr>
        <w:tc>
          <w:tcPr>
            <w:tcW w:type="dxa" w:w="1299"/>
            <w:shd w:val="clear" w:color="auto" w:fill="F3F6F8"/>
          </w:tcPr>
          <w:p>
            <w:pPr>
              <w:spacing w:after="0" w:line="240" w:lineRule="auto"/>
            </w:pPr>
            <w:r>
              <w:rPr>
                <w:b/>
                <w:sz w:val="17"/>
              </w:rPr>
              <w:t>NFR-PRF-01</w:t>
            </w:r>
          </w:p>
        </w:tc>
        <w:tc>
          <w:tcPr>
            <w:tcW w:type="dxa" w:w="5414"/>
            <w:shd w:val="clear" w:color="auto" w:fill="F3F6F8"/>
          </w:tcPr>
          <w:p>
            <w:pPr>
              <w:spacing w:after="0" w:line="240" w:lineRule="auto"/>
            </w:pPr>
            <w:r>
              <w:rPr>
                <w:sz w:val="17"/>
              </w:rPr>
              <w:t>At least 10,000 certificates in inventory and 200 concurrent deployment jobs across zones (configurable). Dashboard loads in 5 seconds or less.</w:t>
            </w:r>
          </w:p>
        </w:tc>
        <w:tc>
          <w:tcPr>
            <w:tcW w:type="dxa" w:w="1949"/>
            <w:shd w:val="clear" w:color="auto" w:fill="F3F6F8"/>
          </w:tcPr>
          <w:p>
            <w:pPr>
              <w:spacing w:after="0" w:line="240" w:lineRule="auto"/>
            </w:pPr>
            <w:r>
              <w:rPr>
                <w:sz w:val="17"/>
              </w:rPr>
              <w:t>Load test</w:t>
            </w:r>
          </w:p>
        </w:tc>
        <w:tc>
          <w:tcPr>
            <w:tcW w:type="dxa" w:w="975"/>
            <w:shd w:val="clear" w:color="auto" w:fill="F3F6F8"/>
          </w:tcPr>
          <w:p>
            <w:pPr>
              <w:spacing w:after="0" w:line="240" w:lineRule="auto"/>
            </w:pPr>
            <w:r>
              <w:rPr>
                <w:sz w:val="17"/>
              </w:rPr>
              <w:t>NEW</w:t>
            </w:r>
          </w:p>
        </w:tc>
      </w:tr>
      <w:tr>
        <w:trPr>
          <w:cantSplit w:val="true"/>
        </w:trPr>
        <w:tc>
          <w:tcPr>
            <w:tcW w:type="dxa" w:w="1299"/>
          </w:tcPr>
          <w:p>
            <w:pPr>
              <w:spacing w:after="0" w:line="240" w:lineRule="auto"/>
            </w:pPr>
            <w:r>
              <w:rPr>
                <w:b/>
                <w:sz w:val="17"/>
              </w:rPr>
              <w:t>NFR-PRF-02</w:t>
            </w:r>
          </w:p>
        </w:tc>
        <w:tc>
          <w:tcPr>
            <w:tcW w:type="dxa" w:w="5414"/>
          </w:tcPr>
          <w:p>
            <w:pPr>
              <w:spacing w:after="0" w:line="240" w:lineRule="auto"/>
            </w:pPr>
            <w:r>
              <w:rPr>
                <w:sz w:val="17"/>
              </w:rPr>
              <w:t>One Windows or Linux deployment, excluding CA issuance and approvals, completes in 5 minutes or less including verification.</w:t>
            </w:r>
          </w:p>
        </w:tc>
        <w:tc>
          <w:tcPr>
            <w:tcW w:type="dxa" w:w="1949"/>
          </w:tcPr>
          <w:p>
            <w:pPr>
              <w:spacing w:after="0" w:line="240" w:lineRule="auto"/>
            </w:pPr>
            <w:r>
              <w:rPr>
                <w:sz w:val="17"/>
              </w:rPr>
              <w:t>Timing test</w:t>
            </w:r>
          </w:p>
        </w:tc>
        <w:tc>
          <w:tcPr>
            <w:tcW w:type="dxa" w:w="975"/>
          </w:tcPr>
          <w:p>
            <w:pPr>
              <w:spacing w:after="0" w:line="240" w:lineRule="auto"/>
            </w:pPr>
            <w:r>
              <w:rPr>
                <w:sz w:val="17"/>
              </w:rPr>
              <w:t>NEW</w:t>
            </w:r>
          </w:p>
        </w:tc>
      </w:tr>
      <w:tr>
        <w:trPr>
          <w:cantSplit w:val="true"/>
        </w:trPr>
        <w:tc>
          <w:tcPr>
            <w:tcW w:type="dxa" w:w="1299"/>
            <w:shd w:val="clear" w:color="auto" w:fill="F3F6F8"/>
          </w:tcPr>
          <w:p>
            <w:pPr>
              <w:spacing w:after="0" w:line="240" w:lineRule="auto"/>
            </w:pPr>
            <w:r>
              <w:rPr>
                <w:b/>
                <w:sz w:val="17"/>
              </w:rPr>
              <w:t>NFR-REL-01</w:t>
            </w:r>
          </w:p>
        </w:tc>
        <w:tc>
          <w:tcPr>
            <w:tcW w:type="dxa" w:w="5414"/>
            <w:shd w:val="clear" w:color="auto" w:fill="F3F6F8"/>
          </w:tcPr>
          <w:p>
            <w:pPr>
              <w:spacing w:after="0" w:line="240" w:lineRule="auto"/>
            </w:pPr>
            <w:r>
              <w:rPr>
                <w:sz w:val="17"/>
              </w:rPr>
              <w:t>First-attempt success of 98% or more in steady state. 100% of failures end in automatic rollback or a manual task.</w:t>
            </w:r>
          </w:p>
        </w:tc>
        <w:tc>
          <w:tcPr>
            <w:tcW w:type="dxa" w:w="1949"/>
            <w:shd w:val="clear" w:color="auto" w:fill="F3F6F8"/>
          </w:tcPr>
          <w:p>
            <w:pPr>
              <w:spacing w:after="0" w:line="240" w:lineRule="auto"/>
            </w:pPr>
            <w:r>
              <w:rPr>
                <w:sz w:val="17"/>
              </w:rPr>
              <w:t>Operational KPI</w:t>
            </w:r>
          </w:p>
        </w:tc>
        <w:tc>
          <w:tcPr>
            <w:tcW w:type="dxa" w:w="975"/>
            <w:shd w:val="clear" w:color="auto" w:fill="F3F6F8"/>
          </w:tcPr>
          <w:p>
            <w:pPr>
              <w:spacing w:after="0" w:line="240" w:lineRule="auto"/>
            </w:pPr>
            <w:r>
              <w:rPr>
                <w:sz w:val="17"/>
              </w:rPr>
              <w:t>NEW</w:t>
            </w:r>
          </w:p>
        </w:tc>
      </w:tr>
      <w:tr>
        <w:trPr>
          <w:cantSplit w:val="true"/>
        </w:trPr>
        <w:tc>
          <w:tcPr>
            <w:tcW w:type="dxa" w:w="1299"/>
          </w:tcPr>
          <w:p>
            <w:pPr>
              <w:spacing w:after="0" w:line="240" w:lineRule="auto"/>
            </w:pPr>
            <w:r>
              <w:rPr>
                <w:b/>
                <w:sz w:val="17"/>
              </w:rPr>
              <w:t>NFR-AUD-01</w:t>
            </w:r>
          </w:p>
        </w:tc>
        <w:tc>
          <w:tcPr>
            <w:tcW w:type="dxa" w:w="5414"/>
          </w:tcPr>
          <w:p>
            <w:pPr>
              <w:spacing w:after="0" w:line="240" w:lineRule="auto"/>
            </w:pPr>
            <w:r>
              <w:rPr>
                <w:sz w:val="17"/>
              </w:rPr>
              <w:t>100% of actions audited, tamper-evident, exportable to the SIEM, retained per policy.</w:t>
            </w:r>
          </w:p>
        </w:tc>
        <w:tc>
          <w:tcPr>
            <w:tcW w:type="dxa" w:w="1949"/>
          </w:tcPr>
          <w:p>
            <w:pPr>
              <w:spacing w:after="0" w:line="240" w:lineRule="auto"/>
            </w:pPr>
            <w:r>
              <w:rPr>
                <w:sz w:val="17"/>
              </w:rPr>
              <w:t>Audit test</w:t>
            </w:r>
          </w:p>
        </w:tc>
        <w:tc>
          <w:tcPr>
            <w:tcW w:type="dxa" w:w="975"/>
          </w:tcPr>
          <w:p>
            <w:pPr>
              <w:spacing w:after="0" w:line="240" w:lineRule="auto"/>
            </w:pPr>
            <w:r>
              <w:rPr>
                <w:sz w:val="17"/>
              </w:rPr>
              <w:t>NEW</w:t>
            </w:r>
          </w:p>
        </w:tc>
      </w:tr>
      <w:tr>
        <w:trPr>
          <w:cantSplit w:val="true"/>
        </w:trPr>
        <w:tc>
          <w:tcPr>
            <w:tcW w:type="dxa" w:w="1299"/>
            <w:shd w:val="clear" w:color="auto" w:fill="F3F6F8"/>
          </w:tcPr>
          <w:p>
            <w:pPr>
              <w:spacing w:after="0" w:line="240" w:lineRule="auto"/>
            </w:pPr>
            <w:r>
              <w:rPr>
                <w:b/>
                <w:sz w:val="17"/>
              </w:rPr>
              <w:t>NFR-OPS-01</w:t>
            </w:r>
          </w:p>
        </w:tc>
        <w:tc>
          <w:tcPr>
            <w:tcW w:type="dxa" w:w="5414"/>
            <w:shd w:val="clear" w:color="auto" w:fill="F3F6F8"/>
          </w:tcPr>
          <w:p>
            <w:pPr>
              <w:spacing w:after="0" w:line="240" w:lineRule="auto"/>
            </w:pPr>
            <w:r>
              <w:rPr>
                <w:sz w:val="17"/>
              </w:rPr>
              <w:t>Runbooks, monitoring and alerting exist for every component. Disaster recovery for CDM configuration with RPO 24 hours or less and RTO 8 hours or less (subject to platform SLA).</w:t>
            </w:r>
          </w:p>
        </w:tc>
        <w:tc>
          <w:tcPr>
            <w:tcW w:type="dxa" w:w="1949"/>
            <w:shd w:val="clear" w:color="auto" w:fill="F3F6F8"/>
          </w:tcPr>
          <w:p>
            <w:pPr>
              <w:spacing w:after="0" w:line="240" w:lineRule="auto"/>
            </w:pPr>
            <w:r>
              <w:rPr>
                <w:sz w:val="17"/>
              </w:rPr>
              <w:t>DR exercise</w:t>
            </w:r>
          </w:p>
        </w:tc>
        <w:tc>
          <w:tcPr>
            <w:tcW w:type="dxa" w:w="975"/>
            <w:shd w:val="clear" w:color="auto" w:fill="F3F6F8"/>
          </w:tcPr>
          <w:p>
            <w:pPr>
              <w:spacing w:after="0" w:line="240" w:lineRule="auto"/>
            </w:pPr>
            <w:r>
              <w:rPr>
                <w:sz w:val="17"/>
              </w:rPr>
              <w:t>NEW</w:t>
            </w:r>
          </w:p>
        </w:tc>
      </w:tr>
      <w:tr>
        <w:trPr>
          <w:cantSplit w:val="true"/>
        </w:trPr>
        <w:tc>
          <w:tcPr>
            <w:tcW w:type="dxa" w:w="1299"/>
          </w:tcPr>
          <w:p>
            <w:pPr>
              <w:spacing w:after="0" w:line="240" w:lineRule="auto"/>
            </w:pPr>
            <w:r>
              <w:rPr>
                <w:b/>
                <w:sz w:val="17"/>
              </w:rPr>
              <w:t>NFR-MNT-01</w:t>
            </w:r>
          </w:p>
        </w:tc>
        <w:tc>
          <w:tcPr>
            <w:tcW w:type="dxa" w:w="5414"/>
          </w:tcPr>
          <w:p>
            <w:pPr>
              <w:spacing w:after="0" w:line="240" w:lineRule="auto"/>
            </w:pPr>
            <w:r>
              <w:rPr>
                <w:sz w:val="17"/>
              </w:rPr>
              <w:t>The adapter contract is semantically versioned and backwards compatible within a major version.</w:t>
            </w:r>
          </w:p>
        </w:tc>
        <w:tc>
          <w:tcPr>
            <w:tcW w:type="dxa" w:w="1949"/>
          </w:tcPr>
          <w:p>
            <w:pPr>
              <w:spacing w:after="0" w:line="240" w:lineRule="auto"/>
            </w:pPr>
            <w:r>
              <w:rPr>
                <w:sz w:val="17"/>
              </w:rPr>
              <w:t>Contract tests</w:t>
            </w:r>
          </w:p>
        </w:tc>
        <w:tc>
          <w:tcPr>
            <w:tcW w:type="dxa" w:w="975"/>
          </w:tcPr>
          <w:p>
            <w:pPr>
              <w:spacing w:after="0" w:line="240" w:lineRule="auto"/>
            </w:pPr>
            <w:r>
              <w:rPr>
                <w:sz w:val="17"/>
              </w:rPr>
              <w:t>NEW</w:t>
            </w:r>
          </w:p>
        </w:tc>
      </w:tr>
      <w:tr>
        <w:trPr>
          <w:cantSplit w:val="true"/>
        </w:trPr>
        <w:tc>
          <w:tcPr>
            <w:tcW w:type="dxa" w:w="1299"/>
            <w:shd w:val="clear" w:color="auto" w:fill="F3F6F8"/>
          </w:tcPr>
          <w:p>
            <w:pPr>
              <w:spacing w:after="0" w:line="240" w:lineRule="auto"/>
            </w:pPr>
            <w:r>
              <w:rPr>
                <w:b/>
                <w:sz w:val="17"/>
              </w:rPr>
              <w:t>NFR-USA-01</w:t>
            </w:r>
          </w:p>
        </w:tc>
        <w:tc>
          <w:tcPr>
            <w:tcW w:type="dxa" w:w="5414"/>
            <w:shd w:val="clear" w:color="auto" w:fill="F3F6F8"/>
          </w:tcPr>
          <w:p>
            <w:pPr>
              <w:spacing w:after="0" w:line="240" w:lineRule="auto"/>
            </w:pPr>
            <w:r>
              <w:rPr>
                <w:sz w:val="17"/>
              </w:rPr>
              <w:t>A requester can submit a standard request in 3 minutes or less using no more than 8 fields. Portal meets WCAG 2.1 AA.</w:t>
            </w:r>
          </w:p>
        </w:tc>
        <w:tc>
          <w:tcPr>
            <w:tcW w:type="dxa" w:w="1949"/>
            <w:shd w:val="clear" w:color="auto" w:fill="F3F6F8"/>
          </w:tcPr>
          <w:p>
            <w:pPr>
              <w:spacing w:after="0" w:line="240" w:lineRule="auto"/>
            </w:pPr>
            <w:r>
              <w:rPr>
                <w:sz w:val="17"/>
              </w:rPr>
              <w:t>Usability test</w:t>
            </w:r>
          </w:p>
        </w:tc>
        <w:tc>
          <w:tcPr>
            <w:tcW w:type="dxa" w:w="975"/>
            <w:shd w:val="clear" w:color="auto" w:fill="F3F6F8"/>
          </w:tcPr>
          <w:p>
            <w:pPr>
              <w:spacing w:after="0" w:line="240" w:lineRule="auto"/>
            </w:pPr>
            <w:r>
              <w:rPr>
                <w:sz w:val="17"/>
              </w:rPr>
              <w:t>NEW</w:t>
            </w:r>
          </w:p>
        </w:tc>
      </w:tr>
      <w:tr>
        <w:trPr>
          <w:cantSplit w:val="true"/>
        </w:trPr>
        <w:tc>
          <w:tcPr>
            <w:tcW w:type="dxa" w:w="1299"/>
          </w:tcPr>
          <w:p>
            <w:pPr>
              <w:spacing w:after="0" w:line="240" w:lineRule="auto"/>
            </w:pPr>
            <w:r>
              <w:rPr>
                <w:b/>
                <w:sz w:val="17"/>
              </w:rPr>
              <w:t>NFR-PRT-01</w:t>
            </w:r>
          </w:p>
        </w:tc>
        <w:tc>
          <w:tcPr>
            <w:tcW w:type="dxa" w:w="5414"/>
          </w:tcPr>
          <w:p>
            <w:pPr>
              <w:spacing w:after="0" w:line="240" w:lineRule="auto"/>
            </w:pPr>
            <w:r>
              <w:rPr>
                <w:sz w:val="17"/>
              </w:rPr>
              <w:t>CA, vault and adapter interfaces are vendor-neutral so components can be swapped.</w:t>
            </w:r>
          </w:p>
        </w:tc>
        <w:tc>
          <w:tcPr>
            <w:tcW w:type="dxa" w:w="1949"/>
          </w:tcPr>
          <w:p>
            <w:pPr>
              <w:spacing w:after="0" w:line="240" w:lineRule="auto"/>
            </w:pPr>
            <w:r>
              <w:rPr>
                <w:sz w:val="17"/>
              </w:rPr>
              <w:t>Design review</w:t>
            </w:r>
          </w:p>
        </w:tc>
        <w:tc>
          <w:tcPr>
            <w:tcW w:type="dxa" w:w="975"/>
          </w:tcPr>
          <w:p>
            <w:pPr>
              <w:spacing w:after="0" w:line="240" w:lineRule="auto"/>
            </w:pPr>
            <w:r>
              <w:rPr>
                <w:sz w:val="17"/>
              </w:rPr>
              <w:t>D1</w:t>
            </w:r>
          </w:p>
        </w:tc>
      </w:tr>
      <w:tr>
        <w:trPr>
          <w:cantSplit w:val="true"/>
        </w:trPr>
        <w:tc>
          <w:tcPr>
            <w:tcW w:type="dxa" w:w="1299"/>
            <w:shd w:val="clear" w:color="auto" w:fill="F3F6F8"/>
          </w:tcPr>
          <w:p>
            <w:pPr>
              <w:spacing w:after="0" w:line="240" w:lineRule="auto"/>
            </w:pPr>
            <w:r>
              <w:rPr>
                <w:b/>
                <w:sz w:val="17"/>
              </w:rPr>
              <w:t>NFR-CRY-01</w:t>
            </w:r>
          </w:p>
        </w:tc>
        <w:tc>
          <w:tcPr>
            <w:tcW w:type="dxa" w:w="5414"/>
            <w:shd w:val="clear" w:color="auto" w:fill="F3F6F8"/>
          </w:tcPr>
          <w:p>
            <w:pPr>
              <w:spacing w:after="0" w:line="240" w:lineRule="auto"/>
            </w:pPr>
            <w:r>
              <w:rPr>
                <w:sz w:val="17"/>
              </w:rPr>
              <w:t>Crypto-agility: algorithms and sizes are configuration. Automation handles 47-day certificates (daily scheduling) and is ready for post-quantum algorithms.</w:t>
            </w:r>
          </w:p>
        </w:tc>
        <w:tc>
          <w:tcPr>
            <w:tcW w:type="dxa" w:w="1949"/>
            <w:shd w:val="clear" w:color="auto" w:fill="F3F6F8"/>
          </w:tcPr>
          <w:p>
            <w:pPr>
              <w:spacing w:after="0" w:line="240" w:lineRule="auto"/>
            </w:pPr>
            <w:r>
              <w:rPr>
                <w:sz w:val="17"/>
              </w:rPr>
              <w:t>Design review</w:t>
            </w:r>
          </w:p>
        </w:tc>
        <w:tc>
          <w:tcPr>
            <w:tcW w:type="dxa" w:w="975"/>
            <w:shd w:val="clear" w:color="auto" w:fill="F3F6F8"/>
          </w:tcPr>
          <w:p>
            <w:pPr>
              <w:spacing w:after="0" w:line="240" w:lineRule="auto"/>
            </w:pPr>
            <w:r>
              <w:rPr>
                <w:sz w:val="17"/>
              </w:rPr>
              <w:t>NEW</w:t>
            </w:r>
          </w:p>
        </w:tc>
      </w:tr>
    </w:tbl>
    <w:p>
      <w:pPr>
        <w:spacing w:after="40"/>
      </w:pPr>
    </w:p>
    <w:p>
      <w:pPr>
        <w:pStyle w:val="Heading1"/>
        <w:pBdr>
          <w:bottom w:val="single" w:sz="8" w:space="2" w:color="2E7D32"/>
        </w:pBdr>
      </w:pPr>
      <w:r>
        <w:t>8. Data model and lifecycle states</w:t>
      </w:r>
    </w:p>
    <w:p>
      <w:r>
        <w:t>The data model is in Figure 10. No table stores a private key or a plain-text secret; CredentialRef holds vault paths only. The lifecycle states of a certificate are in Figure 5 and are defined below.</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455094" cy="6264000"/>
            <wp:docPr id="10" name="Picture 10"/>
            <wp:cNvGraphicFramePr>
              <a:graphicFrameLocks noChangeAspect="1"/>
            </wp:cNvGraphicFramePr>
            <a:graphic>
              <a:graphicData uri="http://schemas.openxmlformats.org/drawingml/2006/picture">
                <pic:pic>
                  <pic:nvPicPr>
                    <pic:cNvPr id="0" name="Fig10_data_model.png"/>
                    <pic:cNvPicPr/>
                  </pic:nvPicPr>
                  <pic:blipFill>
                    <a:blip r:embed="rId19"/>
                    <a:stretch>
                      <a:fillRect/>
                    </a:stretch>
                  </pic:blipFill>
                  <pic:spPr>
                    <a:xfrm>
                      <a:off x="0" y="0"/>
                      <a:ext cx="9455094" cy="6264000"/>
                    </a:xfrm>
                    <a:prstGeom prst="rect"/>
                  </pic:spPr>
                </pic:pic>
              </a:graphicData>
            </a:graphic>
          </wp:inline>
        </w:drawing>
      </w:r>
    </w:p>
    <w:p>
      <w:pPr>
        <w:jc w:val="center"/>
      </w:pPr>
      <w:r>
        <w:rPr>
          <w:i/>
          <w:color w:val="606B7A"/>
          <w:sz w:val="18"/>
        </w:rPr>
        <w:t>Figure 10: Logical data model</w:t>
      </w:r>
    </w:p>
    <w:p>
      <w:pPr>
        <w:sectPr>
          <w:pgSz w:w="16838" w:h="11906" w:orient="landscape"/>
          <w:pgMar w:top="737" w:right="850" w:bottom="850" w:left="850" w:header="720" w:footer="720" w:gutter="0"/>
          <w:cols w:space="720"/>
          <w:docGrid w:linePitch="360"/>
        </w:sectPr>
      </w:pP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928"/>
            <w:shd w:val="clear" w:color="auto" w:fill="1F2D3D"/>
          </w:tcPr>
          <w:p>
            <w:pPr>
              <w:spacing w:after="0"/>
            </w:pPr>
            <w:r>
              <w:rPr>
                <w:b/>
                <w:color w:val="FFFFFF"/>
                <w:sz w:val="17"/>
              </w:rPr>
              <w:t>State</w:t>
            </w:r>
          </w:p>
        </w:tc>
        <w:tc>
          <w:tcPr>
            <w:tcW w:type="dxa" w:w="4337"/>
            <w:shd w:val="clear" w:color="auto" w:fill="1F2D3D"/>
          </w:tcPr>
          <w:p>
            <w:pPr>
              <w:spacing w:after="0"/>
            </w:pPr>
            <w:r>
              <w:rPr>
                <w:b/>
                <w:color w:val="FFFFFF"/>
                <w:sz w:val="17"/>
              </w:rPr>
              <w:t>Meaning</w:t>
            </w:r>
          </w:p>
        </w:tc>
        <w:tc>
          <w:tcPr>
            <w:tcW w:type="dxa" w:w="3373"/>
            <w:shd w:val="clear" w:color="auto" w:fill="1F2D3D"/>
          </w:tcPr>
          <w:p>
            <w:pPr>
              <w:spacing w:after="0"/>
            </w:pPr>
            <w:r>
              <w:rPr>
                <w:b/>
                <w:color w:val="FFFFFF"/>
                <w:sz w:val="17"/>
              </w:rPr>
              <w:t>Exit conditions</w:t>
            </w:r>
          </w:p>
        </w:tc>
      </w:tr>
      <w:tr>
        <w:trPr>
          <w:cantSplit w:val="true"/>
        </w:trPr>
        <w:tc>
          <w:tcPr>
            <w:tcW w:type="dxa" w:w="1928"/>
          </w:tcPr>
          <w:p>
            <w:pPr>
              <w:spacing w:after="0" w:line="240" w:lineRule="auto"/>
            </w:pPr>
            <w:r>
              <w:rPr>
                <w:sz w:val="17"/>
              </w:rPr>
              <w:t>Discovered</w:t>
            </w:r>
          </w:p>
        </w:tc>
        <w:tc>
          <w:tcPr>
            <w:tcW w:type="dxa" w:w="4337"/>
          </w:tcPr>
          <w:p>
            <w:pPr>
              <w:spacing w:after="0" w:line="240" w:lineRule="auto"/>
            </w:pPr>
            <w:r>
              <w:rPr>
                <w:sz w:val="17"/>
              </w:rPr>
              <w:t>Found by discovery or import, not yet managed.</w:t>
            </w:r>
          </w:p>
        </w:tc>
        <w:tc>
          <w:tcPr>
            <w:tcW w:type="dxa" w:w="3373"/>
          </w:tcPr>
          <w:p>
            <w:pPr>
              <w:spacing w:after="0" w:line="240" w:lineRule="auto"/>
            </w:pPr>
            <w:r>
              <w:rPr>
                <w:sz w:val="17"/>
              </w:rPr>
              <w:t>Adopt into a request, or mark unmanaged.</w:t>
            </w:r>
          </w:p>
        </w:tc>
      </w:tr>
      <w:tr>
        <w:trPr>
          <w:cantSplit w:val="true"/>
        </w:trPr>
        <w:tc>
          <w:tcPr>
            <w:tcW w:type="dxa" w:w="1928"/>
            <w:shd w:val="clear" w:color="auto" w:fill="F3F6F8"/>
          </w:tcPr>
          <w:p>
            <w:pPr>
              <w:spacing w:after="0" w:line="240" w:lineRule="auto"/>
            </w:pPr>
            <w:r>
              <w:rPr>
                <w:b/>
                <w:sz w:val="17"/>
              </w:rPr>
              <w:t>Requested</w:t>
            </w:r>
          </w:p>
        </w:tc>
        <w:tc>
          <w:tcPr>
            <w:tcW w:type="dxa" w:w="4337"/>
            <w:shd w:val="clear" w:color="auto" w:fill="F3F6F8"/>
          </w:tcPr>
          <w:p>
            <w:pPr>
              <w:spacing w:after="0" w:line="240" w:lineRule="auto"/>
            </w:pPr>
            <w:r>
              <w:rPr>
                <w:sz w:val="17"/>
              </w:rPr>
              <w:t>Request submitted and being validated against policy.</w:t>
            </w:r>
          </w:p>
        </w:tc>
        <w:tc>
          <w:tcPr>
            <w:tcW w:type="dxa" w:w="3373"/>
            <w:shd w:val="clear" w:color="auto" w:fill="F3F6F8"/>
          </w:tcPr>
          <w:p>
            <w:pPr>
              <w:spacing w:after="0" w:line="240" w:lineRule="auto"/>
            </w:pPr>
            <w:r>
              <w:rPr>
                <w:sz w:val="17"/>
              </w:rPr>
              <w:t>Policy ok, or rejected.</w:t>
            </w:r>
          </w:p>
        </w:tc>
      </w:tr>
      <w:tr>
        <w:trPr>
          <w:cantSplit w:val="true"/>
        </w:trPr>
        <w:tc>
          <w:tcPr>
            <w:tcW w:type="dxa" w:w="1928"/>
          </w:tcPr>
          <w:p>
            <w:pPr>
              <w:spacing w:after="0" w:line="240" w:lineRule="auto"/>
            </w:pPr>
            <w:r>
              <w:rPr>
                <w:sz w:val="17"/>
              </w:rPr>
              <w:t>Pending approval</w:t>
            </w:r>
          </w:p>
        </w:tc>
        <w:tc>
          <w:tcPr>
            <w:tcW w:type="dxa" w:w="4337"/>
          </w:tcPr>
          <w:p>
            <w:pPr>
              <w:spacing w:after="0" w:line="240" w:lineRule="auto"/>
            </w:pPr>
            <w:r>
              <w:rPr>
                <w:sz w:val="17"/>
              </w:rPr>
              <w:t>Waiting for approver or change.</w:t>
            </w:r>
          </w:p>
        </w:tc>
        <w:tc>
          <w:tcPr>
            <w:tcW w:type="dxa" w:w="3373"/>
          </w:tcPr>
          <w:p>
            <w:pPr>
              <w:spacing w:after="0" w:line="240" w:lineRule="auto"/>
            </w:pPr>
            <w:r>
              <w:rPr>
                <w:sz w:val="17"/>
              </w:rPr>
              <w:t>Approved or rejected.</w:t>
            </w:r>
          </w:p>
        </w:tc>
      </w:tr>
      <w:tr>
        <w:trPr>
          <w:cantSplit w:val="true"/>
        </w:trPr>
        <w:tc>
          <w:tcPr>
            <w:tcW w:type="dxa" w:w="1928"/>
            <w:shd w:val="clear" w:color="auto" w:fill="F3F6F8"/>
          </w:tcPr>
          <w:p>
            <w:pPr>
              <w:spacing w:after="0" w:line="240" w:lineRule="auto"/>
            </w:pPr>
            <w:r>
              <w:rPr>
                <w:sz w:val="17"/>
              </w:rPr>
              <w:t>Approved</w:t>
            </w:r>
          </w:p>
        </w:tc>
        <w:tc>
          <w:tcPr>
            <w:tcW w:type="dxa" w:w="4337"/>
            <w:shd w:val="clear" w:color="auto" w:fill="F3F6F8"/>
          </w:tcPr>
          <w:p>
            <w:pPr>
              <w:spacing w:after="0" w:line="240" w:lineRule="auto"/>
            </w:pPr>
            <w:r>
              <w:rPr>
                <w:sz w:val="17"/>
              </w:rPr>
              <w:t>Cleared to go to the CA.</w:t>
            </w:r>
          </w:p>
        </w:tc>
        <w:tc>
          <w:tcPr>
            <w:tcW w:type="dxa" w:w="3373"/>
            <w:shd w:val="clear" w:color="auto" w:fill="F3F6F8"/>
          </w:tcPr>
          <w:p>
            <w:pPr>
              <w:spacing w:after="0" w:line="240" w:lineRule="auto"/>
            </w:pPr>
            <w:r>
              <w:rPr>
                <w:sz w:val="17"/>
              </w:rPr>
              <w:t>CSR submitted.</w:t>
            </w:r>
          </w:p>
        </w:tc>
      </w:tr>
      <w:tr>
        <w:trPr>
          <w:cantSplit w:val="true"/>
        </w:trPr>
        <w:tc>
          <w:tcPr>
            <w:tcW w:type="dxa" w:w="1928"/>
          </w:tcPr>
          <w:p>
            <w:pPr>
              <w:spacing w:after="0" w:line="240" w:lineRule="auto"/>
            </w:pPr>
            <w:r>
              <w:rPr>
                <w:sz w:val="17"/>
              </w:rPr>
              <w:t>Issuing</w:t>
            </w:r>
          </w:p>
        </w:tc>
        <w:tc>
          <w:tcPr>
            <w:tcW w:type="dxa" w:w="4337"/>
          </w:tcPr>
          <w:p>
            <w:pPr>
              <w:spacing w:after="0" w:line="240" w:lineRule="auto"/>
            </w:pPr>
            <w:r>
              <w:rPr>
                <w:sz w:val="17"/>
              </w:rPr>
              <w:t>At the CA (validation, processing).</w:t>
            </w:r>
          </w:p>
        </w:tc>
        <w:tc>
          <w:tcPr>
            <w:tcW w:type="dxa" w:w="3373"/>
          </w:tcPr>
          <w:p>
            <w:pPr>
              <w:spacing w:after="0" w:line="240" w:lineRule="auto"/>
            </w:pPr>
            <w:r>
              <w:rPr>
                <w:sz w:val="17"/>
              </w:rPr>
              <w:t>Issued, failed or timed out.</w:t>
            </w:r>
          </w:p>
        </w:tc>
      </w:tr>
      <w:tr>
        <w:trPr>
          <w:cantSplit w:val="true"/>
        </w:trPr>
        <w:tc>
          <w:tcPr>
            <w:tcW w:type="dxa" w:w="1928"/>
            <w:shd w:val="clear" w:color="auto" w:fill="F3F6F8"/>
          </w:tcPr>
          <w:p>
            <w:pPr>
              <w:spacing w:after="0" w:line="240" w:lineRule="auto"/>
            </w:pPr>
            <w:r>
              <w:rPr>
                <w:sz w:val="17"/>
              </w:rPr>
              <w:t>Issued</w:t>
            </w:r>
          </w:p>
        </w:tc>
        <w:tc>
          <w:tcPr>
            <w:tcW w:type="dxa" w:w="4337"/>
            <w:shd w:val="clear" w:color="auto" w:fill="F3F6F8"/>
          </w:tcPr>
          <w:p>
            <w:pPr>
              <w:spacing w:after="0" w:line="240" w:lineRule="auto"/>
            </w:pPr>
            <w:r>
              <w:rPr>
                <w:sz w:val="17"/>
              </w:rPr>
              <w:t>Certificate and chain retrieved and validated.</w:t>
            </w:r>
          </w:p>
        </w:tc>
        <w:tc>
          <w:tcPr>
            <w:tcW w:type="dxa" w:w="3373"/>
            <w:shd w:val="clear" w:color="auto" w:fill="F3F6F8"/>
          </w:tcPr>
          <w:p>
            <w:pPr>
              <w:spacing w:after="0" w:line="240" w:lineRule="auto"/>
            </w:pPr>
            <w:r>
              <w:rPr>
                <w:sz w:val="17"/>
              </w:rPr>
              <w:t>Deploy job created.</w:t>
            </w:r>
          </w:p>
        </w:tc>
      </w:tr>
      <w:tr>
        <w:trPr>
          <w:cantSplit w:val="true"/>
        </w:trPr>
        <w:tc>
          <w:tcPr>
            <w:tcW w:type="dxa" w:w="1928"/>
          </w:tcPr>
          <w:p>
            <w:pPr>
              <w:spacing w:after="0" w:line="240" w:lineRule="auto"/>
            </w:pPr>
            <w:r>
              <w:rPr>
                <w:sz w:val="17"/>
              </w:rPr>
              <w:t>Deploying</w:t>
            </w:r>
          </w:p>
        </w:tc>
        <w:tc>
          <w:tcPr>
            <w:tcW w:type="dxa" w:w="4337"/>
          </w:tcPr>
          <w:p>
            <w:pPr>
              <w:spacing w:after="0" w:line="240" w:lineRule="auto"/>
            </w:pPr>
            <w:r>
              <w:rPr>
                <w:sz w:val="17"/>
              </w:rPr>
              <w:t>Adapter job running.</w:t>
            </w:r>
          </w:p>
        </w:tc>
        <w:tc>
          <w:tcPr>
            <w:tcW w:type="dxa" w:w="3373"/>
          </w:tcPr>
          <w:p>
            <w:pPr>
              <w:spacing w:after="0" w:line="240" w:lineRule="auto"/>
            </w:pPr>
            <w:r>
              <w:rPr>
                <w:sz w:val="17"/>
              </w:rPr>
              <w:t>Installed, or rollback.</w:t>
            </w:r>
          </w:p>
        </w:tc>
      </w:tr>
      <w:tr>
        <w:trPr>
          <w:cantSplit w:val="true"/>
        </w:trPr>
        <w:tc>
          <w:tcPr>
            <w:tcW w:type="dxa" w:w="1928"/>
            <w:shd w:val="clear" w:color="auto" w:fill="F3F6F8"/>
          </w:tcPr>
          <w:p>
            <w:pPr>
              <w:spacing w:after="0" w:line="240" w:lineRule="auto"/>
            </w:pPr>
            <w:r>
              <w:rPr>
                <w:sz w:val="17"/>
              </w:rPr>
              <w:t>Verifying</w:t>
            </w:r>
          </w:p>
        </w:tc>
        <w:tc>
          <w:tcPr>
            <w:tcW w:type="dxa" w:w="4337"/>
            <w:shd w:val="clear" w:color="auto" w:fill="F3F6F8"/>
          </w:tcPr>
          <w:p>
            <w:pPr>
              <w:spacing w:after="0" w:line="240" w:lineRule="auto"/>
            </w:pPr>
            <w:r>
              <w:rPr>
                <w:sz w:val="17"/>
              </w:rPr>
              <w:t>Live endpoint verification.</w:t>
            </w:r>
          </w:p>
        </w:tc>
        <w:tc>
          <w:tcPr>
            <w:tcW w:type="dxa" w:w="3373"/>
            <w:shd w:val="clear" w:color="auto" w:fill="F3F6F8"/>
          </w:tcPr>
          <w:p>
            <w:pPr>
              <w:spacing w:after="0" w:line="240" w:lineRule="auto"/>
            </w:pPr>
            <w:r>
              <w:rPr>
                <w:sz w:val="17"/>
              </w:rPr>
              <w:t>Verified, or rollback.</w:t>
            </w:r>
          </w:p>
        </w:tc>
      </w:tr>
      <w:tr>
        <w:trPr>
          <w:cantSplit w:val="true"/>
        </w:trPr>
        <w:tc>
          <w:tcPr>
            <w:tcW w:type="dxa" w:w="1928"/>
          </w:tcPr>
          <w:p>
            <w:pPr>
              <w:spacing w:after="0" w:line="240" w:lineRule="auto"/>
            </w:pPr>
            <w:r>
              <w:rPr>
                <w:sz w:val="17"/>
              </w:rPr>
              <w:t>Active</w:t>
            </w:r>
          </w:p>
        </w:tc>
        <w:tc>
          <w:tcPr>
            <w:tcW w:type="dxa" w:w="4337"/>
          </w:tcPr>
          <w:p>
            <w:pPr>
              <w:spacing w:after="0" w:line="240" w:lineRule="auto"/>
            </w:pPr>
            <w:r>
              <w:rPr>
                <w:sz w:val="17"/>
              </w:rPr>
              <w:t>Deployed and verified.</w:t>
            </w:r>
          </w:p>
        </w:tc>
        <w:tc>
          <w:tcPr>
            <w:tcW w:type="dxa" w:w="3373"/>
          </w:tcPr>
          <w:p>
            <w:pPr>
              <w:spacing w:after="0" w:line="240" w:lineRule="auto"/>
            </w:pPr>
            <w:r>
              <w:rPr>
                <w:sz w:val="17"/>
              </w:rPr>
              <w:t>Expiry window, revocation.</w:t>
            </w:r>
          </w:p>
        </w:tc>
      </w:tr>
      <w:tr>
        <w:trPr>
          <w:cantSplit w:val="true"/>
        </w:trPr>
        <w:tc>
          <w:tcPr>
            <w:tcW w:type="dxa" w:w="1928"/>
            <w:shd w:val="clear" w:color="auto" w:fill="F3F6F8"/>
          </w:tcPr>
          <w:p>
            <w:pPr>
              <w:spacing w:after="0" w:line="240" w:lineRule="auto"/>
            </w:pPr>
            <w:r>
              <w:rPr>
                <w:sz w:val="17"/>
              </w:rPr>
              <w:t>Expiring</w:t>
            </w:r>
          </w:p>
        </w:tc>
        <w:tc>
          <w:tcPr>
            <w:tcW w:type="dxa" w:w="4337"/>
            <w:shd w:val="clear" w:color="auto" w:fill="F3F6F8"/>
          </w:tcPr>
          <w:p>
            <w:pPr>
              <w:spacing w:after="0" w:line="240" w:lineRule="auto"/>
            </w:pPr>
            <w:r>
              <w:rPr>
                <w:sz w:val="17"/>
              </w:rPr>
              <w:t>In the renewal window.</w:t>
            </w:r>
          </w:p>
        </w:tc>
        <w:tc>
          <w:tcPr>
            <w:tcW w:type="dxa" w:w="3373"/>
            <w:shd w:val="clear" w:color="auto" w:fill="F3F6F8"/>
          </w:tcPr>
          <w:p>
            <w:pPr>
              <w:spacing w:after="0" w:line="240" w:lineRule="auto"/>
            </w:pPr>
            <w:r>
              <w:rPr>
                <w:sz w:val="17"/>
              </w:rPr>
              <w:t>Renewing, or expired.</w:t>
            </w:r>
          </w:p>
        </w:tc>
      </w:tr>
      <w:tr>
        <w:trPr>
          <w:cantSplit w:val="true"/>
        </w:trPr>
        <w:tc>
          <w:tcPr>
            <w:tcW w:type="dxa" w:w="1928"/>
          </w:tcPr>
          <w:p>
            <w:pPr>
              <w:spacing w:after="0" w:line="240" w:lineRule="auto"/>
            </w:pPr>
            <w:r>
              <w:rPr>
                <w:b/>
                <w:sz w:val="17"/>
              </w:rPr>
              <w:t>Renewing</w:t>
            </w:r>
          </w:p>
        </w:tc>
        <w:tc>
          <w:tcPr>
            <w:tcW w:type="dxa" w:w="4337"/>
          </w:tcPr>
          <w:p>
            <w:pPr>
              <w:spacing w:after="0" w:line="240" w:lineRule="auto"/>
            </w:pPr>
            <w:r>
              <w:rPr>
                <w:sz w:val="17"/>
              </w:rPr>
              <w:t>New request created automatically.</w:t>
            </w:r>
          </w:p>
        </w:tc>
        <w:tc>
          <w:tcPr>
            <w:tcW w:type="dxa" w:w="3373"/>
          </w:tcPr>
          <w:p>
            <w:pPr>
              <w:spacing w:after="0" w:line="240" w:lineRule="auto"/>
            </w:pPr>
            <w:r>
              <w:rPr>
                <w:sz w:val="17"/>
              </w:rPr>
              <w:t>Issuing.</w:t>
            </w:r>
          </w:p>
        </w:tc>
      </w:tr>
      <w:tr>
        <w:trPr>
          <w:cantSplit w:val="true"/>
        </w:trPr>
        <w:tc>
          <w:tcPr>
            <w:tcW w:type="dxa" w:w="1928"/>
            <w:shd w:val="clear" w:color="auto" w:fill="F3F6F8"/>
          </w:tcPr>
          <w:p>
            <w:pPr>
              <w:spacing w:after="0" w:line="240" w:lineRule="auto"/>
            </w:pPr>
            <w:r>
              <w:rPr>
                <w:b/>
                <w:sz w:val="17"/>
              </w:rPr>
              <w:t>Rolled back</w:t>
            </w:r>
          </w:p>
        </w:tc>
        <w:tc>
          <w:tcPr>
            <w:tcW w:type="dxa" w:w="4337"/>
            <w:shd w:val="clear" w:color="auto" w:fill="F3F6F8"/>
          </w:tcPr>
          <w:p>
            <w:pPr>
              <w:spacing w:after="0" w:line="240" w:lineRule="auto"/>
            </w:pPr>
            <w:r>
              <w:rPr>
                <w:sz w:val="17"/>
              </w:rPr>
              <w:t>Deployment failed and was reverted.</w:t>
            </w:r>
          </w:p>
        </w:tc>
        <w:tc>
          <w:tcPr>
            <w:tcW w:type="dxa" w:w="3373"/>
            <w:shd w:val="clear" w:color="auto" w:fill="F3F6F8"/>
          </w:tcPr>
          <w:p>
            <w:pPr>
              <w:spacing w:after="0" w:line="240" w:lineRule="auto"/>
            </w:pPr>
            <w:r>
              <w:rPr>
                <w:sz w:val="17"/>
              </w:rPr>
              <w:t>Incident, retry after fix.</w:t>
            </w:r>
          </w:p>
        </w:tc>
      </w:tr>
      <w:tr>
        <w:trPr>
          <w:cantSplit w:val="true"/>
        </w:trPr>
        <w:tc>
          <w:tcPr>
            <w:tcW w:type="dxa" w:w="1928"/>
          </w:tcPr>
          <w:p>
            <w:pPr>
              <w:spacing w:after="0" w:line="240" w:lineRule="auto"/>
            </w:pPr>
            <w:r>
              <w:rPr>
                <w:sz w:val="17"/>
              </w:rPr>
              <w:t>Expired / Revoked / Retired</w:t>
            </w:r>
          </w:p>
        </w:tc>
        <w:tc>
          <w:tcPr>
            <w:tcW w:type="dxa" w:w="4337"/>
          </w:tcPr>
          <w:p>
            <w:pPr>
              <w:spacing w:after="0" w:line="240" w:lineRule="auto"/>
            </w:pPr>
            <w:r>
              <w:rPr>
                <w:sz w:val="17"/>
              </w:rPr>
              <w:t>End of life.</w:t>
            </w:r>
          </w:p>
        </w:tc>
        <w:tc>
          <w:tcPr>
            <w:tcW w:type="dxa" w:w="3373"/>
          </w:tcPr>
          <w:p>
            <w:pPr>
              <w:spacing w:after="0" w:line="240" w:lineRule="auto"/>
            </w:pPr>
            <w:r>
              <w:rPr>
                <w:sz w:val="17"/>
              </w:rPr>
              <w:t>None (terminal).</w:t>
            </w:r>
          </w:p>
        </w:tc>
      </w:tr>
    </w:tbl>
    <w:p>
      <w:pPr>
        <w:spacing w:after="40"/>
      </w:pPr>
    </w:p>
    <w:p>
      <w:pPr>
        <w:pStyle w:val="Heading1"/>
        <w:pBdr>
          <w:bottom w:val="single" w:sz="8" w:space="2" w:color="2E7D32"/>
        </w:pBdr>
      </w:pPr>
      <w:r>
        <w:t>9. External interfaces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2409"/>
        <w:gridCol w:w="2409"/>
        <w:gridCol w:w="2409"/>
        <w:gridCol w:w="2409"/>
      </w:tblGrid>
      <w:tr>
        <w:trPr>
          <w:tblHeader w:val="true"/>
        </w:trPr>
        <w:tc>
          <w:tcPr>
            <w:tcW w:type="dxa" w:w="2142"/>
            <w:shd w:val="clear" w:color="auto" w:fill="1F2D3D"/>
          </w:tcPr>
          <w:p>
            <w:pPr>
              <w:spacing w:after="0"/>
            </w:pPr>
            <w:r>
              <w:rPr>
                <w:b/>
                <w:color w:val="FFFFFF"/>
                <w:sz w:val="17"/>
              </w:rPr>
              <w:t>Interface</w:t>
            </w:r>
          </w:p>
        </w:tc>
        <w:tc>
          <w:tcPr>
            <w:tcW w:type="dxa" w:w="1499"/>
            <w:shd w:val="clear" w:color="auto" w:fill="1F2D3D"/>
          </w:tcPr>
          <w:p>
            <w:pPr>
              <w:spacing w:after="0"/>
            </w:pPr>
            <w:r>
              <w:rPr>
                <w:b/>
                <w:color w:val="FFFFFF"/>
                <w:sz w:val="17"/>
              </w:rPr>
              <w:t>Direction</w:t>
            </w:r>
          </w:p>
        </w:tc>
        <w:tc>
          <w:tcPr>
            <w:tcW w:type="dxa" w:w="2998"/>
            <w:shd w:val="clear" w:color="auto" w:fill="1F2D3D"/>
          </w:tcPr>
          <w:p>
            <w:pPr>
              <w:spacing w:after="0"/>
            </w:pPr>
            <w:r>
              <w:rPr>
                <w:b/>
                <w:color w:val="FFFFFF"/>
                <w:sz w:val="17"/>
              </w:rPr>
              <w:t>Protocol and auth</w:t>
            </w:r>
          </w:p>
        </w:tc>
        <w:tc>
          <w:tcPr>
            <w:tcW w:type="dxa" w:w="2998"/>
            <w:shd w:val="clear" w:color="auto" w:fill="1F2D3D"/>
          </w:tcPr>
          <w:p>
            <w:pPr>
              <w:spacing w:after="0"/>
            </w:pPr>
            <w:r>
              <w:rPr>
                <w:b/>
                <w:color w:val="FFFFFF"/>
                <w:sz w:val="17"/>
              </w:rPr>
              <w:t>Notes</w:t>
            </w:r>
          </w:p>
        </w:tc>
      </w:tr>
      <w:tr>
        <w:trPr>
          <w:cantSplit w:val="true"/>
        </w:trPr>
        <w:tc>
          <w:tcPr>
            <w:tcW w:type="dxa" w:w="2142"/>
          </w:tcPr>
          <w:p>
            <w:pPr>
              <w:spacing w:after="0" w:line="240" w:lineRule="auto"/>
            </w:pPr>
            <w:r>
              <w:rPr>
                <w:sz w:val="17"/>
              </w:rPr>
              <w:t>ServiceNow to MID Server</w:t>
            </w:r>
          </w:p>
        </w:tc>
        <w:tc>
          <w:tcPr>
            <w:tcW w:type="dxa" w:w="1499"/>
          </w:tcPr>
          <w:p>
            <w:pPr>
              <w:spacing w:after="0" w:line="240" w:lineRule="auto"/>
            </w:pPr>
            <w:r>
              <w:rPr>
                <w:sz w:val="17"/>
              </w:rPr>
              <w:t>Instance to MID</w:t>
            </w:r>
          </w:p>
        </w:tc>
        <w:tc>
          <w:tcPr>
            <w:tcW w:type="dxa" w:w="2998"/>
          </w:tcPr>
          <w:p>
            <w:pPr>
              <w:spacing w:after="0" w:line="240" w:lineRule="auto"/>
            </w:pPr>
            <w:r>
              <w:rPr>
                <w:sz w:val="17"/>
              </w:rPr>
              <w:t>ECC queue; MID connects outbound over HTTPS 443</w:t>
            </w:r>
          </w:p>
        </w:tc>
        <w:tc>
          <w:tcPr>
            <w:tcW w:type="dxa" w:w="2998"/>
          </w:tcPr>
          <w:p>
            <w:pPr>
              <w:spacing w:after="0" w:line="240" w:lineRule="auto"/>
            </w:pPr>
            <w:r>
              <w:rPr>
                <w:sz w:val="17"/>
              </w:rPr>
              <w:t>Job payload signed; MID verifies adapter hash (FR-ADP-002).</w:t>
            </w:r>
          </w:p>
        </w:tc>
      </w:tr>
      <w:tr>
        <w:trPr>
          <w:cantSplit w:val="true"/>
        </w:trPr>
        <w:tc>
          <w:tcPr>
            <w:tcW w:type="dxa" w:w="2142"/>
            <w:shd w:val="clear" w:color="auto" w:fill="F3F6F8"/>
          </w:tcPr>
          <w:p>
            <w:pPr>
              <w:spacing w:after="0" w:line="240" w:lineRule="auto"/>
            </w:pPr>
            <w:r>
              <w:rPr>
                <w:sz w:val="17"/>
              </w:rPr>
              <w:t>MID Server to vault</w:t>
            </w:r>
          </w:p>
        </w:tc>
        <w:tc>
          <w:tcPr>
            <w:tcW w:type="dxa" w:w="1499"/>
            <w:shd w:val="clear" w:color="auto" w:fill="F3F6F8"/>
          </w:tcPr>
          <w:p>
            <w:pPr>
              <w:spacing w:after="0" w:line="240" w:lineRule="auto"/>
            </w:pPr>
            <w:r>
              <w:rPr>
                <w:sz w:val="17"/>
              </w:rPr>
              <w:t>MID to vault</w:t>
            </w:r>
          </w:p>
        </w:tc>
        <w:tc>
          <w:tcPr>
            <w:tcW w:type="dxa" w:w="2998"/>
            <w:shd w:val="clear" w:color="auto" w:fill="F3F6F8"/>
          </w:tcPr>
          <w:p>
            <w:pPr>
              <w:spacing w:after="0" w:line="240" w:lineRule="auto"/>
            </w:pPr>
            <w:r>
              <w:rPr>
                <w:sz w:val="17"/>
              </w:rPr>
              <w:t>HTTPS with mutual TLS; short-lived token</w:t>
            </w:r>
          </w:p>
        </w:tc>
        <w:tc>
          <w:tcPr>
            <w:tcW w:type="dxa" w:w="2998"/>
            <w:shd w:val="clear" w:color="auto" w:fill="F3F6F8"/>
          </w:tcPr>
          <w:p>
            <w:pPr>
              <w:spacing w:after="0" w:line="240" w:lineRule="auto"/>
            </w:pPr>
            <w:r>
              <w:rPr>
                <w:sz w:val="17"/>
              </w:rPr>
              <w:t>JIT secrets, dynamic SSH certificates, database or API tokens.</w:t>
            </w:r>
          </w:p>
        </w:tc>
      </w:tr>
      <w:tr>
        <w:trPr>
          <w:cantSplit w:val="true"/>
        </w:trPr>
        <w:tc>
          <w:tcPr>
            <w:tcW w:type="dxa" w:w="2142"/>
          </w:tcPr>
          <w:p>
            <w:pPr>
              <w:spacing w:after="0" w:line="240" w:lineRule="auto"/>
            </w:pPr>
            <w:r>
              <w:rPr>
                <w:sz w:val="17"/>
              </w:rPr>
              <w:t>CDM to Sectigo</w:t>
            </w:r>
          </w:p>
        </w:tc>
        <w:tc>
          <w:tcPr>
            <w:tcW w:type="dxa" w:w="1499"/>
          </w:tcPr>
          <w:p>
            <w:pPr>
              <w:spacing w:after="0" w:line="240" w:lineRule="auto"/>
            </w:pPr>
            <w:r>
              <w:rPr>
                <w:sz w:val="17"/>
              </w:rPr>
              <w:t>Instance or MID to CA</w:t>
            </w:r>
          </w:p>
        </w:tc>
        <w:tc>
          <w:tcPr>
            <w:tcW w:type="dxa" w:w="2998"/>
          </w:tcPr>
          <w:p>
            <w:pPr>
              <w:spacing w:after="0" w:line="240" w:lineRule="auto"/>
            </w:pPr>
            <w:r>
              <w:rPr>
                <w:sz w:val="17"/>
              </w:rPr>
              <w:t>HTTPS REST; credentials from the vault</w:t>
            </w:r>
          </w:p>
        </w:tc>
        <w:tc>
          <w:tcPr>
            <w:tcW w:type="dxa" w:w="2998"/>
          </w:tcPr>
          <w:p>
            <w:pPr>
              <w:spacing w:after="0" w:line="240" w:lineRule="auto"/>
            </w:pPr>
            <w:r>
              <w:rPr>
                <w:sz w:val="17"/>
              </w:rPr>
              <w:t>Enroll, collect, renew, revoke, list (Appendix C). Sandbox and production are separate profiles.</w:t>
            </w:r>
          </w:p>
        </w:tc>
      </w:tr>
      <w:tr>
        <w:trPr>
          <w:cantSplit w:val="true"/>
        </w:trPr>
        <w:tc>
          <w:tcPr>
            <w:tcW w:type="dxa" w:w="2142"/>
            <w:shd w:val="clear" w:color="auto" w:fill="F3F6F8"/>
          </w:tcPr>
          <w:p>
            <w:pPr>
              <w:spacing w:after="0" w:line="240" w:lineRule="auto"/>
            </w:pPr>
            <w:r>
              <w:rPr>
                <w:sz w:val="17"/>
              </w:rPr>
              <w:t>CDM to ACME CAs</w:t>
            </w:r>
          </w:p>
        </w:tc>
        <w:tc>
          <w:tcPr>
            <w:tcW w:type="dxa" w:w="1499"/>
            <w:shd w:val="clear" w:color="auto" w:fill="F3F6F8"/>
          </w:tcPr>
          <w:p>
            <w:pPr>
              <w:spacing w:after="0" w:line="240" w:lineRule="auto"/>
            </w:pPr>
            <w:r>
              <w:rPr>
                <w:sz w:val="17"/>
              </w:rPr>
              <w:t>Instance or MID to CA</w:t>
            </w:r>
          </w:p>
        </w:tc>
        <w:tc>
          <w:tcPr>
            <w:tcW w:type="dxa" w:w="2998"/>
            <w:shd w:val="clear" w:color="auto" w:fill="F3F6F8"/>
          </w:tcPr>
          <w:p>
            <w:pPr>
              <w:spacing w:after="0" w:line="240" w:lineRule="auto"/>
            </w:pPr>
            <w:r>
              <w:rPr>
                <w:sz w:val="17"/>
              </w:rPr>
              <w:t>HTTPS, ACME RFC 8555</w:t>
            </w:r>
          </w:p>
        </w:tc>
        <w:tc>
          <w:tcPr>
            <w:tcW w:type="dxa" w:w="2998"/>
            <w:shd w:val="clear" w:color="auto" w:fill="F3F6F8"/>
          </w:tcPr>
          <w:p>
            <w:pPr>
              <w:spacing w:after="0" w:line="240" w:lineRule="auto"/>
            </w:pPr>
            <w:r>
              <w:rPr>
                <w:sz w:val="17"/>
              </w:rPr>
              <w:t>HTTP-01 or DNS-01 challenge.</w:t>
            </w:r>
          </w:p>
        </w:tc>
      </w:tr>
      <w:tr>
        <w:trPr>
          <w:cantSplit w:val="true"/>
        </w:trPr>
        <w:tc>
          <w:tcPr>
            <w:tcW w:type="dxa" w:w="2142"/>
          </w:tcPr>
          <w:p>
            <w:pPr>
              <w:spacing w:after="0" w:line="240" w:lineRule="auto"/>
            </w:pPr>
            <w:r>
              <w:rPr>
                <w:sz w:val="17"/>
              </w:rPr>
              <w:t>MID to Windows target</w:t>
            </w:r>
          </w:p>
        </w:tc>
        <w:tc>
          <w:tcPr>
            <w:tcW w:type="dxa" w:w="1499"/>
          </w:tcPr>
          <w:p>
            <w:pPr>
              <w:spacing w:after="0" w:line="240" w:lineRule="auto"/>
            </w:pPr>
            <w:r>
              <w:rPr>
                <w:sz w:val="17"/>
              </w:rPr>
              <w:t>MID to target</w:t>
            </w:r>
          </w:p>
        </w:tc>
        <w:tc>
          <w:tcPr>
            <w:tcW w:type="dxa" w:w="2998"/>
          </w:tcPr>
          <w:p>
            <w:pPr>
              <w:spacing w:after="0" w:line="240" w:lineRule="auto"/>
            </w:pPr>
            <w:r>
              <w:rPr>
                <w:sz w:val="17"/>
              </w:rPr>
              <w:t>WinRM over HTTPS or Kerberos</w:t>
            </w:r>
          </w:p>
        </w:tc>
        <w:tc>
          <w:tcPr>
            <w:tcW w:type="dxa" w:w="2998"/>
          </w:tcPr>
          <w:p>
            <w:pPr>
              <w:spacing w:after="0" w:line="240" w:lineRule="auto"/>
            </w:pPr>
            <w:r>
              <w:rPr>
                <w:sz w:val="17"/>
              </w:rPr>
              <w:t>JEA constrained endpoint preferred.</w:t>
            </w:r>
          </w:p>
        </w:tc>
      </w:tr>
      <w:tr>
        <w:trPr>
          <w:cantSplit w:val="true"/>
        </w:trPr>
        <w:tc>
          <w:tcPr>
            <w:tcW w:type="dxa" w:w="2142"/>
            <w:shd w:val="clear" w:color="auto" w:fill="F3F6F8"/>
          </w:tcPr>
          <w:p>
            <w:pPr>
              <w:spacing w:after="0" w:line="240" w:lineRule="auto"/>
            </w:pPr>
            <w:r>
              <w:rPr>
                <w:sz w:val="17"/>
              </w:rPr>
              <w:t>MID to Linux target</w:t>
            </w:r>
          </w:p>
        </w:tc>
        <w:tc>
          <w:tcPr>
            <w:tcW w:type="dxa" w:w="1499"/>
            <w:shd w:val="clear" w:color="auto" w:fill="F3F6F8"/>
          </w:tcPr>
          <w:p>
            <w:pPr>
              <w:spacing w:after="0" w:line="240" w:lineRule="auto"/>
            </w:pPr>
            <w:r>
              <w:rPr>
                <w:sz w:val="17"/>
              </w:rPr>
              <w:t>MID to target</w:t>
            </w:r>
          </w:p>
        </w:tc>
        <w:tc>
          <w:tcPr>
            <w:tcW w:type="dxa" w:w="2998"/>
            <w:shd w:val="clear" w:color="auto" w:fill="F3F6F8"/>
          </w:tcPr>
          <w:p>
            <w:pPr>
              <w:spacing w:after="0" w:line="240" w:lineRule="auto"/>
            </w:pPr>
            <w:r>
              <w:rPr>
                <w:sz w:val="17"/>
              </w:rPr>
              <w:t>SSH with signed certificates</w:t>
            </w:r>
          </w:p>
        </w:tc>
        <w:tc>
          <w:tcPr>
            <w:tcW w:type="dxa" w:w="2998"/>
            <w:shd w:val="clear" w:color="auto" w:fill="F3F6F8"/>
          </w:tcPr>
          <w:p>
            <w:pPr>
              <w:spacing w:after="0" w:line="240" w:lineRule="auto"/>
            </w:pPr>
            <w:r>
              <w:rPr>
                <w:sz w:val="17"/>
              </w:rPr>
              <w:t>Restricted sudo commands.</w:t>
            </w:r>
          </w:p>
        </w:tc>
      </w:tr>
      <w:tr>
        <w:trPr>
          <w:cantSplit w:val="true"/>
        </w:trPr>
        <w:tc>
          <w:tcPr>
            <w:tcW w:type="dxa" w:w="2142"/>
          </w:tcPr>
          <w:p>
            <w:pPr>
              <w:spacing w:after="0" w:line="240" w:lineRule="auto"/>
            </w:pPr>
            <w:r>
              <w:rPr>
                <w:sz w:val="17"/>
              </w:rPr>
              <w:t>MID to Kubernetes</w:t>
            </w:r>
          </w:p>
        </w:tc>
        <w:tc>
          <w:tcPr>
            <w:tcW w:type="dxa" w:w="1499"/>
          </w:tcPr>
          <w:p>
            <w:pPr>
              <w:spacing w:after="0" w:line="240" w:lineRule="auto"/>
            </w:pPr>
            <w:r>
              <w:rPr>
                <w:sz w:val="17"/>
              </w:rPr>
              <w:t>MID to API server</w:t>
            </w:r>
          </w:p>
        </w:tc>
        <w:tc>
          <w:tcPr>
            <w:tcW w:type="dxa" w:w="2998"/>
          </w:tcPr>
          <w:p>
            <w:pPr>
              <w:spacing w:after="0" w:line="240" w:lineRule="auto"/>
            </w:pPr>
            <w:r>
              <w:rPr>
                <w:sz w:val="17"/>
              </w:rPr>
              <w:t>HTTPS with ServiceAccount token</w:t>
            </w:r>
          </w:p>
        </w:tc>
        <w:tc>
          <w:tcPr>
            <w:tcW w:type="dxa" w:w="2998"/>
          </w:tcPr>
          <w:p>
            <w:pPr>
              <w:spacing w:after="0" w:line="240" w:lineRule="auto"/>
            </w:pPr>
            <w:r>
              <w:rPr>
                <w:sz w:val="17"/>
              </w:rPr>
              <w:t>Namespaced RBAC.</w:t>
            </w:r>
          </w:p>
        </w:tc>
      </w:tr>
      <w:tr>
        <w:trPr>
          <w:cantSplit w:val="true"/>
        </w:trPr>
        <w:tc>
          <w:tcPr>
            <w:tcW w:type="dxa" w:w="2142"/>
            <w:shd w:val="clear" w:color="auto" w:fill="F3F6F8"/>
          </w:tcPr>
          <w:p>
            <w:pPr>
              <w:spacing w:after="0" w:line="240" w:lineRule="auto"/>
            </w:pPr>
            <w:r>
              <w:rPr>
                <w:sz w:val="17"/>
              </w:rPr>
              <w:t>CDM to MDM</w:t>
            </w:r>
          </w:p>
        </w:tc>
        <w:tc>
          <w:tcPr>
            <w:tcW w:type="dxa" w:w="1499"/>
            <w:shd w:val="clear" w:color="auto" w:fill="F3F6F8"/>
          </w:tcPr>
          <w:p>
            <w:pPr>
              <w:spacing w:after="0" w:line="240" w:lineRule="auto"/>
            </w:pPr>
            <w:r>
              <w:rPr>
                <w:sz w:val="17"/>
              </w:rPr>
              <w:t>Instance or MID to MDM</w:t>
            </w:r>
          </w:p>
        </w:tc>
        <w:tc>
          <w:tcPr>
            <w:tcW w:type="dxa" w:w="2998"/>
            <w:shd w:val="clear" w:color="auto" w:fill="F3F6F8"/>
          </w:tcPr>
          <w:p>
            <w:pPr>
              <w:spacing w:after="0" w:line="240" w:lineRule="auto"/>
            </w:pPr>
            <w:r>
              <w:rPr>
                <w:sz w:val="17"/>
              </w:rPr>
              <w:t>HTTPS REST with API client</w:t>
            </w:r>
          </w:p>
        </w:tc>
        <w:tc>
          <w:tcPr>
            <w:tcW w:type="dxa" w:w="2998"/>
            <w:shd w:val="clear" w:color="auto" w:fill="F3F6F8"/>
          </w:tcPr>
          <w:p>
            <w:pPr>
              <w:spacing w:after="0" w:line="240" w:lineRule="auto"/>
            </w:pPr>
            <w:r>
              <w:rPr>
                <w:sz w:val="17"/>
              </w:rPr>
              <w:t>Profile assignment and inventory.</w:t>
            </w:r>
          </w:p>
        </w:tc>
      </w:tr>
      <w:tr>
        <w:trPr>
          <w:cantSplit w:val="true"/>
        </w:trPr>
        <w:tc>
          <w:tcPr>
            <w:tcW w:type="dxa" w:w="2142"/>
          </w:tcPr>
          <w:p>
            <w:pPr>
              <w:spacing w:after="0" w:line="240" w:lineRule="auto"/>
            </w:pPr>
            <w:r>
              <w:rPr>
                <w:sz w:val="17"/>
              </w:rPr>
              <w:t>MID to load balancer</w:t>
            </w:r>
          </w:p>
        </w:tc>
        <w:tc>
          <w:tcPr>
            <w:tcW w:type="dxa" w:w="1499"/>
          </w:tcPr>
          <w:p>
            <w:pPr>
              <w:spacing w:after="0" w:line="240" w:lineRule="auto"/>
            </w:pPr>
            <w:r>
              <w:rPr>
                <w:sz w:val="17"/>
              </w:rPr>
              <w:t>MID to device</w:t>
            </w:r>
          </w:p>
        </w:tc>
        <w:tc>
          <w:tcPr>
            <w:tcW w:type="dxa" w:w="2998"/>
          </w:tcPr>
          <w:p>
            <w:pPr>
              <w:spacing w:after="0" w:line="240" w:lineRule="auto"/>
            </w:pPr>
            <w:r>
              <w:rPr>
                <w:sz w:val="17"/>
              </w:rPr>
              <w:t>HTTPS REST (iControl, NITRO)</w:t>
            </w:r>
          </w:p>
        </w:tc>
        <w:tc>
          <w:tcPr>
            <w:tcW w:type="dxa" w:w="2998"/>
          </w:tcPr>
          <w:p>
            <w:pPr>
              <w:spacing w:after="0" w:line="240" w:lineRule="auto"/>
            </w:pPr>
            <w:r>
              <w:rPr>
                <w:sz w:val="17"/>
              </w:rPr>
              <w:t>Token from the vault.</w:t>
            </w:r>
          </w:p>
        </w:tc>
      </w:tr>
      <w:tr>
        <w:trPr>
          <w:cantSplit w:val="true"/>
        </w:trPr>
        <w:tc>
          <w:tcPr>
            <w:tcW w:type="dxa" w:w="2142"/>
            <w:shd w:val="clear" w:color="auto" w:fill="F3F6F8"/>
          </w:tcPr>
          <w:p>
            <w:pPr>
              <w:spacing w:after="0" w:line="240" w:lineRule="auto"/>
            </w:pPr>
            <w:r>
              <w:rPr>
                <w:sz w:val="17"/>
              </w:rPr>
              <w:t>CDM to SIEM</w:t>
            </w:r>
          </w:p>
        </w:tc>
        <w:tc>
          <w:tcPr>
            <w:tcW w:type="dxa" w:w="1499"/>
            <w:shd w:val="clear" w:color="auto" w:fill="F3F6F8"/>
          </w:tcPr>
          <w:p>
            <w:pPr>
              <w:spacing w:after="0" w:line="240" w:lineRule="auto"/>
            </w:pPr>
            <w:r>
              <w:rPr>
                <w:sz w:val="17"/>
              </w:rPr>
              <w:t>Instance to SIEM</w:t>
            </w:r>
          </w:p>
        </w:tc>
        <w:tc>
          <w:tcPr>
            <w:tcW w:type="dxa" w:w="2998"/>
            <w:shd w:val="clear" w:color="auto" w:fill="F3F6F8"/>
          </w:tcPr>
          <w:p>
            <w:pPr>
              <w:spacing w:after="0" w:line="240" w:lineRule="auto"/>
            </w:pPr>
            <w:r>
              <w:rPr>
                <w:sz w:val="17"/>
              </w:rPr>
              <w:t>Syslog over TLS or HTTPS</w:t>
            </w:r>
          </w:p>
        </w:tc>
        <w:tc>
          <w:tcPr>
            <w:tcW w:type="dxa" w:w="2998"/>
            <w:shd w:val="clear" w:color="auto" w:fill="F3F6F8"/>
          </w:tcPr>
          <w:p>
            <w:pPr>
              <w:spacing w:after="0" w:line="240" w:lineRule="auto"/>
            </w:pPr>
            <w:r>
              <w:rPr>
                <w:sz w:val="17"/>
              </w:rPr>
              <w:t>Audit stream.</w:t>
            </w:r>
          </w:p>
        </w:tc>
      </w:tr>
      <w:tr>
        <w:trPr>
          <w:cantSplit w:val="true"/>
        </w:trPr>
        <w:tc>
          <w:tcPr>
            <w:tcW w:type="dxa" w:w="2142"/>
          </w:tcPr>
          <w:p>
            <w:pPr>
              <w:spacing w:after="0" w:line="240" w:lineRule="auto"/>
            </w:pPr>
            <w:r>
              <w:rPr>
                <w:sz w:val="17"/>
              </w:rPr>
              <w:t>CDM to ITSM</w:t>
            </w:r>
          </w:p>
        </w:tc>
        <w:tc>
          <w:tcPr>
            <w:tcW w:type="dxa" w:w="1499"/>
          </w:tcPr>
          <w:p>
            <w:pPr>
              <w:spacing w:after="0" w:line="240" w:lineRule="auto"/>
            </w:pPr>
            <w:r>
              <w:rPr>
                <w:sz w:val="17"/>
              </w:rPr>
              <w:t>Inside ServiceNow</w:t>
            </w:r>
          </w:p>
        </w:tc>
        <w:tc>
          <w:tcPr>
            <w:tcW w:type="dxa" w:w="2998"/>
          </w:tcPr>
          <w:p>
            <w:pPr>
              <w:spacing w:after="0" w:line="240" w:lineRule="auto"/>
            </w:pPr>
            <w:r>
              <w:rPr>
                <w:sz w:val="17"/>
              </w:rPr>
              <w:t>Native</w:t>
            </w:r>
          </w:p>
        </w:tc>
        <w:tc>
          <w:tcPr>
            <w:tcW w:type="dxa" w:w="2998"/>
          </w:tcPr>
          <w:p>
            <w:pPr>
              <w:spacing w:after="0" w:line="240" w:lineRule="auto"/>
            </w:pPr>
            <w:r>
              <w:rPr>
                <w:sz w:val="17"/>
              </w:rPr>
              <w:t>Change, incident, task.</w:t>
            </w:r>
          </w:p>
        </w:tc>
      </w:tr>
      <w:tr>
        <w:trPr>
          <w:cantSplit w:val="true"/>
        </w:trPr>
        <w:tc>
          <w:tcPr>
            <w:tcW w:type="dxa" w:w="2142"/>
            <w:shd w:val="clear" w:color="auto" w:fill="F3F6F8"/>
          </w:tcPr>
          <w:p>
            <w:pPr>
              <w:spacing w:after="0" w:line="240" w:lineRule="auto"/>
            </w:pPr>
            <w:r>
              <w:rPr>
                <w:sz w:val="17"/>
              </w:rPr>
              <w:t>Users to CDM</w:t>
            </w:r>
          </w:p>
        </w:tc>
        <w:tc>
          <w:tcPr>
            <w:tcW w:type="dxa" w:w="1499"/>
            <w:shd w:val="clear" w:color="auto" w:fill="F3F6F8"/>
          </w:tcPr>
          <w:p>
            <w:pPr>
              <w:spacing w:after="0" w:line="240" w:lineRule="auto"/>
            </w:pPr>
            <w:r>
              <w:rPr>
                <w:sz w:val="17"/>
              </w:rPr>
              <w:t>Browser</w:t>
            </w:r>
          </w:p>
        </w:tc>
        <w:tc>
          <w:tcPr>
            <w:tcW w:type="dxa" w:w="2998"/>
            <w:shd w:val="clear" w:color="auto" w:fill="F3F6F8"/>
          </w:tcPr>
          <w:p>
            <w:pPr>
              <w:spacing w:after="0" w:line="240" w:lineRule="auto"/>
            </w:pPr>
            <w:r>
              <w:rPr>
                <w:sz w:val="17"/>
              </w:rPr>
              <w:t>HTTPS; SSO with MFA</w:t>
            </w:r>
          </w:p>
        </w:tc>
        <w:tc>
          <w:tcPr>
            <w:tcW w:type="dxa" w:w="2998"/>
            <w:shd w:val="clear" w:color="auto" w:fill="F3F6F8"/>
          </w:tcPr>
          <w:p>
            <w:pPr>
              <w:spacing w:after="0" w:line="240" w:lineRule="auto"/>
            </w:pPr>
            <w:r>
              <w:rPr>
                <w:sz w:val="17"/>
              </w:rPr>
              <w:t>Catalog, workspace, dashboards.</w:t>
            </w:r>
          </w:p>
        </w:tc>
      </w:tr>
    </w:tbl>
    <w:p>
      <w:pPr>
        <w:spacing w:after="40"/>
      </w:pPr>
    </w:p>
    <w:p>
      <w:pPr>
        <w:pStyle w:val="Heading1"/>
        <w:pBdr>
          <w:bottom w:val="single" w:sz="8" w:space="2" w:color="2E7D32"/>
        </w:pBdr>
      </w:pPr>
      <w:r>
        <w:t>10. Security and threat model</w:t>
      </w:r>
    </w:p>
    <w:p>
      <w:r>
        <w:t>The security design follows Figure 4. The main threats and their mitigations: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2409"/>
        <w:gridCol w:w="2409"/>
        <w:gridCol w:w="2409"/>
        <w:gridCol w:w="2409"/>
      </w:tblGrid>
      <w:tr>
        <w:trPr>
          <w:tblHeader w:val="true"/>
        </w:trPr>
        <w:tc>
          <w:tcPr>
            <w:tcW w:type="dxa" w:w="428"/>
            <w:shd w:val="clear" w:color="auto" w:fill="1F2D3D"/>
          </w:tcPr>
          <w:p>
            <w:pPr>
              <w:spacing w:after="0"/>
            </w:pPr>
            <w:r>
              <w:rPr>
                <w:b/>
                <w:color w:val="FFFFFF"/>
                <w:sz w:val="17"/>
              </w:rPr>
              <w:t>#</w:t>
            </w:r>
          </w:p>
        </w:tc>
        <w:tc>
          <w:tcPr>
            <w:tcW w:type="dxa" w:w="2570"/>
            <w:shd w:val="clear" w:color="auto" w:fill="1F2D3D"/>
          </w:tcPr>
          <w:p>
            <w:pPr>
              <w:spacing w:after="0"/>
            </w:pPr>
            <w:r>
              <w:rPr>
                <w:b/>
                <w:color w:val="FFFFFF"/>
                <w:sz w:val="17"/>
              </w:rPr>
              <w:t>Threat</w:t>
            </w:r>
          </w:p>
        </w:tc>
        <w:tc>
          <w:tcPr>
            <w:tcW w:type="dxa" w:w="4712"/>
            <w:shd w:val="clear" w:color="auto" w:fill="1F2D3D"/>
          </w:tcPr>
          <w:p>
            <w:pPr>
              <w:spacing w:after="0"/>
            </w:pPr>
            <w:r>
              <w:rPr>
                <w:b/>
                <w:color w:val="FFFFFF"/>
                <w:sz w:val="17"/>
              </w:rPr>
              <w:t>Mitigation</w:t>
            </w:r>
          </w:p>
        </w:tc>
        <w:tc>
          <w:tcPr>
            <w:tcW w:type="dxa" w:w="1928"/>
            <w:shd w:val="clear" w:color="auto" w:fill="1F2D3D"/>
          </w:tcPr>
          <w:p>
            <w:pPr>
              <w:spacing w:after="0"/>
            </w:pPr>
            <w:r>
              <w:rPr>
                <w:b/>
                <w:color w:val="FFFFFF"/>
                <w:sz w:val="17"/>
              </w:rPr>
              <w:t>Requirements</w:t>
            </w:r>
          </w:p>
        </w:tc>
      </w:tr>
      <w:tr>
        <w:trPr>
          <w:cantSplit w:val="true"/>
        </w:trPr>
        <w:tc>
          <w:tcPr>
            <w:tcW w:type="dxa" w:w="428"/>
          </w:tcPr>
          <w:p>
            <w:pPr>
              <w:spacing w:after="0" w:line="240" w:lineRule="auto"/>
            </w:pPr>
            <w:r>
              <w:rPr>
                <w:b/>
                <w:sz w:val="17"/>
              </w:rPr>
              <w:t>T1</w:t>
            </w:r>
          </w:p>
        </w:tc>
        <w:tc>
          <w:tcPr>
            <w:tcW w:type="dxa" w:w="2570"/>
          </w:tcPr>
          <w:p>
            <w:pPr>
              <w:spacing w:after="0" w:line="240" w:lineRule="auto"/>
            </w:pPr>
            <w:r>
              <w:rPr>
                <w:sz w:val="17"/>
              </w:rPr>
              <w:t>Stolen credentials from a MID Server or script</w:t>
            </w:r>
          </w:p>
        </w:tc>
        <w:tc>
          <w:tcPr>
            <w:tcW w:type="dxa" w:w="4712"/>
          </w:tcPr>
          <w:p>
            <w:pPr>
              <w:spacing w:after="0" w:line="240" w:lineRule="auto"/>
            </w:pPr>
            <w:r>
              <w:rPr>
                <w:sz w:val="17"/>
              </w:rPr>
              <w:t>Vault JIT secrets, per-zone accounts, 15-minute TTL, no secrets in scripts or variables</w:t>
            </w:r>
          </w:p>
        </w:tc>
        <w:tc>
          <w:tcPr>
            <w:tcW w:type="dxa" w:w="1928"/>
          </w:tcPr>
          <w:p>
            <w:pPr>
              <w:spacing w:after="0" w:line="240" w:lineRule="auto"/>
            </w:pPr>
            <w:r>
              <w:rPr>
                <w:sz w:val="17"/>
              </w:rPr>
              <w:t>NFR-SEC-04, FR-CA-003</w:t>
            </w:r>
          </w:p>
        </w:tc>
      </w:tr>
      <w:tr>
        <w:trPr>
          <w:cantSplit w:val="true"/>
        </w:trPr>
        <w:tc>
          <w:tcPr>
            <w:tcW w:type="dxa" w:w="428"/>
            <w:shd w:val="clear" w:color="auto" w:fill="F3F6F8"/>
          </w:tcPr>
          <w:p>
            <w:pPr>
              <w:spacing w:after="0" w:line="240" w:lineRule="auto"/>
            </w:pPr>
            <w:r>
              <w:rPr>
                <w:b/>
                <w:sz w:val="17"/>
              </w:rPr>
              <w:t>T2</w:t>
            </w:r>
          </w:p>
        </w:tc>
        <w:tc>
          <w:tcPr>
            <w:tcW w:type="dxa" w:w="2570"/>
            <w:shd w:val="clear" w:color="auto" w:fill="F3F6F8"/>
          </w:tcPr>
          <w:p>
            <w:pPr>
              <w:spacing w:after="0" w:line="240" w:lineRule="auto"/>
            </w:pPr>
            <w:r>
              <w:rPr>
                <w:sz w:val="17"/>
              </w:rPr>
              <w:t>Modified or malicious adapter script</w:t>
            </w:r>
          </w:p>
        </w:tc>
        <w:tc>
          <w:tcPr>
            <w:tcW w:type="dxa" w:w="4712"/>
            <w:shd w:val="clear" w:color="auto" w:fill="F3F6F8"/>
          </w:tcPr>
          <w:p>
            <w:pPr>
              <w:spacing w:after="0" w:line="240" w:lineRule="auto"/>
            </w:pPr>
            <w:r>
              <w:rPr>
                <w:sz w:val="17"/>
              </w:rPr>
              <w:t>Signed, allow-listed, version-controlled adapters; four-eyes approval</w:t>
            </w:r>
          </w:p>
        </w:tc>
        <w:tc>
          <w:tcPr>
            <w:tcW w:type="dxa" w:w="1928"/>
            <w:shd w:val="clear" w:color="auto" w:fill="F3F6F8"/>
          </w:tcPr>
          <w:p>
            <w:pPr>
              <w:spacing w:after="0" w:line="240" w:lineRule="auto"/>
            </w:pPr>
            <w:r>
              <w:rPr>
                <w:sz w:val="17"/>
              </w:rPr>
              <w:t>FR-ADP-002 to 005, NFR-SEC-03</w:t>
            </w:r>
          </w:p>
        </w:tc>
      </w:tr>
      <w:tr>
        <w:trPr>
          <w:cantSplit w:val="true"/>
        </w:trPr>
        <w:tc>
          <w:tcPr>
            <w:tcW w:type="dxa" w:w="428"/>
          </w:tcPr>
          <w:p>
            <w:pPr>
              <w:spacing w:after="0" w:line="240" w:lineRule="auto"/>
            </w:pPr>
            <w:r>
              <w:rPr>
                <w:b/>
                <w:sz w:val="17"/>
              </w:rPr>
              <w:t>T3</w:t>
            </w:r>
          </w:p>
        </w:tc>
        <w:tc>
          <w:tcPr>
            <w:tcW w:type="dxa" w:w="2570"/>
          </w:tcPr>
          <w:p>
            <w:pPr>
              <w:spacing w:after="0" w:line="240" w:lineRule="auto"/>
            </w:pPr>
            <w:r>
              <w:rPr>
                <w:sz w:val="17"/>
              </w:rPr>
              <w:t>Private key exposure in transit, logs or storage</w:t>
            </w:r>
          </w:p>
        </w:tc>
        <w:tc>
          <w:tcPr>
            <w:tcW w:type="dxa" w:w="4712"/>
          </w:tcPr>
          <w:p>
            <w:pPr>
              <w:spacing w:after="0" w:line="240" w:lineRule="auto"/>
            </w:pPr>
            <w:r>
              <w:rPr>
                <w:sz w:val="17"/>
              </w:rPr>
              <w:t>Key generated on target; no key in payloads; log redaction; encrypted short-lived temp storage where unavoidable</w:t>
            </w:r>
          </w:p>
        </w:tc>
        <w:tc>
          <w:tcPr>
            <w:tcW w:type="dxa" w:w="1928"/>
          </w:tcPr>
          <w:p>
            <w:pPr>
              <w:spacing w:after="0" w:line="240" w:lineRule="auto"/>
            </w:pPr>
            <w:r>
              <w:rPr>
                <w:sz w:val="17"/>
              </w:rPr>
              <w:t>FR-KEY-001 to 003, NFR-SEC-05</w:t>
            </w:r>
          </w:p>
        </w:tc>
      </w:tr>
      <w:tr>
        <w:trPr>
          <w:cantSplit w:val="true"/>
        </w:trPr>
        <w:tc>
          <w:tcPr>
            <w:tcW w:type="dxa" w:w="428"/>
            <w:shd w:val="clear" w:color="auto" w:fill="F3F6F8"/>
          </w:tcPr>
          <w:p>
            <w:pPr>
              <w:spacing w:after="0" w:line="240" w:lineRule="auto"/>
            </w:pPr>
            <w:r>
              <w:rPr>
                <w:b/>
                <w:sz w:val="17"/>
              </w:rPr>
              <w:t>T4</w:t>
            </w:r>
          </w:p>
        </w:tc>
        <w:tc>
          <w:tcPr>
            <w:tcW w:type="dxa" w:w="2570"/>
            <w:shd w:val="clear" w:color="auto" w:fill="F3F6F8"/>
          </w:tcPr>
          <w:p>
            <w:pPr>
              <w:spacing w:after="0" w:line="240" w:lineRule="auto"/>
            </w:pPr>
            <w:r>
              <w:rPr>
                <w:sz w:val="17"/>
              </w:rPr>
              <w:t>Unauthorised or wrongful certificate issuance</w:t>
            </w:r>
          </w:p>
        </w:tc>
        <w:tc>
          <w:tcPr>
            <w:tcW w:type="dxa" w:w="4712"/>
            <w:shd w:val="clear" w:color="auto" w:fill="F3F6F8"/>
          </w:tcPr>
          <w:p>
            <w:pPr>
              <w:spacing w:after="0" w:line="240" w:lineRule="auto"/>
            </w:pPr>
            <w:r>
              <w:rPr>
                <w:sz w:val="17"/>
              </w:rPr>
              <w:t>Policy checks, approvals, domain allow-lists, CA-side validation, segregation of duties</w:t>
            </w:r>
          </w:p>
        </w:tc>
        <w:tc>
          <w:tcPr>
            <w:tcW w:type="dxa" w:w="1928"/>
            <w:shd w:val="clear" w:color="auto" w:fill="F3F6F8"/>
          </w:tcPr>
          <w:p>
            <w:pPr>
              <w:spacing w:after="0" w:line="240" w:lineRule="auto"/>
            </w:pPr>
            <w:r>
              <w:rPr>
                <w:sz w:val="17"/>
              </w:rPr>
              <w:t>FR-REQ-002, 003, FR-ADM-001</w:t>
            </w:r>
          </w:p>
        </w:tc>
      </w:tr>
      <w:tr>
        <w:trPr>
          <w:cantSplit w:val="true"/>
        </w:trPr>
        <w:tc>
          <w:tcPr>
            <w:tcW w:type="dxa" w:w="428"/>
          </w:tcPr>
          <w:p>
            <w:pPr>
              <w:spacing w:after="0" w:line="240" w:lineRule="auto"/>
            </w:pPr>
            <w:r>
              <w:rPr>
                <w:b/>
                <w:sz w:val="17"/>
              </w:rPr>
              <w:t>T5</w:t>
            </w:r>
          </w:p>
        </w:tc>
        <w:tc>
          <w:tcPr>
            <w:tcW w:type="dxa" w:w="2570"/>
          </w:tcPr>
          <w:p>
            <w:pPr>
              <w:spacing w:after="0" w:line="240" w:lineRule="auto"/>
            </w:pPr>
            <w:r>
              <w:rPr>
                <w:sz w:val="17"/>
              </w:rPr>
              <w:t>Compromised MID Server used to pivot</w:t>
            </w:r>
          </w:p>
        </w:tc>
        <w:tc>
          <w:tcPr>
            <w:tcW w:type="dxa" w:w="4712"/>
          </w:tcPr>
          <w:p>
            <w:pPr>
              <w:spacing w:after="0" w:line="240" w:lineRule="auto"/>
            </w:pPr>
            <w:r>
              <w:rPr>
                <w:sz w:val="17"/>
              </w:rPr>
              <w:t>Outbound-only, zone segmentation, egress allow-list, hardening, minimal privilege</w:t>
            </w:r>
          </w:p>
        </w:tc>
        <w:tc>
          <w:tcPr>
            <w:tcW w:type="dxa" w:w="1928"/>
          </w:tcPr>
          <w:p>
            <w:pPr>
              <w:spacing w:after="0" w:line="240" w:lineRule="auto"/>
            </w:pPr>
            <w:r>
              <w:rPr>
                <w:sz w:val="17"/>
              </w:rPr>
              <w:t>NFR-SEC-02, FR-ORC-004</w:t>
            </w:r>
          </w:p>
        </w:tc>
      </w:tr>
      <w:tr>
        <w:trPr>
          <w:cantSplit w:val="true"/>
        </w:trPr>
        <w:tc>
          <w:tcPr>
            <w:tcW w:type="dxa" w:w="428"/>
            <w:shd w:val="clear" w:color="auto" w:fill="F3F6F8"/>
          </w:tcPr>
          <w:p>
            <w:pPr>
              <w:spacing w:after="0" w:line="240" w:lineRule="auto"/>
            </w:pPr>
            <w:r>
              <w:rPr>
                <w:b/>
                <w:sz w:val="17"/>
              </w:rPr>
              <w:t>T6</w:t>
            </w:r>
          </w:p>
        </w:tc>
        <w:tc>
          <w:tcPr>
            <w:tcW w:type="dxa" w:w="2570"/>
            <w:shd w:val="clear" w:color="auto" w:fill="F3F6F8"/>
          </w:tcPr>
          <w:p>
            <w:pPr>
              <w:spacing w:after="0" w:line="240" w:lineRule="auto"/>
            </w:pPr>
            <w:r>
              <w:rPr>
                <w:sz w:val="17"/>
              </w:rPr>
              <w:t>Wrong certificate deployed or service broken</w:t>
            </w:r>
          </w:p>
        </w:tc>
        <w:tc>
          <w:tcPr>
            <w:tcW w:type="dxa" w:w="4712"/>
            <w:shd w:val="clear" w:color="auto" w:fill="F3F6F8"/>
          </w:tcPr>
          <w:p>
            <w:pPr>
              <w:spacing w:after="0" w:line="240" w:lineRule="auto"/>
            </w:pPr>
            <w:r>
              <w:rPr>
                <w:sz w:val="17"/>
              </w:rPr>
              <w:t>Name check, pre-check, backup, live verification, automatic rollback</w:t>
            </w:r>
          </w:p>
        </w:tc>
        <w:tc>
          <w:tcPr>
            <w:tcW w:type="dxa" w:w="1928"/>
            <w:shd w:val="clear" w:color="auto" w:fill="F3F6F8"/>
          </w:tcPr>
          <w:p>
            <w:pPr>
              <w:spacing w:after="0" w:line="240" w:lineRule="auto"/>
            </w:pPr>
            <w:r>
              <w:rPr>
                <w:sz w:val="17"/>
              </w:rPr>
              <w:t>FR-SAF-001 to 005, 010</w:t>
            </w:r>
          </w:p>
        </w:tc>
      </w:tr>
      <w:tr>
        <w:trPr>
          <w:cantSplit w:val="true"/>
        </w:trPr>
        <w:tc>
          <w:tcPr>
            <w:tcW w:type="dxa" w:w="428"/>
          </w:tcPr>
          <w:p>
            <w:pPr>
              <w:spacing w:after="0" w:line="240" w:lineRule="auto"/>
            </w:pPr>
            <w:r>
              <w:rPr>
                <w:b/>
                <w:sz w:val="17"/>
              </w:rPr>
              <w:t>T7</w:t>
            </w:r>
          </w:p>
        </w:tc>
        <w:tc>
          <w:tcPr>
            <w:tcW w:type="dxa" w:w="2570"/>
          </w:tcPr>
          <w:p>
            <w:pPr>
              <w:spacing w:after="0" w:line="240" w:lineRule="auto"/>
            </w:pPr>
            <w:r>
              <w:rPr>
                <w:sz w:val="17"/>
              </w:rPr>
              <w:t>Job payload tampering or replay</w:t>
            </w:r>
          </w:p>
        </w:tc>
        <w:tc>
          <w:tcPr>
            <w:tcW w:type="dxa" w:w="4712"/>
          </w:tcPr>
          <w:p>
            <w:pPr>
              <w:spacing w:after="0" w:line="240" w:lineRule="auto"/>
            </w:pPr>
            <w:r>
              <w:rPr>
                <w:sz w:val="17"/>
              </w:rPr>
              <w:t>Signed job payloads; MID validates signature and adapter hash; nonce and expiry</w:t>
            </w:r>
          </w:p>
        </w:tc>
        <w:tc>
          <w:tcPr>
            <w:tcW w:type="dxa" w:w="1928"/>
          </w:tcPr>
          <w:p>
            <w:pPr>
              <w:spacing w:after="0" w:line="240" w:lineRule="auto"/>
            </w:pPr>
            <w:r>
              <w:rPr>
                <w:sz w:val="17"/>
              </w:rPr>
              <w:t>FR-ADP-002, NFR-SEC-03</w:t>
            </w:r>
          </w:p>
        </w:tc>
      </w:tr>
      <w:tr>
        <w:trPr>
          <w:cantSplit w:val="true"/>
        </w:trPr>
        <w:tc>
          <w:tcPr>
            <w:tcW w:type="dxa" w:w="428"/>
            <w:shd w:val="clear" w:color="auto" w:fill="F3F6F8"/>
          </w:tcPr>
          <w:p>
            <w:pPr>
              <w:spacing w:after="0" w:line="240" w:lineRule="auto"/>
            </w:pPr>
            <w:r>
              <w:rPr>
                <w:b/>
                <w:sz w:val="17"/>
              </w:rPr>
              <w:t>T8</w:t>
            </w:r>
          </w:p>
        </w:tc>
        <w:tc>
          <w:tcPr>
            <w:tcW w:type="dxa" w:w="2570"/>
            <w:shd w:val="clear" w:color="auto" w:fill="F3F6F8"/>
          </w:tcPr>
          <w:p>
            <w:pPr>
              <w:spacing w:after="0" w:line="240" w:lineRule="auto"/>
            </w:pPr>
            <w:r>
              <w:rPr>
                <w:sz w:val="17"/>
              </w:rPr>
              <w:t>Insider misuse</w:t>
            </w:r>
          </w:p>
        </w:tc>
        <w:tc>
          <w:tcPr>
            <w:tcW w:type="dxa" w:w="4712"/>
            <w:shd w:val="clear" w:color="auto" w:fill="F3F6F8"/>
          </w:tcPr>
          <w:p>
            <w:pPr>
              <w:spacing w:after="0" w:line="240" w:lineRule="auto"/>
            </w:pPr>
            <w:r>
              <w:rPr>
                <w:sz w:val="17"/>
              </w:rPr>
              <w:t>Segregation of duties, tamper-evident audit, time-boxed break-glass</w:t>
            </w:r>
          </w:p>
        </w:tc>
        <w:tc>
          <w:tcPr>
            <w:tcW w:type="dxa" w:w="1928"/>
            <w:shd w:val="clear" w:color="auto" w:fill="F3F6F8"/>
          </w:tcPr>
          <w:p>
            <w:pPr>
              <w:spacing w:after="0" w:line="240" w:lineRule="auto"/>
            </w:pPr>
            <w:r>
              <w:rPr>
                <w:sz w:val="17"/>
              </w:rPr>
              <w:t>FR-ADM-001, FR-RPT-002</w:t>
            </w:r>
          </w:p>
        </w:tc>
      </w:tr>
      <w:tr>
        <w:trPr>
          <w:cantSplit w:val="true"/>
        </w:trPr>
        <w:tc>
          <w:tcPr>
            <w:tcW w:type="dxa" w:w="428"/>
          </w:tcPr>
          <w:p>
            <w:pPr>
              <w:spacing w:after="0" w:line="240" w:lineRule="auto"/>
            </w:pPr>
            <w:r>
              <w:rPr>
                <w:b/>
                <w:sz w:val="17"/>
              </w:rPr>
              <w:t>T9</w:t>
            </w:r>
          </w:p>
        </w:tc>
        <w:tc>
          <w:tcPr>
            <w:tcW w:type="dxa" w:w="2570"/>
          </w:tcPr>
          <w:p>
            <w:pPr>
              <w:spacing w:after="0" w:line="240" w:lineRule="auto"/>
            </w:pPr>
            <w:r>
              <w:rPr>
                <w:sz w:val="17"/>
              </w:rPr>
              <w:t>CA or API outage</w:t>
            </w:r>
          </w:p>
        </w:tc>
        <w:tc>
          <w:tcPr>
            <w:tcW w:type="dxa" w:w="4712"/>
          </w:tcPr>
          <w:p>
            <w:pPr>
              <w:spacing w:after="0" w:line="240" w:lineRule="auto"/>
            </w:pPr>
            <w:r>
              <w:rPr>
                <w:sz w:val="17"/>
              </w:rPr>
              <w:t>Retry, back-off, 30-day renewal buffer, second CA option</w:t>
            </w:r>
          </w:p>
        </w:tc>
        <w:tc>
          <w:tcPr>
            <w:tcW w:type="dxa" w:w="1928"/>
          </w:tcPr>
          <w:p>
            <w:pPr>
              <w:spacing w:after="0" w:line="240" w:lineRule="auto"/>
            </w:pPr>
            <w:r>
              <w:rPr>
                <w:sz w:val="17"/>
              </w:rPr>
              <w:t>FR-CA-007, NFR-AVL-03</w:t>
            </w:r>
          </w:p>
        </w:tc>
      </w:tr>
      <w:tr>
        <w:trPr>
          <w:cantSplit w:val="true"/>
        </w:trPr>
        <w:tc>
          <w:tcPr>
            <w:tcW w:type="dxa" w:w="428"/>
            <w:shd w:val="clear" w:color="auto" w:fill="F3F6F8"/>
          </w:tcPr>
          <w:p>
            <w:pPr>
              <w:spacing w:after="0" w:line="240" w:lineRule="auto"/>
            </w:pPr>
            <w:r>
              <w:rPr>
                <w:b/>
                <w:sz w:val="17"/>
              </w:rPr>
              <w:t>T10</w:t>
            </w:r>
          </w:p>
        </w:tc>
        <w:tc>
          <w:tcPr>
            <w:tcW w:type="dxa" w:w="2570"/>
            <w:shd w:val="clear" w:color="auto" w:fill="F3F6F8"/>
          </w:tcPr>
          <w:p>
            <w:pPr>
              <w:spacing w:after="0" w:line="240" w:lineRule="auto"/>
            </w:pPr>
            <w:r>
              <w:rPr>
                <w:sz w:val="17"/>
              </w:rPr>
              <w:t>Mass renewal overload (for example after a CA incident)</w:t>
            </w:r>
          </w:p>
        </w:tc>
        <w:tc>
          <w:tcPr>
            <w:tcW w:type="dxa" w:w="4712"/>
            <w:shd w:val="clear" w:color="auto" w:fill="F3F6F8"/>
          </w:tcPr>
          <w:p>
            <w:pPr>
              <w:spacing w:after="0" w:line="240" w:lineRule="auto"/>
            </w:pPr>
            <w:r>
              <w:rPr>
                <w:sz w:val="17"/>
              </w:rPr>
              <w:t>Throttling, concurrency limits, staged rollout</w:t>
            </w:r>
          </w:p>
        </w:tc>
        <w:tc>
          <w:tcPr>
            <w:tcW w:type="dxa" w:w="1928"/>
            <w:shd w:val="clear" w:color="auto" w:fill="F3F6F8"/>
          </w:tcPr>
          <w:p>
            <w:pPr>
              <w:spacing w:after="0" w:line="240" w:lineRule="auto"/>
            </w:pPr>
            <w:r>
              <w:rPr>
                <w:sz w:val="17"/>
              </w:rPr>
              <w:t>FR-CA-009, FR-ORC-006, 009</w:t>
            </w:r>
          </w:p>
        </w:tc>
      </w:tr>
      <w:tr>
        <w:trPr>
          <w:cantSplit w:val="true"/>
        </w:trPr>
        <w:tc>
          <w:tcPr>
            <w:tcW w:type="dxa" w:w="428"/>
          </w:tcPr>
          <w:p>
            <w:pPr>
              <w:spacing w:after="0" w:line="240" w:lineRule="auto"/>
            </w:pPr>
            <w:r>
              <w:rPr>
                <w:b/>
                <w:sz w:val="17"/>
              </w:rPr>
              <w:t>T11</w:t>
            </w:r>
          </w:p>
        </w:tc>
        <w:tc>
          <w:tcPr>
            <w:tcW w:type="dxa" w:w="2570"/>
          </w:tcPr>
          <w:p>
            <w:pPr>
              <w:spacing w:after="0" w:line="240" w:lineRule="auto"/>
            </w:pPr>
            <w:r>
              <w:rPr>
                <w:sz w:val="17"/>
              </w:rPr>
              <w:t>Supply-chain compromise of adapter dependencies</w:t>
            </w:r>
          </w:p>
        </w:tc>
        <w:tc>
          <w:tcPr>
            <w:tcW w:type="dxa" w:w="4712"/>
          </w:tcPr>
          <w:p>
            <w:pPr>
              <w:spacing w:after="0" w:line="240" w:lineRule="auto"/>
            </w:pPr>
            <w:r>
              <w:rPr>
                <w:sz w:val="17"/>
              </w:rPr>
              <w:t>Pinned and scanned dependencies, signed builds</w:t>
            </w:r>
          </w:p>
        </w:tc>
        <w:tc>
          <w:tcPr>
            <w:tcW w:type="dxa" w:w="1928"/>
          </w:tcPr>
          <w:p>
            <w:pPr>
              <w:spacing w:after="0" w:line="240" w:lineRule="auto"/>
            </w:pPr>
            <w:r>
              <w:rPr>
                <w:sz w:val="17"/>
              </w:rPr>
              <w:t>FR-ADP-005</w:t>
            </w:r>
          </w:p>
        </w:tc>
      </w:tr>
    </w:tbl>
    <w:p>
      <w:pPr>
        <w:spacing w:after="40"/>
      </w:pPr>
    </w:p>
    <w:p>
      <w:pPr>
        <w:pStyle w:val="Heading1"/>
        <w:pBdr>
          <w:bottom w:val="single" w:sz="8" w:space="2" w:color="2E7D32"/>
        </w:pBdr>
      </w:pPr>
      <w:r>
        <w:t>11. From POC to production</w:t>
      </w:r>
    </w:p>
    <w:p>
      <w:pPr>
        <w:pStyle w:val="Heading2"/>
      </w:pPr>
      <w:r>
        <w:t>11.1 What the POC must still prove</w:t>
      </w:r>
    </w:p>
    <w:p>
      <w:r>
        <w:t>The POC remains useful as a low-cost proof of the flow. To make it prove the right things, adjust it as follows before or during Phase 1.</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5877"/>
            <w:shd w:val="clear" w:color="auto" w:fill="1F2D3D"/>
          </w:tcPr>
          <w:p>
            <w:pPr>
              <w:spacing w:after="0"/>
            </w:pPr>
            <w:r>
              <w:rPr>
                <w:b/>
                <w:color w:val="FFFFFF"/>
                <w:sz w:val="17"/>
              </w:rPr>
              <w:t>POC change</w:t>
            </w:r>
          </w:p>
        </w:tc>
        <w:tc>
          <w:tcPr>
            <w:tcW w:type="dxa" w:w="1175"/>
            <w:shd w:val="clear" w:color="auto" w:fill="1F2D3D"/>
          </w:tcPr>
          <w:p>
            <w:pPr>
              <w:spacing w:after="0"/>
            </w:pPr>
            <w:r>
              <w:rPr>
                <w:b/>
                <w:color w:val="FFFFFF"/>
                <w:sz w:val="17"/>
              </w:rPr>
              <w:t>Closes</w:t>
            </w:r>
          </w:p>
        </w:tc>
        <w:tc>
          <w:tcPr>
            <w:tcW w:type="dxa" w:w="2586"/>
            <w:shd w:val="clear" w:color="auto" w:fill="1F2D3D"/>
          </w:tcPr>
          <w:p>
            <w:pPr>
              <w:spacing w:after="0"/>
            </w:pPr>
            <w:r>
              <w:rPr>
                <w:b/>
                <w:color w:val="FFFFFF"/>
                <w:sz w:val="17"/>
              </w:rPr>
              <w:t>Requirement</w:t>
            </w:r>
          </w:p>
        </w:tc>
      </w:tr>
      <w:tr>
        <w:trPr>
          <w:cantSplit w:val="true"/>
        </w:trPr>
        <w:tc>
          <w:tcPr>
            <w:tcW w:type="dxa" w:w="5877"/>
          </w:tcPr>
          <w:p>
            <w:pPr>
              <w:spacing w:after="0" w:line="240" w:lineRule="auto"/>
            </w:pPr>
            <w:r>
              <w:rPr>
                <w:sz w:val="17"/>
              </w:rPr>
              <w:t>Replace mock_sectigo.ps1 with a test CA that accepts a CSR and returns a real signed PEM (correct newlines, content type, chain).</w:t>
            </w:r>
          </w:p>
        </w:tc>
        <w:tc>
          <w:tcPr>
            <w:tcW w:type="dxa" w:w="1175"/>
          </w:tcPr>
          <w:p>
            <w:pPr>
              <w:spacing w:after="0" w:line="240" w:lineRule="auto"/>
            </w:pPr>
            <w:r>
              <w:rPr>
                <w:sz w:val="17"/>
              </w:rPr>
              <w:t>G1, G6</w:t>
            </w:r>
          </w:p>
        </w:tc>
        <w:tc>
          <w:tcPr>
            <w:tcW w:type="dxa" w:w="2586"/>
          </w:tcPr>
          <w:p>
            <w:pPr>
              <w:spacing w:after="0" w:line="240" w:lineRule="auto"/>
            </w:pPr>
            <w:r>
              <w:rPr>
                <w:sz w:val="17"/>
              </w:rPr>
              <w:t>FR-CA-010</w:t>
            </w:r>
          </w:p>
        </w:tc>
      </w:tr>
      <w:tr>
        <w:trPr>
          <w:cantSplit w:val="true"/>
        </w:trPr>
        <w:tc>
          <w:tcPr>
            <w:tcW w:type="dxa" w:w="5877"/>
            <w:shd w:val="clear" w:color="auto" w:fill="F3F6F8"/>
          </w:tcPr>
          <w:p>
            <w:pPr>
              <w:spacing w:after="0" w:line="240" w:lineRule="auto"/>
            </w:pPr>
            <w:r>
              <w:rPr>
                <w:sz w:val="17"/>
              </w:rPr>
              <w:t>Generate the key and CSR on the Windows target with certreq, install with certreq -accept, and prove the private key is associated.</w:t>
            </w:r>
          </w:p>
        </w:tc>
        <w:tc>
          <w:tcPr>
            <w:tcW w:type="dxa" w:w="1175"/>
            <w:shd w:val="clear" w:color="auto" w:fill="F3F6F8"/>
          </w:tcPr>
          <w:p>
            <w:pPr>
              <w:spacing w:after="0" w:line="240" w:lineRule="auto"/>
            </w:pPr>
            <w:r>
              <w:rPr>
                <w:sz w:val="17"/>
              </w:rPr>
              <w:t>G2</w:t>
            </w:r>
          </w:p>
        </w:tc>
        <w:tc>
          <w:tcPr>
            <w:tcW w:type="dxa" w:w="2586"/>
            <w:shd w:val="clear" w:color="auto" w:fill="F3F6F8"/>
          </w:tcPr>
          <w:p>
            <w:pPr>
              <w:spacing w:after="0" w:line="240" w:lineRule="auto"/>
            </w:pPr>
            <w:r>
              <w:rPr>
                <w:sz w:val="17"/>
              </w:rPr>
              <w:t>AD-WIN-04, AD-WIN-05</w:t>
            </w:r>
          </w:p>
        </w:tc>
      </w:tr>
      <w:tr>
        <w:trPr>
          <w:cantSplit w:val="true"/>
        </w:trPr>
        <w:tc>
          <w:tcPr>
            <w:tcW w:type="dxa" w:w="5877"/>
          </w:tcPr>
          <w:p>
            <w:pPr>
              <w:spacing w:after="0" w:line="240" w:lineRule="auto"/>
            </w:pPr>
            <w:r>
              <w:rPr>
                <w:sz w:val="17"/>
              </w:rPr>
              <w:t>Move WinRM to HTTPS (self-signed for the POC) and remove Basic and AllowUnencrypted.</w:t>
            </w:r>
          </w:p>
        </w:tc>
        <w:tc>
          <w:tcPr>
            <w:tcW w:type="dxa" w:w="1175"/>
          </w:tcPr>
          <w:p>
            <w:pPr>
              <w:spacing w:after="0" w:line="240" w:lineRule="auto"/>
            </w:pPr>
            <w:r>
              <w:rPr>
                <w:sz w:val="17"/>
              </w:rPr>
              <w:t>G3</w:t>
            </w:r>
          </w:p>
        </w:tc>
        <w:tc>
          <w:tcPr>
            <w:tcW w:type="dxa" w:w="2586"/>
          </w:tcPr>
          <w:p>
            <w:pPr>
              <w:spacing w:after="0" w:line="240" w:lineRule="auto"/>
            </w:pPr>
            <w:r>
              <w:rPr>
                <w:sz w:val="17"/>
              </w:rPr>
              <w:t>AD-WIN-02</w:t>
            </w:r>
          </w:p>
        </w:tc>
      </w:tr>
      <w:tr>
        <w:trPr>
          <w:cantSplit w:val="true"/>
        </w:trPr>
        <w:tc>
          <w:tcPr>
            <w:tcW w:type="dxa" w:w="5877"/>
            <w:shd w:val="clear" w:color="auto" w:fill="F3F6F8"/>
          </w:tcPr>
          <w:p>
            <w:pPr>
              <w:spacing w:after="0" w:line="240" w:lineRule="auto"/>
            </w:pPr>
            <w:r>
              <w:rPr>
                <w:sz w:val="17"/>
              </w:rPr>
              <w:t>Replace the single admin password with a vault alias (a local vault container is enough) and split discovery from deployment accounts.</w:t>
            </w:r>
          </w:p>
        </w:tc>
        <w:tc>
          <w:tcPr>
            <w:tcW w:type="dxa" w:w="1175"/>
            <w:shd w:val="clear" w:color="auto" w:fill="F3F6F8"/>
          </w:tcPr>
          <w:p>
            <w:pPr>
              <w:spacing w:after="0" w:line="240" w:lineRule="auto"/>
            </w:pPr>
            <w:r>
              <w:rPr>
                <w:sz w:val="17"/>
              </w:rPr>
              <w:t>G4</w:t>
            </w:r>
          </w:p>
        </w:tc>
        <w:tc>
          <w:tcPr>
            <w:tcW w:type="dxa" w:w="2586"/>
            <w:shd w:val="clear" w:color="auto" w:fill="F3F6F8"/>
          </w:tcPr>
          <w:p>
            <w:pPr>
              <w:spacing w:after="0" w:line="240" w:lineRule="auto"/>
            </w:pPr>
            <w:r>
              <w:rPr>
                <w:sz w:val="17"/>
              </w:rPr>
              <w:t>FR-INV-006, NFR-SEC-04</w:t>
            </w:r>
          </w:p>
        </w:tc>
      </w:tr>
      <w:tr>
        <w:trPr>
          <w:cantSplit w:val="true"/>
        </w:trPr>
        <w:tc>
          <w:tcPr>
            <w:tcW w:type="dxa" w:w="5877"/>
          </w:tcPr>
          <w:p>
            <w:pPr>
              <w:spacing w:after="0" w:line="240" w:lineRule="auto"/>
            </w:pPr>
            <w:r>
              <w:rPr>
                <w:sz w:val="17"/>
              </w:rPr>
              <w:t>Replace pasted script text with a registered adapter that takes parameters.</w:t>
            </w:r>
          </w:p>
        </w:tc>
        <w:tc>
          <w:tcPr>
            <w:tcW w:type="dxa" w:w="1175"/>
          </w:tcPr>
          <w:p>
            <w:pPr>
              <w:spacing w:after="0" w:line="240" w:lineRule="auto"/>
            </w:pPr>
            <w:r>
              <w:rPr>
                <w:sz w:val="17"/>
              </w:rPr>
              <w:t>G5</w:t>
            </w:r>
          </w:p>
        </w:tc>
        <w:tc>
          <w:tcPr>
            <w:tcW w:type="dxa" w:w="2586"/>
          </w:tcPr>
          <w:p>
            <w:pPr>
              <w:spacing w:after="0" w:line="240" w:lineRule="auto"/>
            </w:pPr>
            <w:r>
              <w:rPr>
                <w:sz w:val="17"/>
              </w:rPr>
              <w:t>FR-ADP-002 to 004</w:t>
            </w:r>
          </w:p>
        </w:tc>
      </w:tr>
      <w:tr>
        <w:trPr>
          <w:cantSplit w:val="true"/>
        </w:trPr>
        <w:tc>
          <w:tcPr>
            <w:tcW w:type="dxa" w:w="5877"/>
            <w:shd w:val="clear" w:color="auto" w:fill="F3F6F8"/>
          </w:tcPr>
          <w:p>
            <w:pPr>
              <w:spacing w:after="0" w:line="240" w:lineRule="auto"/>
            </w:pPr>
            <w:r>
              <w:rPr>
                <w:sz w:val="17"/>
              </w:rPr>
              <w:t>Add a CMDB target record and derive technology from it.</w:t>
            </w:r>
          </w:p>
        </w:tc>
        <w:tc>
          <w:tcPr>
            <w:tcW w:type="dxa" w:w="1175"/>
            <w:shd w:val="clear" w:color="auto" w:fill="F3F6F8"/>
          </w:tcPr>
          <w:p>
            <w:pPr>
              <w:spacing w:after="0" w:line="240" w:lineRule="auto"/>
            </w:pPr>
            <w:r>
              <w:rPr>
                <w:sz w:val="17"/>
              </w:rPr>
              <w:t>G7</w:t>
            </w:r>
          </w:p>
        </w:tc>
        <w:tc>
          <w:tcPr>
            <w:tcW w:type="dxa" w:w="2586"/>
            <w:shd w:val="clear" w:color="auto" w:fill="F3F6F8"/>
          </w:tcPr>
          <w:p>
            <w:pPr>
              <w:spacing w:after="0" w:line="240" w:lineRule="auto"/>
            </w:pPr>
            <w:r>
              <w:rPr>
                <w:sz w:val="17"/>
              </w:rPr>
              <w:t>FR-ORC-003</w:t>
            </w:r>
          </w:p>
        </w:tc>
      </w:tr>
      <w:tr>
        <w:trPr>
          <w:cantSplit w:val="true"/>
        </w:trPr>
        <w:tc>
          <w:tcPr>
            <w:tcW w:type="dxa" w:w="5877"/>
          </w:tcPr>
          <w:p>
            <w:pPr>
              <w:spacing w:after="0" w:line="240" w:lineRule="auto"/>
            </w:pPr>
            <w:r>
              <w:rPr>
                <w:sz w:val="17"/>
              </w:rPr>
              <w:t>Upgrade the Linux simulator and add a real Linux target.</w:t>
            </w:r>
          </w:p>
        </w:tc>
        <w:tc>
          <w:tcPr>
            <w:tcW w:type="dxa" w:w="1175"/>
          </w:tcPr>
          <w:p>
            <w:pPr>
              <w:spacing w:after="0" w:line="240" w:lineRule="auto"/>
            </w:pPr>
            <w:r>
              <w:rPr>
                <w:sz w:val="17"/>
              </w:rPr>
              <w:t>G8</w:t>
            </w:r>
          </w:p>
        </w:tc>
        <w:tc>
          <w:tcPr>
            <w:tcW w:type="dxa" w:w="2586"/>
          </w:tcPr>
          <w:p>
            <w:pPr>
              <w:spacing w:after="0" w:line="240" w:lineRule="auto"/>
            </w:pPr>
            <w:r>
              <w:rPr>
                <w:sz w:val="17"/>
              </w:rPr>
              <w:t>AD-LNX-12</w:t>
            </w:r>
          </w:p>
        </w:tc>
      </w:tr>
      <w:tr>
        <w:trPr>
          <w:cantSplit w:val="true"/>
        </w:trPr>
        <w:tc>
          <w:tcPr>
            <w:tcW w:type="dxa" w:w="5877"/>
            <w:shd w:val="clear" w:color="auto" w:fill="F3F6F8"/>
          </w:tcPr>
          <w:p>
            <w:pPr>
              <w:spacing w:after="0" w:line="240" w:lineRule="auto"/>
            </w:pPr>
            <w:r>
              <w:rPr>
                <w:sz w:val="17"/>
              </w:rPr>
              <w:t>Add pre-check, backup, verify and rollback to both branches.</w:t>
            </w:r>
          </w:p>
        </w:tc>
        <w:tc>
          <w:tcPr>
            <w:tcW w:type="dxa" w:w="1175"/>
            <w:shd w:val="clear" w:color="auto" w:fill="F3F6F8"/>
          </w:tcPr>
          <w:p>
            <w:pPr>
              <w:spacing w:after="0" w:line="240" w:lineRule="auto"/>
            </w:pPr>
            <w:r>
              <w:rPr>
                <w:sz w:val="17"/>
              </w:rPr>
              <w:t>G8</w:t>
            </w:r>
          </w:p>
        </w:tc>
        <w:tc>
          <w:tcPr>
            <w:tcW w:type="dxa" w:w="2586"/>
            <w:shd w:val="clear" w:color="auto" w:fill="F3F6F8"/>
          </w:tcPr>
          <w:p>
            <w:pPr>
              <w:spacing w:after="0" w:line="240" w:lineRule="auto"/>
            </w:pPr>
            <w:r>
              <w:rPr>
                <w:sz w:val="17"/>
              </w:rPr>
              <w:t>FR-SAF-001 to 004</w:t>
            </w:r>
          </w:p>
        </w:tc>
      </w:tr>
    </w:tbl>
    <w:p>
      <w:pPr>
        <w:spacing w:after="40"/>
      </w:pPr>
    </w:p>
    <w:p>
      <w:pPr>
        <w:pStyle w:val="Heading2"/>
      </w:pPr>
      <w:r>
        <w:t>11.2 POC exit criteria</w:t>
      </w:r>
    </w:p>
    <w:p>
      <w:pPr>
        <w:pStyle w:val="ListBullet"/>
      </w:pPr>
      <w:r>
        <w:t>A CSR generated on the Windows target is signed by the test CA, imported, bound to the key, and verified over TLS on the live port.</w:t>
      </w:r>
    </w:p>
    <w:p>
      <w:pPr>
        <w:pStyle w:val="ListBullet"/>
      </w:pPr>
      <w:r>
        <w:t>The same flow deploys a certificate to a real Linux target with correct permissions and a service reload.</w:t>
      </w:r>
    </w:p>
    <w:p>
      <w:pPr>
        <w:pStyle w:val="ListBullet"/>
      </w:pPr>
      <w:r>
        <w:t>A forced failure (wrong SAN, service that will not reload) triggers automatic rollback and is verified.</w:t>
      </w:r>
    </w:p>
    <w:p>
      <w:pPr>
        <w:pStyle w:val="ListBullet"/>
      </w:pPr>
      <w:r>
        <w:t>No password or private key appears in any script, flow variable, log or ECC payload.</w:t>
      </w:r>
    </w:p>
    <w:p>
      <w:pPr>
        <w:pStyle w:val="ListBullet"/>
      </w:pPr>
      <w:r>
        <w:t>The technology and zone come from the CMDB record; changing the record changes the route without editing the flow.</w:t>
      </w:r>
    </w:p>
    <w:p>
      <w:pPr>
        <w:pStyle w:val="Heading2"/>
      </w:pPr>
      <w:r>
        <w:t>11.3 Roadmap</w:t>
      </w:r>
    </w:p>
    <w:p>
      <w:r>
        <w:t>Figure 11 shows the phases. Durations are indicative and depend on the answers in chapter 14.</w:t>
      </w:r>
    </w:p>
    <w:p>
      <w:pPr>
        <w:sectPr>
          <w:pgSz w:w="11906" w:h="16838"/>
          <w:pgMar w:top="1134" w:right="1134" w:bottom="1020" w:left="1134" w:header="720" w:footer="720" w:gutter="0"/>
          <w:cols w:space="720"/>
          <w:docGrid w:linePitch="360"/>
        </w:sectPr>
      </w:pPr>
    </w:p>
    <w:p>
      <w:pPr>
        <w:spacing w:after="40"/>
        <w:jc w:val="center"/>
      </w:pPr>
      <w:r>
        <w:drawing>
          <wp:inline xmlns:a="http://schemas.openxmlformats.org/drawingml/2006/main" xmlns:pic="http://schemas.openxmlformats.org/drawingml/2006/picture">
            <wp:extent cx="9576000" cy="5147100"/>
            <wp:docPr id="11" name="Picture 11"/>
            <wp:cNvGraphicFramePr>
              <a:graphicFrameLocks noChangeAspect="1"/>
            </wp:cNvGraphicFramePr>
            <a:graphic>
              <a:graphicData uri="http://schemas.openxmlformats.org/drawingml/2006/picture">
                <pic:pic>
                  <pic:nvPicPr>
                    <pic:cNvPr id="0" name="Fig11_roadmap.png"/>
                    <pic:cNvPicPr/>
                  </pic:nvPicPr>
                  <pic:blipFill>
                    <a:blip r:embed="rId20"/>
                    <a:stretch>
                      <a:fillRect/>
                    </a:stretch>
                  </pic:blipFill>
                  <pic:spPr>
                    <a:xfrm>
                      <a:off x="0" y="0"/>
                      <a:ext cx="9576000" cy="5147100"/>
                    </a:xfrm>
                    <a:prstGeom prst="rect"/>
                  </pic:spPr>
                </pic:pic>
              </a:graphicData>
            </a:graphic>
          </wp:inline>
        </w:drawing>
      </w:r>
    </w:p>
    <w:p>
      <w:pPr>
        <w:jc w:val="center"/>
      </w:pPr>
      <w:r>
        <w:rPr>
          <w:i/>
          <w:color w:val="606B7A"/>
          <w:sz w:val="18"/>
        </w:rPr>
        <w:t>Figure 11: Delivery roadmap</w:t>
      </w:r>
    </w:p>
    <w:p>
      <w:pPr>
        <w:sectPr>
          <w:pgSz w:w="16838" w:h="11906" w:orient="landscape"/>
          <w:pgMar w:top="737" w:right="850" w:bottom="850" w:left="850" w:header="720" w:footer="720" w:gutter="0"/>
          <w:cols w:space="720"/>
          <w:docGrid w:linePitch="360"/>
        </w:sectPr>
      </w:pPr>
    </w:p>
    <w:p>
      <w:pPr>
        <w:pStyle w:val="Heading1"/>
        <w:pBdr>
          <w:bottom w:val="single" w:sz="8" w:space="2" w:color="2E7D32"/>
        </w:pBdr>
      </w:pPr>
      <w:r>
        <w:t>12. Test and acceptance strategy</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752"/>
            <w:shd w:val="clear" w:color="auto" w:fill="1F2D3D"/>
          </w:tcPr>
          <w:p>
            <w:pPr>
              <w:spacing w:after="0"/>
            </w:pPr>
            <w:r>
              <w:rPr>
                <w:b/>
                <w:color w:val="FFFFFF"/>
                <w:sz w:val="17"/>
              </w:rPr>
              <w:t>Level</w:t>
            </w:r>
          </w:p>
        </w:tc>
        <w:tc>
          <w:tcPr>
            <w:tcW w:type="dxa" w:w="3943"/>
            <w:shd w:val="clear" w:color="auto" w:fill="1F2D3D"/>
          </w:tcPr>
          <w:p>
            <w:pPr>
              <w:spacing w:after="0"/>
            </w:pPr>
            <w:r>
              <w:rPr>
                <w:b/>
                <w:color w:val="FFFFFF"/>
                <w:sz w:val="17"/>
              </w:rPr>
              <w:t>What is tested</w:t>
            </w:r>
          </w:p>
        </w:tc>
        <w:tc>
          <w:tcPr>
            <w:tcW w:type="dxa" w:w="3943"/>
            <w:shd w:val="clear" w:color="auto" w:fill="1F2D3D"/>
          </w:tcPr>
          <w:p>
            <w:pPr>
              <w:spacing w:after="0"/>
            </w:pPr>
            <w:r>
              <w:rPr>
                <w:b/>
                <w:color w:val="FFFFFF"/>
                <w:sz w:val="17"/>
              </w:rPr>
              <w:t>Tools and approach</w:t>
            </w:r>
          </w:p>
        </w:tc>
      </w:tr>
      <w:tr>
        <w:trPr>
          <w:cantSplit w:val="true"/>
        </w:trPr>
        <w:tc>
          <w:tcPr>
            <w:tcW w:type="dxa" w:w="1752"/>
          </w:tcPr>
          <w:p>
            <w:pPr>
              <w:spacing w:after="0" w:line="240" w:lineRule="auto"/>
            </w:pPr>
            <w:r>
              <w:rPr>
                <w:sz w:val="17"/>
              </w:rPr>
              <w:t>Unit</w:t>
            </w:r>
          </w:p>
        </w:tc>
        <w:tc>
          <w:tcPr>
            <w:tcW w:type="dxa" w:w="3943"/>
          </w:tcPr>
          <w:p>
            <w:pPr>
              <w:spacing w:after="0" w:line="240" w:lineRule="auto"/>
            </w:pPr>
            <w:r>
              <w:rPr>
                <w:sz w:val="17"/>
              </w:rPr>
              <w:t>Adapter functions, parsing, validation, policy engine.</w:t>
            </w:r>
          </w:p>
        </w:tc>
        <w:tc>
          <w:tcPr>
            <w:tcW w:type="dxa" w:w="3943"/>
          </w:tcPr>
          <w:p>
            <w:pPr>
              <w:spacing w:after="0" w:line="240" w:lineRule="auto"/>
            </w:pPr>
            <w:r>
              <w:rPr>
                <w:sz w:val="17"/>
              </w:rPr>
              <w:t>Pester for PowerShell, shell test frameworks for Linux, script tests in ServiceNow.</w:t>
            </w:r>
          </w:p>
        </w:tc>
      </w:tr>
      <w:tr>
        <w:trPr>
          <w:cantSplit w:val="true"/>
        </w:trPr>
        <w:tc>
          <w:tcPr>
            <w:tcW w:type="dxa" w:w="1752"/>
            <w:shd w:val="clear" w:color="auto" w:fill="F3F6F8"/>
          </w:tcPr>
          <w:p>
            <w:pPr>
              <w:spacing w:after="0" w:line="240" w:lineRule="auto"/>
            </w:pPr>
            <w:r>
              <w:rPr>
                <w:sz w:val="17"/>
              </w:rPr>
              <w:t>Integration</w:t>
            </w:r>
          </w:p>
        </w:tc>
        <w:tc>
          <w:tcPr>
            <w:tcW w:type="dxa" w:w="3943"/>
            <w:shd w:val="clear" w:color="auto" w:fill="F3F6F8"/>
          </w:tcPr>
          <w:p>
            <w:pPr>
              <w:spacing w:after="0" w:line="240" w:lineRule="auto"/>
            </w:pPr>
            <w:r>
              <w:rPr>
                <w:sz w:val="17"/>
              </w:rPr>
              <w:t>CA connector against the test CA and the Sectigo sandbox; vault; MID Server.</w:t>
            </w:r>
          </w:p>
        </w:tc>
        <w:tc>
          <w:tcPr>
            <w:tcW w:type="dxa" w:w="3943"/>
            <w:shd w:val="clear" w:color="auto" w:fill="F3F6F8"/>
          </w:tcPr>
          <w:p>
            <w:pPr>
              <w:spacing w:after="0" w:line="240" w:lineRule="auto"/>
            </w:pPr>
            <w:r>
              <w:rPr>
                <w:sz w:val="17"/>
              </w:rPr>
              <w:t>Automated pipeline with the test CA.</w:t>
            </w:r>
          </w:p>
        </w:tc>
      </w:tr>
      <w:tr>
        <w:trPr>
          <w:cantSplit w:val="true"/>
        </w:trPr>
        <w:tc>
          <w:tcPr>
            <w:tcW w:type="dxa" w:w="1752"/>
          </w:tcPr>
          <w:p>
            <w:pPr>
              <w:spacing w:after="0" w:line="240" w:lineRule="auto"/>
            </w:pPr>
            <w:r>
              <w:rPr>
                <w:sz w:val="17"/>
              </w:rPr>
              <w:t>End to end</w:t>
            </w:r>
          </w:p>
        </w:tc>
        <w:tc>
          <w:tcPr>
            <w:tcW w:type="dxa" w:w="3943"/>
          </w:tcPr>
          <w:p>
            <w:pPr>
              <w:spacing w:after="0" w:line="240" w:lineRule="auto"/>
            </w:pPr>
            <w:r>
              <w:rPr>
                <w:sz w:val="17"/>
              </w:rPr>
              <w:t>Request to verified deployment on each platform, including failure paths.</w:t>
            </w:r>
          </w:p>
        </w:tc>
        <w:tc>
          <w:tcPr>
            <w:tcW w:type="dxa" w:w="3943"/>
          </w:tcPr>
          <w:p>
            <w:pPr>
              <w:spacing w:after="0" w:line="240" w:lineRule="auto"/>
            </w:pPr>
            <w:r>
              <w:rPr>
                <w:sz w:val="17"/>
              </w:rPr>
              <w:t>Lab targets per platform: Windows, Linux, Kubernetes (kind or minikube), MDM test tenant, F5 virtual edition.</w:t>
            </w:r>
          </w:p>
        </w:tc>
      </w:tr>
      <w:tr>
        <w:trPr>
          <w:cantSplit w:val="true"/>
        </w:trPr>
        <w:tc>
          <w:tcPr>
            <w:tcW w:type="dxa" w:w="1752"/>
            <w:shd w:val="clear" w:color="auto" w:fill="F3F6F8"/>
          </w:tcPr>
          <w:p>
            <w:pPr>
              <w:spacing w:after="0" w:line="240" w:lineRule="auto"/>
            </w:pPr>
            <w:r>
              <w:rPr>
                <w:sz w:val="17"/>
              </w:rPr>
              <w:t>Failure injection</w:t>
            </w:r>
          </w:p>
        </w:tc>
        <w:tc>
          <w:tcPr>
            <w:tcW w:type="dxa" w:w="3943"/>
            <w:shd w:val="clear" w:color="auto" w:fill="F3F6F8"/>
          </w:tcPr>
          <w:p>
            <w:pPr>
              <w:spacing w:after="0" w:line="240" w:lineRule="auto"/>
            </w:pPr>
            <w:r>
              <w:rPr>
                <w:sz w:val="17"/>
              </w:rPr>
              <w:t>Bad certificate, wrong SAN, service will not reload, MID failure mid-job, CA timeout.</w:t>
            </w:r>
          </w:p>
        </w:tc>
        <w:tc>
          <w:tcPr>
            <w:tcW w:type="dxa" w:w="3943"/>
            <w:shd w:val="clear" w:color="auto" w:fill="F3F6F8"/>
          </w:tcPr>
          <w:p>
            <w:pPr>
              <w:spacing w:after="0" w:line="240" w:lineRule="auto"/>
            </w:pPr>
            <w:r>
              <w:rPr>
                <w:sz w:val="17"/>
              </w:rPr>
              <w:t>Scripted faults; expect rollback or manual fallback.</w:t>
            </w:r>
          </w:p>
        </w:tc>
      </w:tr>
      <w:tr>
        <w:trPr>
          <w:cantSplit w:val="true"/>
        </w:trPr>
        <w:tc>
          <w:tcPr>
            <w:tcW w:type="dxa" w:w="1752"/>
          </w:tcPr>
          <w:p>
            <w:pPr>
              <w:spacing w:after="0" w:line="240" w:lineRule="auto"/>
            </w:pPr>
            <w:r>
              <w:rPr>
                <w:sz w:val="17"/>
              </w:rPr>
              <w:t>Security</w:t>
            </w:r>
          </w:p>
        </w:tc>
        <w:tc>
          <w:tcPr>
            <w:tcW w:type="dxa" w:w="3943"/>
          </w:tcPr>
          <w:p>
            <w:pPr>
              <w:spacing w:after="0" w:line="240" w:lineRule="auto"/>
            </w:pPr>
            <w:r>
              <w:rPr>
                <w:sz w:val="17"/>
              </w:rPr>
              <w:t>Secret and key leakage, log redaction, adapter tampering, privilege boundaries, network exposure.</w:t>
            </w:r>
          </w:p>
        </w:tc>
        <w:tc>
          <w:tcPr>
            <w:tcW w:type="dxa" w:w="3943"/>
          </w:tcPr>
          <w:p>
            <w:pPr>
              <w:spacing w:after="0" w:line="240" w:lineRule="auto"/>
            </w:pPr>
            <w:r>
              <w:rPr>
                <w:sz w:val="17"/>
              </w:rPr>
              <w:t>Secret scanning, tamper tests, penetration test before Phase 1 go-live.</w:t>
            </w:r>
          </w:p>
        </w:tc>
      </w:tr>
      <w:tr>
        <w:trPr>
          <w:cantSplit w:val="true"/>
        </w:trPr>
        <w:tc>
          <w:tcPr>
            <w:tcW w:type="dxa" w:w="1752"/>
            <w:shd w:val="clear" w:color="auto" w:fill="F3F6F8"/>
          </w:tcPr>
          <w:p>
            <w:pPr>
              <w:spacing w:after="0" w:line="240" w:lineRule="auto"/>
            </w:pPr>
            <w:r>
              <w:rPr>
                <w:sz w:val="17"/>
              </w:rPr>
              <w:t>Performance and resilience</w:t>
            </w:r>
          </w:p>
        </w:tc>
        <w:tc>
          <w:tcPr>
            <w:tcW w:type="dxa" w:w="3943"/>
            <w:shd w:val="clear" w:color="auto" w:fill="F3F6F8"/>
          </w:tcPr>
          <w:p>
            <w:pPr>
              <w:spacing w:after="0" w:line="240" w:lineRule="auto"/>
            </w:pPr>
            <w:r>
              <w:rPr>
                <w:sz w:val="17"/>
              </w:rPr>
              <w:t>Volume, concurrency, MID failover, disaster recovery.</w:t>
            </w:r>
          </w:p>
        </w:tc>
        <w:tc>
          <w:tcPr>
            <w:tcW w:type="dxa" w:w="3943"/>
            <w:shd w:val="clear" w:color="auto" w:fill="F3F6F8"/>
          </w:tcPr>
          <w:p>
            <w:pPr>
              <w:spacing w:after="0" w:line="240" w:lineRule="auto"/>
            </w:pPr>
            <w:r>
              <w:rPr>
                <w:sz w:val="17"/>
              </w:rPr>
              <w:t>Load and chaos tests.</w:t>
            </w:r>
          </w:p>
        </w:tc>
      </w:tr>
      <w:tr>
        <w:trPr>
          <w:cantSplit w:val="true"/>
        </w:trPr>
        <w:tc>
          <w:tcPr>
            <w:tcW w:type="dxa" w:w="1752"/>
          </w:tcPr>
          <w:p>
            <w:pPr>
              <w:spacing w:after="0" w:line="240" w:lineRule="auto"/>
            </w:pPr>
            <w:r>
              <w:rPr>
                <w:sz w:val="17"/>
              </w:rPr>
              <w:t>User acceptance</w:t>
            </w:r>
          </w:p>
        </w:tc>
        <w:tc>
          <w:tcPr>
            <w:tcW w:type="dxa" w:w="3943"/>
          </w:tcPr>
          <w:p>
            <w:pPr>
              <w:spacing w:after="0" w:line="240" w:lineRule="auto"/>
            </w:pPr>
            <w:r>
              <w:rPr>
                <w:sz w:val="17"/>
              </w:rPr>
              <w:t>Requester, approver, operator and auditor journeys.</w:t>
            </w:r>
          </w:p>
        </w:tc>
        <w:tc>
          <w:tcPr>
            <w:tcW w:type="dxa" w:w="3943"/>
          </w:tcPr>
          <w:p>
            <w:pPr>
              <w:spacing w:after="0" w:line="240" w:lineRule="auto"/>
            </w:pPr>
            <w:r>
              <w:rPr>
                <w:sz w:val="17"/>
              </w:rPr>
              <w:t>Scripted UAT with sign-off.</w:t>
            </w:r>
          </w:p>
        </w:tc>
      </w:tr>
    </w:tbl>
    <w:p>
      <w:pPr>
        <w:spacing w:after="40"/>
      </w:pPr>
    </w:p>
    <w:p>
      <w:pPr>
        <w:pStyle w:val="Heading2"/>
      </w:pPr>
      <w:r>
        <w:t>12.1 Representative acceptance tests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953"/>
            <w:shd w:val="clear" w:color="auto" w:fill="1F2D3D"/>
          </w:tcPr>
          <w:p>
            <w:pPr>
              <w:spacing w:after="0"/>
            </w:pPr>
            <w:r>
              <w:rPr>
                <w:b/>
                <w:color w:val="FFFFFF"/>
                <w:sz w:val="17"/>
              </w:rPr>
              <w:t>ID</w:t>
            </w:r>
          </w:p>
        </w:tc>
        <w:tc>
          <w:tcPr>
            <w:tcW w:type="dxa" w:w="3813"/>
            <w:shd w:val="clear" w:color="auto" w:fill="1F2D3D"/>
          </w:tcPr>
          <w:p>
            <w:pPr>
              <w:spacing w:after="0"/>
            </w:pPr>
            <w:r>
              <w:rPr>
                <w:b/>
                <w:color w:val="FFFFFF"/>
                <w:sz w:val="17"/>
              </w:rPr>
              <w:t>Scenario</w:t>
            </w:r>
          </w:p>
        </w:tc>
        <w:tc>
          <w:tcPr>
            <w:tcW w:type="dxa" w:w="4872"/>
            <w:shd w:val="clear" w:color="auto" w:fill="1F2D3D"/>
          </w:tcPr>
          <w:p>
            <w:pPr>
              <w:spacing w:after="0"/>
            </w:pPr>
            <w:r>
              <w:rPr>
                <w:b/>
                <w:color w:val="FFFFFF"/>
                <w:sz w:val="17"/>
              </w:rPr>
              <w:t>Expected result</w:t>
            </w:r>
          </w:p>
        </w:tc>
      </w:tr>
      <w:tr>
        <w:trPr>
          <w:cantSplit w:val="true"/>
        </w:trPr>
        <w:tc>
          <w:tcPr>
            <w:tcW w:type="dxa" w:w="953"/>
          </w:tcPr>
          <w:p>
            <w:pPr>
              <w:spacing w:after="0" w:line="240" w:lineRule="auto"/>
            </w:pPr>
            <w:r>
              <w:rPr>
                <w:b/>
                <w:sz w:val="17"/>
              </w:rPr>
              <w:t>TC-01</w:t>
            </w:r>
          </w:p>
        </w:tc>
        <w:tc>
          <w:tcPr>
            <w:tcW w:type="dxa" w:w="3813"/>
          </w:tcPr>
          <w:p>
            <w:pPr>
              <w:spacing w:after="0" w:line="240" w:lineRule="auto"/>
            </w:pPr>
            <w:r>
              <w:rPr>
                <w:sz w:val="17"/>
              </w:rPr>
              <w:t>New certificate for a Windows IIS site</w:t>
            </w:r>
          </w:p>
        </w:tc>
        <w:tc>
          <w:tcPr>
            <w:tcW w:type="dxa" w:w="4872"/>
          </w:tcPr>
          <w:p>
            <w:pPr>
              <w:spacing w:after="0" w:line="240" w:lineRule="auto"/>
            </w:pPr>
            <w:r>
              <w:rPr>
                <w:sz w:val="17"/>
              </w:rPr>
              <w:t>Key generated on host, CSR signed, bound, thumbprint verified on port 443, audit complete.</w:t>
            </w:r>
          </w:p>
        </w:tc>
      </w:tr>
      <w:tr>
        <w:trPr>
          <w:cantSplit w:val="true"/>
        </w:trPr>
        <w:tc>
          <w:tcPr>
            <w:tcW w:type="dxa" w:w="953"/>
            <w:shd w:val="clear" w:color="auto" w:fill="F3F6F8"/>
          </w:tcPr>
          <w:p>
            <w:pPr>
              <w:spacing w:after="0" w:line="240" w:lineRule="auto"/>
            </w:pPr>
            <w:r>
              <w:rPr>
                <w:b/>
                <w:sz w:val="17"/>
              </w:rPr>
              <w:t>TC-02</w:t>
            </w:r>
          </w:p>
        </w:tc>
        <w:tc>
          <w:tcPr>
            <w:tcW w:type="dxa" w:w="3813"/>
            <w:shd w:val="clear" w:color="auto" w:fill="F3F6F8"/>
          </w:tcPr>
          <w:p>
            <w:pPr>
              <w:spacing w:after="0" w:line="240" w:lineRule="auto"/>
            </w:pPr>
            <w:r>
              <w:rPr>
                <w:sz w:val="17"/>
              </w:rPr>
              <w:t>Renewal of a Linux nginx certificate 30 days before expiry</w:t>
            </w:r>
          </w:p>
        </w:tc>
        <w:tc>
          <w:tcPr>
            <w:tcW w:type="dxa" w:w="4872"/>
            <w:shd w:val="clear" w:color="auto" w:fill="F3F6F8"/>
          </w:tcPr>
          <w:p>
            <w:pPr>
              <w:spacing w:after="0" w:line="240" w:lineRule="auto"/>
            </w:pPr>
            <w:r>
              <w:rPr>
                <w:sz w:val="17"/>
              </w:rPr>
              <w:t>Runs unattended; permissions correct; reload hitless; old certificate backed up.</w:t>
            </w:r>
          </w:p>
        </w:tc>
      </w:tr>
      <w:tr>
        <w:trPr>
          <w:cantSplit w:val="true"/>
        </w:trPr>
        <w:tc>
          <w:tcPr>
            <w:tcW w:type="dxa" w:w="953"/>
          </w:tcPr>
          <w:p>
            <w:pPr>
              <w:spacing w:after="0" w:line="240" w:lineRule="auto"/>
            </w:pPr>
            <w:r>
              <w:rPr>
                <w:b/>
                <w:sz w:val="17"/>
              </w:rPr>
              <w:t>TC-03</w:t>
            </w:r>
          </w:p>
        </w:tc>
        <w:tc>
          <w:tcPr>
            <w:tcW w:type="dxa" w:w="3813"/>
          </w:tcPr>
          <w:p>
            <w:pPr>
              <w:spacing w:after="0" w:line="240" w:lineRule="auto"/>
            </w:pPr>
            <w:r>
              <w:rPr>
                <w:sz w:val="17"/>
              </w:rPr>
              <w:t>SAN mismatch on deployment</w:t>
            </w:r>
          </w:p>
        </w:tc>
        <w:tc>
          <w:tcPr>
            <w:tcW w:type="dxa" w:w="4872"/>
          </w:tcPr>
          <w:p>
            <w:pPr>
              <w:spacing w:after="0" w:line="240" w:lineRule="auto"/>
            </w:pPr>
            <w:r>
              <w:rPr>
                <w:sz w:val="17"/>
              </w:rPr>
              <w:t>Refused before change (FR-SAF-010); no service impact.</w:t>
            </w:r>
          </w:p>
        </w:tc>
      </w:tr>
      <w:tr>
        <w:trPr>
          <w:cantSplit w:val="true"/>
        </w:trPr>
        <w:tc>
          <w:tcPr>
            <w:tcW w:type="dxa" w:w="953"/>
            <w:shd w:val="clear" w:color="auto" w:fill="F3F6F8"/>
          </w:tcPr>
          <w:p>
            <w:pPr>
              <w:spacing w:after="0" w:line="240" w:lineRule="auto"/>
            </w:pPr>
            <w:r>
              <w:rPr>
                <w:b/>
                <w:sz w:val="17"/>
              </w:rPr>
              <w:t>TC-04</w:t>
            </w:r>
          </w:p>
        </w:tc>
        <w:tc>
          <w:tcPr>
            <w:tcW w:type="dxa" w:w="3813"/>
            <w:shd w:val="clear" w:color="auto" w:fill="F3F6F8"/>
          </w:tcPr>
          <w:p>
            <w:pPr>
              <w:spacing w:after="0" w:line="240" w:lineRule="auto"/>
            </w:pPr>
            <w:r>
              <w:rPr>
                <w:sz w:val="17"/>
              </w:rPr>
              <w:t>Service fails to reload after install</w:t>
            </w:r>
          </w:p>
        </w:tc>
        <w:tc>
          <w:tcPr>
            <w:tcW w:type="dxa" w:w="4872"/>
            <w:shd w:val="clear" w:color="auto" w:fill="F3F6F8"/>
          </w:tcPr>
          <w:p>
            <w:pPr>
              <w:spacing w:after="0" w:line="240" w:lineRule="auto"/>
            </w:pPr>
            <w:r>
              <w:rPr>
                <w:sz w:val="17"/>
              </w:rPr>
              <w:t>Automatic rollback, verified, incident created.</w:t>
            </w:r>
          </w:p>
        </w:tc>
      </w:tr>
      <w:tr>
        <w:trPr>
          <w:cantSplit w:val="true"/>
        </w:trPr>
        <w:tc>
          <w:tcPr>
            <w:tcW w:type="dxa" w:w="953"/>
          </w:tcPr>
          <w:p>
            <w:pPr>
              <w:spacing w:after="0" w:line="240" w:lineRule="auto"/>
            </w:pPr>
            <w:r>
              <w:rPr>
                <w:b/>
                <w:sz w:val="17"/>
              </w:rPr>
              <w:t>TC-05</w:t>
            </w:r>
          </w:p>
        </w:tc>
        <w:tc>
          <w:tcPr>
            <w:tcW w:type="dxa" w:w="3813"/>
          </w:tcPr>
          <w:p>
            <w:pPr>
              <w:spacing w:after="0" w:line="240" w:lineRule="auto"/>
            </w:pPr>
            <w:r>
              <w:rPr>
                <w:sz w:val="17"/>
              </w:rPr>
              <w:t>Kubernetes ingress secret update with a failing pod</w:t>
            </w:r>
          </w:p>
        </w:tc>
        <w:tc>
          <w:tcPr>
            <w:tcW w:type="dxa" w:w="4872"/>
          </w:tcPr>
          <w:p>
            <w:pPr>
              <w:spacing w:after="0" w:line="240" w:lineRule="auto"/>
            </w:pPr>
            <w:r>
              <w:rPr>
                <w:sz w:val="17"/>
              </w:rPr>
              <w:t>Rollout stops; previous Secret restored; verified.</w:t>
            </w:r>
          </w:p>
        </w:tc>
      </w:tr>
      <w:tr>
        <w:trPr>
          <w:cantSplit w:val="true"/>
        </w:trPr>
        <w:tc>
          <w:tcPr>
            <w:tcW w:type="dxa" w:w="953"/>
            <w:shd w:val="clear" w:color="auto" w:fill="F3F6F8"/>
          </w:tcPr>
          <w:p>
            <w:pPr>
              <w:spacing w:after="0" w:line="240" w:lineRule="auto"/>
            </w:pPr>
            <w:r>
              <w:rPr>
                <w:b/>
                <w:sz w:val="17"/>
              </w:rPr>
              <w:t>TC-06</w:t>
            </w:r>
          </w:p>
        </w:tc>
        <w:tc>
          <w:tcPr>
            <w:tcW w:type="dxa" w:w="3813"/>
            <w:shd w:val="clear" w:color="auto" w:fill="F3F6F8"/>
          </w:tcPr>
          <w:p>
            <w:pPr>
              <w:spacing w:after="0" w:line="240" w:lineRule="auto"/>
            </w:pPr>
            <w:r>
              <w:rPr>
                <w:sz w:val="17"/>
              </w:rPr>
              <w:t>F5 HA pair deployment</w:t>
            </w:r>
          </w:p>
        </w:tc>
        <w:tc>
          <w:tcPr>
            <w:tcW w:type="dxa" w:w="4872"/>
            <w:shd w:val="clear" w:color="auto" w:fill="F3F6F8"/>
          </w:tcPr>
          <w:p>
            <w:pPr>
              <w:spacing w:after="0" w:line="240" w:lineRule="auto"/>
            </w:pPr>
            <w:r>
              <w:rPr>
                <w:sz w:val="17"/>
              </w:rPr>
              <w:t>New object created, profile updated, sync confirmed, both units verified.</w:t>
            </w:r>
          </w:p>
        </w:tc>
      </w:tr>
      <w:tr>
        <w:trPr>
          <w:cantSplit w:val="true"/>
        </w:trPr>
        <w:tc>
          <w:tcPr>
            <w:tcW w:type="dxa" w:w="953"/>
          </w:tcPr>
          <w:p>
            <w:pPr>
              <w:spacing w:after="0" w:line="240" w:lineRule="auto"/>
            </w:pPr>
            <w:r>
              <w:rPr>
                <w:b/>
                <w:sz w:val="17"/>
              </w:rPr>
              <w:t>TC-07</w:t>
            </w:r>
          </w:p>
        </w:tc>
        <w:tc>
          <w:tcPr>
            <w:tcW w:type="dxa" w:w="3813"/>
          </w:tcPr>
          <w:p>
            <w:pPr>
              <w:spacing w:after="0" w:line="240" w:lineRule="auto"/>
            </w:pPr>
            <w:r>
              <w:rPr>
                <w:sz w:val="17"/>
              </w:rPr>
              <w:t>iPhone identity certificate through MDM</w:t>
            </w:r>
          </w:p>
        </w:tc>
        <w:tc>
          <w:tcPr>
            <w:tcW w:type="dxa" w:w="4872"/>
          </w:tcPr>
          <w:p>
            <w:pPr>
              <w:spacing w:after="0" w:line="240" w:lineRule="auto"/>
            </w:pPr>
            <w:r>
              <w:rPr>
                <w:sz w:val="17"/>
              </w:rPr>
              <w:t>Profile assigned; MDM shows installed; offline device shows pending, not failed.</w:t>
            </w:r>
          </w:p>
        </w:tc>
      </w:tr>
      <w:tr>
        <w:trPr>
          <w:cantSplit w:val="true"/>
        </w:trPr>
        <w:tc>
          <w:tcPr>
            <w:tcW w:type="dxa" w:w="953"/>
            <w:shd w:val="clear" w:color="auto" w:fill="F3F6F8"/>
          </w:tcPr>
          <w:p>
            <w:pPr>
              <w:spacing w:after="0" w:line="240" w:lineRule="auto"/>
            </w:pPr>
            <w:r>
              <w:rPr>
                <w:b/>
                <w:sz w:val="17"/>
              </w:rPr>
              <w:t>TC-08</w:t>
            </w:r>
          </w:p>
        </w:tc>
        <w:tc>
          <w:tcPr>
            <w:tcW w:type="dxa" w:w="3813"/>
            <w:shd w:val="clear" w:color="auto" w:fill="F3F6F8"/>
          </w:tcPr>
          <w:p>
            <w:pPr>
              <w:spacing w:after="0" w:line="240" w:lineRule="auto"/>
            </w:pPr>
            <w:r>
              <w:rPr>
                <w:sz w:val="17"/>
              </w:rPr>
              <w:t>Technology without an adapter</w:t>
            </w:r>
          </w:p>
        </w:tc>
        <w:tc>
          <w:tcPr>
            <w:tcW w:type="dxa" w:w="4872"/>
            <w:shd w:val="clear" w:color="auto" w:fill="F3F6F8"/>
          </w:tcPr>
          <w:p>
            <w:pPr>
              <w:spacing w:after="0" w:line="240" w:lineRule="auto"/>
            </w:pPr>
            <w:r>
              <w:rPr>
                <w:sz w:val="17"/>
              </w:rPr>
              <w:t>Manual task with instructions; completion triggers automated verification.</w:t>
            </w:r>
          </w:p>
        </w:tc>
      </w:tr>
      <w:tr>
        <w:trPr>
          <w:cantSplit w:val="true"/>
        </w:trPr>
        <w:tc>
          <w:tcPr>
            <w:tcW w:type="dxa" w:w="953"/>
          </w:tcPr>
          <w:p>
            <w:pPr>
              <w:spacing w:after="0" w:line="240" w:lineRule="auto"/>
            </w:pPr>
            <w:r>
              <w:rPr>
                <w:b/>
                <w:sz w:val="17"/>
              </w:rPr>
              <w:t>TC-09</w:t>
            </w:r>
          </w:p>
        </w:tc>
        <w:tc>
          <w:tcPr>
            <w:tcW w:type="dxa" w:w="3813"/>
          </w:tcPr>
          <w:p>
            <w:pPr>
              <w:spacing w:after="0" w:line="240" w:lineRule="auto"/>
            </w:pPr>
            <w:r>
              <w:rPr>
                <w:sz w:val="17"/>
              </w:rPr>
              <w:t>MID Server killed mid-deployment</w:t>
            </w:r>
          </w:p>
        </w:tc>
        <w:tc>
          <w:tcPr>
            <w:tcW w:type="dxa" w:w="4872"/>
          </w:tcPr>
          <w:p>
            <w:pPr>
              <w:spacing w:after="0" w:line="240" w:lineRule="auto"/>
            </w:pPr>
            <w:r>
              <w:rPr>
                <w:sz w:val="17"/>
              </w:rPr>
              <w:t>Job resumes on the peer or rolls back within 5 minutes.</w:t>
            </w:r>
          </w:p>
        </w:tc>
      </w:tr>
      <w:tr>
        <w:trPr>
          <w:cantSplit w:val="true"/>
        </w:trPr>
        <w:tc>
          <w:tcPr>
            <w:tcW w:type="dxa" w:w="953"/>
            <w:shd w:val="clear" w:color="auto" w:fill="F3F6F8"/>
          </w:tcPr>
          <w:p>
            <w:pPr>
              <w:spacing w:after="0" w:line="240" w:lineRule="auto"/>
            </w:pPr>
            <w:r>
              <w:rPr>
                <w:b/>
                <w:sz w:val="17"/>
              </w:rPr>
              <w:t>TC-10</w:t>
            </w:r>
          </w:p>
        </w:tc>
        <w:tc>
          <w:tcPr>
            <w:tcW w:type="dxa" w:w="3813"/>
            <w:shd w:val="clear" w:color="auto" w:fill="F3F6F8"/>
          </w:tcPr>
          <w:p>
            <w:pPr>
              <w:spacing w:after="0" w:line="240" w:lineRule="auto"/>
            </w:pPr>
            <w:r>
              <w:rPr>
                <w:sz w:val="17"/>
              </w:rPr>
              <w:t>Unsigned or modified adapter</w:t>
            </w:r>
          </w:p>
        </w:tc>
        <w:tc>
          <w:tcPr>
            <w:tcW w:type="dxa" w:w="4872"/>
            <w:shd w:val="clear" w:color="auto" w:fill="F3F6F8"/>
          </w:tcPr>
          <w:p>
            <w:pPr>
              <w:spacing w:after="0" w:line="240" w:lineRule="auto"/>
            </w:pPr>
            <w:r>
              <w:rPr>
                <w:sz w:val="17"/>
              </w:rPr>
              <w:t>Execution blocked and alert raised.</w:t>
            </w:r>
          </w:p>
        </w:tc>
      </w:tr>
      <w:tr>
        <w:trPr>
          <w:cantSplit w:val="true"/>
        </w:trPr>
        <w:tc>
          <w:tcPr>
            <w:tcW w:type="dxa" w:w="953"/>
          </w:tcPr>
          <w:p>
            <w:pPr>
              <w:spacing w:after="0" w:line="240" w:lineRule="auto"/>
            </w:pPr>
            <w:r>
              <w:rPr>
                <w:b/>
                <w:sz w:val="17"/>
              </w:rPr>
              <w:t>TC-11</w:t>
            </w:r>
          </w:p>
        </w:tc>
        <w:tc>
          <w:tcPr>
            <w:tcW w:type="dxa" w:w="3813"/>
          </w:tcPr>
          <w:p>
            <w:pPr>
              <w:spacing w:after="0" w:line="240" w:lineRule="auto"/>
            </w:pPr>
            <w:r>
              <w:rPr>
                <w:sz w:val="17"/>
              </w:rPr>
              <w:t>Secret scan of logs, ECC payloads and flow context after a full run</w:t>
            </w:r>
          </w:p>
        </w:tc>
        <w:tc>
          <w:tcPr>
            <w:tcW w:type="dxa" w:w="4872"/>
          </w:tcPr>
          <w:p>
            <w:pPr>
              <w:spacing w:after="0" w:line="240" w:lineRule="auto"/>
            </w:pPr>
            <w:r>
              <w:rPr>
                <w:sz w:val="17"/>
              </w:rPr>
              <w:t>No keys, passwords or PKCS#12 content found.</w:t>
            </w:r>
          </w:p>
        </w:tc>
      </w:tr>
      <w:tr>
        <w:trPr>
          <w:cantSplit w:val="true"/>
        </w:trPr>
        <w:tc>
          <w:tcPr>
            <w:tcW w:type="dxa" w:w="953"/>
            <w:shd w:val="clear" w:color="auto" w:fill="F3F6F8"/>
          </w:tcPr>
          <w:p>
            <w:pPr>
              <w:spacing w:after="0" w:line="240" w:lineRule="auto"/>
            </w:pPr>
            <w:r>
              <w:rPr>
                <w:b/>
                <w:sz w:val="17"/>
              </w:rPr>
              <w:t>TC-12</w:t>
            </w:r>
          </w:p>
        </w:tc>
        <w:tc>
          <w:tcPr>
            <w:tcW w:type="dxa" w:w="3813"/>
            <w:shd w:val="clear" w:color="auto" w:fill="F3F6F8"/>
          </w:tcPr>
          <w:p>
            <w:pPr>
              <w:spacing w:after="0" w:line="240" w:lineRule="auto"/>
            </w:pPr>
            <w:r>
              <w:rPr>
                <w:sz w:val="17"/>
              </w:rPr>
              <w:t>Requester approves own request</w:t>
            </w:r>
          </w:p>
        </w:tc>
        <w:tc>
          <w:tcPr>
            <w:tcW w:type="dxa" w:w="4872"/>
            <w:shd w:val="clear" w:color="auto" w:fill="F3F6F8"/>
          </w:tcPr>
          <w:p>
            <w:pPr>
              <w:spacing w:after="0" w:line="240" w:lineRule="auto"/>
            </w:pPr>
            <w:r>
              <w:rPr>
                <w:sz w:val="17"/>
              </w:rPr>
              <w:t>Denied by segregation of duties.</w:t>
            </w:r>
          </w:p>
        </w:tc>
      </w:tr>
    </w:tbl>
    <w:p>
      <w:pPr>
        <w:spacing w:after="40"/>
      </w:pPr>
    </w:p>
    <w:p>
      <w:pPr>
        <w:pStyle w:val="Heading2"/>
      </w:pPr>
      <w:r>
        <w:t>12.2 Phase acceptance</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4819"/>
        <w:gridCol w:w="4819"/>
      </w:tblGrid>
      <w:tr>
        <w:trPr>
          <w:tblHeader w:val="true"/>
        </w:trPr>
        <w:tc>
          <w:tcPr>
            <w:tcW w:type="dxa" w:w="1533"/>
            <w:shd w:val="clear" w:color="auto" w:fill="1F2D3D"/>
          </w:tcPr>
          <w:p>
            <w:pPr>
              <w:spacing w:after="0"/>
            </w:pPr>
            <w:r>
              <w:rPr>
                <w:b/>
                <w:color w:val="FFFFFF"/>
                <w:sz w:val="17"/>
              </w:rPr>
              <w:t>Phase</w:t>
            </w:r>
          </w:p>
        </w:tc>
        <w:tc>
          <w:tcPr>
            <w:tcW w:type="dxa" w:w="8105"/>
            <w:shd w:val="clear" w:color="auto" w:fill="1F2D3D"/>
          </w:tcPr>
          <w:p>
            <w:pPr>
              <w:spacing w:after="0"/>
            </w:pPr>
            <w:r>
              <w:rPr>
                <w:b/>
                <w:color w:val="FFFFFF"/>
                <w:sz w:val="17"/>
              </w:rPr>
              <w:t>Accepted when</w:t>
            </w:r>
          </w:p>
        </w:tc>
      </w:tr>
      <w:tr>
        <w:trPr>
          <w:cantSplit w:val="true"/>
        </w:trPr>
        <w:tc>
          <w:tcPr>
            <w:tcW w:type="dxa" w:w="1533"/>
          </w:tcPr>
          <w:p>
            <w:pPr>
              <w:spacing w:after="0" w:line="240" w:lineRule="auto"/>
            </w:pPr>
            <w:r>
              <w:rPr>
                <w:sz w:val="17"/>
              </w:rPr>
              <w:t>P0 POC</w:t>
            </w:r>
          </w:p>
        </w:tc>
        <w:tc>
          <w:tcPr>
            <w:tcW w:type="dxa" w:w="8105"/>
          </w:tcPr>
          <w:p>
            <w:pPr>
              <w:spacing w:after="0" w:line="240" w:lineRule="auto"/>
            </w:pPr>
            <w:r>
              <w:rPr>
                <w:sz w:val="17"/>
              </w:rPr>
              <w:t>The POC exit criteria in chapter 11 are met.</w:t>
            </w:r>
          </w:p>
        </w:tc>
      </w:tr>
      <w:tr>
        <w:trPr>
          <w:cantSplit w:val="true"/>
        </w:trPr>
        <w:tc>
          <w:tcPr>
            <w:tcW w:type="dxa" w:w="1533"/>
            <w:shd w:val="clear" w:color="auto" w:fill="F3F6F8"/>
          </w:tcPr>
          <w:p>
            <w:pPr>
              <w:spacing w:after="0" w:line="240" w:lineRule="auto"/>
            </w:pPr>
            <w:r>
              <w:rPr>
                <w:sz w:val="17"/>
              </w:rPr>
              <w:t>P1 MVP</w:t>
            </w:r>
          </w:p>
        </w:tc>
        <w:tc>
          <w:tcPr>
            <w:tcW w:type="dxa" w:w="8105"/>
            <w:shd w:val="clear" w:color="auto" w:fill="F3F6F8"/>
          </w:tcPr>
          <w:p>
            <w:pPr>
              <w:spacing w:after="0" w:line="240" w:lineRule="auto"/>
            </w:pPr>
            <w:r>
              <w:rPr>
                <w:sz w:val="17"/>
              </w:rPr>
              <w:t>Windows, Linux and manual paths pass TC-01 to TC-04, TC-08, TC-10 to TC-12 against the real Sectigo sandbox; security review and penetration test are closed.</w:t>
            </w:r>
          </w:p>
        </w:tc>
      </w:tr>
      <w:tr>
        <w:trPr>
          <w:cantSplit w:val="true"/>
        </w:trPr>
        <w:tc>
          <w:tcPr>
            <w:tcW w:type="dxa" w:w="1533"/>
          </w:tcPr>
          <w:p>
            <w:pPr>
              <w:spacing w:after="0" w:line="240" w:lineRule="auto"/>
            </w:pPr>
            <w:r>
              <w:rPr>
                <w:sz w:val="17"/>
              </w:rPr>
              <w:t>P2 Expansion</w:t>
            </w:r>
          </w:p>
        </w:tc>
        <w:tc>
          <w:tcPr>
            <w:tcW w:type="dxa" w:w="8105"/>
          </w:tcPr>
          <w:p>
            <w:pPr>
              <w:spacing w:after="0" w:line="240" w:lineRule="auto"/>
            </w:pPr>
            <w:r>
              <w:rPr>
                <w:sz w:val="17"/>
              </w:rPr>
              <w:t>Kubernetes, Java, F5 and Apple paths pass TC-05 to TC-07; multi-zone HA passes TC-09; discovery is running.</w:t>
            </w:r>
          </w:p>
        </w:tc>
      </w:tr>
      <w:tr>
        <w:trPr>
          <w:cantSplit w:val="true"/>
        </w:trPr>
        <w:tc>
          <w:tcPr>
            <w:tcW w:type="dxa" w:w="1533"/>
            <w:shd w:val="clear" w:color="auto" w:fill="F3F6F8"/>
          </w:tcPr>
          <w:p>
            <w:pPr>
              <w:spacing w:after="0" w:line="240" w:lineRule="auto"/>
            </w:pPr>
            <w:r>
              <w:rPr>
                <w:sz w:val="17"/>
              </w:rPr>
              <w:t>P3 Enterprise</w:t>
            </w:r>
          </w:p>
        </w:tc>
        <w:tc>
          <w:tcPr>
            <w:tcW w:type="dxa" w:w="8105"/>
            <w:shd w:val="clear" w:color="auto" w:fill="F3F6F8"/>
          </w:tcPr>
          <w:p>
            <w:pPr>
              <w:spacing w:after="0" w:line="240" w:lineRule="auto"/>
            </w:pPr>
            <w:r>
              <w:rPr>
                <w:sz w:val="17"/>
              </w:rPr>
              <w:t>Cloud, database and network adapters delivered; disaster recovery and load tests pass; SIEM and compliance reports in use.</w:t>
            </w:r>
          </w:p>
        </w:tc>
      </w:tr>
    </w:tbl>
    <w:p>
      <w:pPr>
        <w:spacing w:after="40"/>
      </w:pPr>
    </w:p>
    <w:p>
      <w:pPr>
        <w:pStyle w:val="Heading1"/>
        <w:pBdr>
          <w:bottom w:val="single" w:sz="8" w:space="2" w:color="2E7D32"/>
        </w:pBdr>
      </w:pPr>
      <w:r>
        <w:t>13. Risks and dependencies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2409"/>
        <w:gridCol w:w="2409"/>
        <w:gridCol w:w="2409"/>
        <w:gridCol w:w="2409"/>
      </w:tblGrid>
      <w:tr>
        <w:trPr>
          <w:tblHeader w:val="true"/>
        </w:trPr>
        <w:tc>
          <w:tcPr>
            <w:tcW w:type="dxa" w:w="428"/>
            <w:shd w:val="clear" w:color="auto" w:fill="1F2D3D"/>
          </w:tcPr>
          <w:p>
            <w:pPr>
              <w:spacing w:after="0"/>
            </w:pPr>
            <w:r>
              <w:rPr>
                <w:b/>
                <w:color w:val="FFFFFF"/>
                <w:sz w:val="17"/>
              </w:rPr>
              <w:t>#</w:t>
            </w:r>
          </w:p>
        </w:tc>
        <w:tc>
          <w:tcPr>
            <w:tcW w:type="dxa" w:w="3641"/>
            <w:shd w:val="clear" w:color="auto" w:fill="1F2D3D"/>
          </w:tcPr>
          <w:p>
            <w:pPr>
              <w:spacing w:after="0"/>
            </w:pPr>
            <w:r>
              <w:rPr>
                <w:b/>
                <w:color w:val="FFFFFF"/>
                <w:sz w:val="17"/>
              </w:rPr>
              <w:t>Risk or dependency</w:t>
            </w:r>
          </w:p>
        </w:tc>
        <w:tc>
          <w:tcPr>
            <w:tcW w:type="dxa" w:w="1928"/>
            <w:shd w:val="clear" w:color="auto" w:fill="1F2D3D"/>
          </w:tcPr>
          <w:p>
            <w:pPr>
              <w:spacing w:after="0"/>
            </w:pPr>
            <w:r>
              <w:rPr>
                <w:b/>
                <w:color w:val="FFFFFF"/>
                <w:sz w:val="17"/>
              </w:rPr>
              <w:t>Impact</w:t>
            </w:r>
          </w:p>
        </w:tc>
        <w:tc>
          <w:tcPr>
            <w:tcW w:type="dxa" w:w="3641"/>
            <w:shd w:val="clear" w:color="auto" w:fill="1F2D3D"/>
          </w:tcPr>
          <w:p>
            <w:pPr>
              <w:spacing w:after="0"/>
            </w:pPr>
            <w:r>
              <w:rPr>
                <w:b/>
                <w:color w:val="FFFFFF"/>
                <w:sz w:val="17"/>
              </w:rPr>
              <w:t>Mitigation</w:t>
            </w:r>
          </w:p>
        </w:tc>
      </w:tr>
      <w:tr>
        <w:trPr>
          <w:cantSplit w:val="true"/>
        </w:trPr>
        <w:tc>
          <w:tcPr>
            <w:tcW w:type="dxa" w:w="428"/>
          </w:tcPr>
          <w:p>
            <w:pPr>
              <w:spacing w:after="0" w:line="240" w:lineRule="auto"/>
            </w:pPr>
            <w:r>
              <w:rPr>
                <w:b/>
                <w:sz w:val="17"/>
              </w:rPr>
              <w:t>R1</w:t>
            </w:r>
          </w:p>
        </w:tc>
        <w:tc>
          <w:tcPr>
            <w:tcW w:type="dxa" w:w="3641"/>
          </w:tcPr>
          <w:p>
            <w:pPr>
              <w:spacing w:after="0" w:line="240" w:lineRule="auto"/>
            </w:pPr>
            <w:r>
              <w:rPr>
                <w:sz w:val="17"/>
              </w:rPr>
              <w:t>The ServiceNow PDI has limits: it can be reclaimed after inactivity and may not include Integration Hub or Orchestration steps such as the PowerShell action assumed in the plan.</w:t>
            </w:r>
          </w:p>
        </w:tc>
        <w:tc>
          <w:tcPr>
            <w:tcW w:type="dxa" w:w="1928"/>
          </w:tcPr>
          <w:p>
            <w:pPr>
              <w:spacing w:after="0" w:line="240" w:lineRule="auto"/>
            </w:pPr>
            <w:r>
              <w:rPr>
                <w:sz w:val="17"/>
              </w:rPr>
              <w:t>POC blocked or non-representative</w:t>
            </w:r>
          </w:p>
        </w:tc>
        <w:tc>
          <w:tcPr>
            <w:tcW w:type="dxa" w:w="3641"/>
          </w:tcPr>
          <w:p>
            <w:pPr>
              <w:spacing w:after="0" w:line="240" w:lineRule="auto"/>
            </w:pPr>
            <w:r>
              <w:rPr>
                <w:sz w:val="17"/>
              </w:rPr>
              <w:t>Confirm plugins now (Q1); keep a scripted-REST and MID script-include fallback; back up update sets.</w:t>
            </w:r>
          </w:p>
        </w:tc>
      </w:tr>
      <w:tr>
        <w:trPr>
          <w:cantSplit w:val="true"/>
        </w:trPr>
        <w:tc>
          <w:tcPr>
            <w:tcW w:type="dxa" w:w="428"/>
            <w:shd w:val="clear" w:color="auto" w:fill="F3F6F8"/>
          </w:tcPr>
          <w:p>
            <w:pPr>
              <w:spacing w:after="0" w:line="240" w:lineRule="auto"/>
            </w:pPr>
            <w:r>
              <w:rPr>
                <w:b/>
                <w:sz w:val="17"/>
              </w:rPr>
              <w:t>R2</w:t>
            </w:r>
          </w:p>
        </w:tc>
        <w:tc>
          <w:tcPr>
            <w:tcW w:type="dxa" w:w="3641"/>
            <w:shd w:val="clear" w:color="auto" w:fill="F3F6F8"/>
          </w:tcPr>
          <w:p>
            <w:pPr>
              <w:spacing w:after="0" w:line="240" w:lineRule="auto"/>
            </w:pPr>
            <w:r>
              <w:rPr>
                <w:sz w:val="17"/>
              </w:rPr>
              <w:t>No Sectigo sandbox or API access yet.</w:t>
            </w:r>
          </w:p>
        </w:tc>
        <w:tc>
          <w:tcPr>
            <w:tcW w:type="dxa" w:w="1928"/>
            <w:shd w:val="clear" w:color="auto" w:fill="F3F6F8"/>
          </w:tcPr>
          <w:p>
            <w:pPr>
              <w:spacing w:after="0" w:line="240" w:lineRule="auto"/>
            </w:pPr>
            <w:r>
              <w:rPr>
                <w:sz w:val="17"/>
              </w:rPr>
              <w:t>Phase 1 delayed</w:t>
            </w:r>
          </w:p>
        </w:tc>
        <w:tc>
          <w:tcPr>
            <w:tcW w:type="dxa" w:w="3641"/>
            <w:shd w:val="clear" w:color="auto" w:fill="F3F6F8"/>
          </w:tcPr>
          <w:p>
            <w:pPr>
              <w:spacing w:after="0" w:line="240" w:lineRule="auto"/>
            </w:pPr>
            <w:r>
              <w:rPr>
                <w:sz w:val="17"/>
              </w:rPr>
              <w:t>Use the test CA meanwhile; request the sandbox now (Q2).</w:t>
            </w:r>
          </w:p>
        </w:tc>
      </w:tr>
      <w:tr>
        <w:trPr>
          <w:cantSplit w:val="true"/>
        </w:trPr>
        <w:tc>
          <w:tcPr>
            <w:tcW w:type="dxa" w:w="428"/>
          </w:tcPr>
          <w:p>
            <w:pPr>
              <w:spacing w:after="0" w:line="240" w:lineRule="auto"/>
            </w:pPr>
            <w:r>
              <w:rPr>
                <w:b/>
                <w:sz w:val="17"/>
              </w:rPr>
              <w:t>R3</w:t>
            </w:r>
          </w:p>
        </w:tc>
        <w:tc>
          <w:tcPr>
            <w:tcW w:type="dxa" w:w="3641"/>
          </w:tcPr>
          <w:p>
            <w:pPr>
              <w:spacing w:after="0" w:line="240" w:lineRule="auto"/>
            </w:pPr>
            <w:r>
              <w:rPr>
                <w:sz w:val="17"/>
              </w:rPr>
              <w:t>Vault product undecided.</w:t>
            </w:r>
          </w:p>
        </w:tc>
        <w:tc>
          <w:tcPr>
            <w:tcW w:type="dxa" w:w="1928"/>
          </w:tcPr>
          <w:p>
            <w:pPr>
              <w:spacing w:after="0" w:line="240" w:lineRule="auto"/>
            </w:pPr>
            <w:r>
              <w:rPr>
                <w:sz w:val="17"/>
              </w:rPr>
              <w:t>Blocks secure credentials</w:t>
            </w:r>
          </w:p>
        </w:tc>
        <w:tc>
          <w:tcPr>
            <w:tcW w:type="dxa" w:w="3641"/>
          </w:tcPr>
          <w:p>
            <w:pPr>
              <w:spacing w:after="0" w:line="240" w:lineRule="auto"/>
            </w:pPr>
            <w:r>
              <w:rPr>
                <w:sz w:val="17"/>
              </w:rPr>
              <w:t>Start with a local Vault container; keep the interface vendor-neutral (Q3).</w:t>
            </w:r>
          </w:p>
        </w:tc>
      </w:tr>
      <w:tr>
        <w:trPr>
          <w:cantSplit w:val="true"/>
        </w:trPr>
        <w:tc>
          <w:tcPr>
            <w:tcW w:type="dxa" w:w="428"/>
            <w:shd w:val="clear" w:color="auto" w:fill="F3F6F8"/>
          </w:tcPr>
          <w:p>
            <w:pPr>
              <w:spacing w:after="0" w:line="240" w:lineRule="auto"/>
            </w:pPr>
            <w:r>
              <w:rPr>
                <w:b/>
                <w:sz w:val="17"/>
              </w:rPr>
              <w:t>R4</w:t>
            </w:r>
          </w:p>
        </w:tc>
        <w:tc>
          <w:tcPr>
            <w:tcW w:type="dxa" w:w="3641"/>
            <w:shd w:val="clear" w:color="auto" w:fill="F3F6F8"/>
          </w:tcPr>
          <w:p>
            <w:pPr>
              <w:spacing w:after="0" w:line="240" w:lineRule="auto"/>
            </w:pPr>
            <w:r>
              <w:rPr>
                <w:sz w:val="17"/>
              </w:rPr>
              <w:t>A Windows laptop MID Server and loopback targets are unrepresentative of production.</w:t>
            </w:r>
          </w:p>
        </w:tc>
        <w:tc>
          <w:tcPr>
            <w:tcW w:type="dxa" w:w="1928"/>
            <w:shd w:val="clear" w:color="auto" w:fill="F3F6F8"/>
          </w:tcPr>
          <w:p>
            <w:pPr>
              <w:spacing w:after="0" w:line="240" w:lineRule="auto"/>
            </w:pPr>
            <w:r>
              <w:rPr>
                <w:sz w:val="17"/>
              </w:rPr>
              <w:t>False confidence</w:t>
            </w:r>
          </w:p>
        </w:tc>
        <w:tc>
          <w:tcPr>
            <w:tcW w:type="dxa" w:w="3641"/>
            <w:shd w:val="clear" w:color="auto" w:fill="F3F6F8"/>
          </w:tcPr>
          <w:p>
            <w:pPr>
              <w:spacing w:after="0" w:line="240" w:lineRule="auto"/>
            </w:pPr>
            <w:r>
              <w:rPr>
                <w:sz w:val="17"/>
              </w:rPr>
              <w:t>Add real Linux and a second host early in Phase 1.</w:t>
            </w:r>
          </w:p>
        </w:tc>
      </w:tr>
      <w:tr>
        <w:trPr>
          <w:cantSplit w:val="true"/>
        </w:trPr>
        <w:tc>
          <w:tcPr>
            <w:tcW w:type="dxa" w:w="428"/>
          </w:tcPr>
          <w:p>
            <w:pPr>
              <w:spacing w:after="0" w:line="240" w:lineRule="auto"/>
            </w:pPr>
            <w:r>
              <w:rPr>
                <w:b/>
                <w:sz w:val="17"/>
              </w:rPr>
              <w:t>R5</w:t>
            </w:r>
          </w:p>
        </w:tc>
        <w:tc>
          <w:tcPr>
            <w:tcW w:type="dxa" w:w="3641"/>
          </w:tcPr>
          <w:p>
            <w:pPr>
              <w:spacing w:after="0" w:line="240" w:lineRule="auto"/>
            </w:pPr>
            <w:r>
              <w:rPr>
                <w:sz w:val="17"/>
              </w:rPr>
              <w:t>Scope creep from the all-technologies requirement.</w:t>
            </w:r>
          </w:p>
        </w:tc>
        <w:tc>
          <w:tcPr>
            <w:tcW w:type="dxa" w:w="1928"/>
          </w:tcPr>
          <w:p>
            <w:pPr>
              <w:spacing w:after="0" w:line="240" w:lineRule="auto"/>
            </w:pPr>
            <w:r>
              <w:rPr>
                <w:sz w:val="17"/>
              </w:rPr>
              <w:t>Late delivery</w:t>
            </w:r>
          </w:p>
        </w:tc>
        <w:tc>
          <w:tcPr>
            <w:tcW w:type="dxa" w:w="3641"/>
          </w:tcPr>
          <w:p>
            <w:pPr>
              <w:spacing w:after="0" w:line="240" w:lineRule="auto"/>
            </w:pPr>
            <w:r>
              <w:rPr>
                <w:sz w:val="17"/>
              </w:rPr>
              <w:t>Strict phasing (FR-ADP-006); manual fallback covers the long tail.</w:t>
            </w:r>
          </w:p>
        </w:tc>
      </w:tr>
      <w:tr>
        <w:trPr>
          <w:cantSplit w:val="true"/>
        </w:trPr>
        <w:tc>
          <w:tcPr>
            <w:tcW w:type="dxa" w:w="428"/>
            <w:shd w:val="clear" w:color="auto" w:fill="F3F6F8"/>
          </w:tcPr>
          <w:p>
            <w:pPr>
              <w:spacing w:after="0" w:line="240" w:lineRule="auto"/>
            </w:pPr>
            <w:r>
              <w:rPr>
                <w:b/>
                <w:sz w:val="17"/>
              </w:rPr>
              <w:t>R6</w:t>
            </w:r>
          </w:p>
        </w:tc>
        <w:tc>
          <w:tcPr>
            <w:tcW w:type="dxa" w:w="3641"/>
            <w:shd w:val="clear" w:color="auto" w:fill="F3F6F8"/>
          </w:tcPr>
          <w:p>
            <w:pPr>
              <w:spacing w:after="0" w:line="240" w:lineRule="auto"/>
            </w:pPr>
            <w:r>
              <w:rPr>
                <w:sz w:val="17"/>
              </w:rPr>
              <w:t>Apple devices are offline or unsupervised.</w:t>
            </w:r>
          </w:p>
        </w:tc>
        <w:tc>
          <w:tcPr>
            <w:tcW w:type="dxa" w:w="1928"/>
            <w:shd w:val="clear" w:color="auto" w:fill="F3F6F8"/>
          </w:tcPr>
          <w:p>
            <w:pPr>
              <w:spacing w:after="0" w:line="240" w:lineRule="auto"/>
            </w:pPr>
            <w:r>
              <w:rPr>
                <w:sz w:val="17"/>
              </w:rPr>
              <w:t>Slow or partial rollout</w:t>
            </w:r>
          </w:p>
        </w:tc>
        <w:tc>
          <w:tcPr>
            <w:tcW w:type="dxa" w:w="3641"/>
            <w:shd w:val="clear" w:color="auto" w:fill="F3F6F8"/>
          </w:tcPr>
          <w:p>
            <w:pPr>
              <w:spacing w:after="0" w:line="240" w:lineRule="auto"/>
            </w:pPr>
            <w:r>
              <w:rPr>
                <w:sz w:val="17"/>
              </w:rPr>
              <w:t>Pending state with SLA; supervised devices for silent install.</w:t>
            </w:r>
          </w:p>
        </w:tc>
      </w:tr>
      <w:tr>
        <w:trPr>
          <w:cantSplit w:val="true"/>
        </w:trPr>
        <w:tc>
          <w:tcPr>
            <w:tcW w:type="dxa" w:w="428"/>
          </w:tcPr>
          <w:p>
            <w:pPr>
              <w:spacing w:after="0" w:line="240" w:lineRule="auto"/>
            </w:pPr>
            <w:r>
              <w:rPr>
                <w:b/>
                <w:sz w:val="17"/>
              </w:rPr>
              <w:t>R7</w:t>
            </w:r>
          </w:p>
        </w:tc>
        <w:tc>
          <w:tcPr>
            <w:tcW w:type="dxa" w:w="3641"/>
          </w:tcPr>
          <w:p>
            <w:pPr>
              <w:spacing w:after="0" w:line="240" w:lineRule="auto"/>
            </w:pPr>
            <w:r>
              <w:rPr>
                <w:sz w:val="17"/>
              </w:rPr>
              <w:t>Certificate lifetimes keep shrinking.</w:t>
            </w:r>
          </w:p>
        </w:tc>
        <w:tc>
          <w:tcPr>
            <w:tcW w:type="dxa" w:w="1928"/>
          </w:tcPr>
          <w:p>
            <w:pPr>
              <w:spacing w:after="0" w:line="240" w:lineRule="auto"/>
            </w:pPr>
            <w:r>
              <w:rPr>
                <w:sz w:val="17"/>
              </w:rPr>
              <w:t>Higher renewal volume</w:t>
            </w:r>
          </w:p>
        </w:tc>
        <w:tc>
          <w:tcPr>
            <w:tcW w:type="dxa" w:w="3641"/>
          </w:tcPr>
          <w:p>
            <w:pPr>
              <w:spacing w:after="0" w:line="240" w:lineRule="auto"/>
            </w:pPr>
            <w:r>
              <w:rPr>
                <w:sz w:val="17"/>
              </w:rPr>
              <w:t>Design for daily scheduling and throttling (NFR-CRY-01).</w:t>
            </w:r>
          </w:p>
        </w:tc>
      </w:tr>
      <w:tr>
        <w:trPr>
          <w:cantSplit w:val="true"/>
        </w:trPr>
        <w:tc>
          <w:tcPr>
            <w:tcW w:type="dxa" w:w="428"/>
            <w:shd w:val="clear" w:color="auto" w:fill="F3F6F8"/>
          </w:tcPr>
          <w:p>
            <w:pPr>
              <w:spacing w:after="0" w:line="240" w:lineRule="auto"/>
            </w:pPr>
            <w:r>
              <w:rPr>
                <w:b/>
                <w:sz w:val="17"/>
              </w:rPr>
              <w:t>R8</w:t>
            </w:r>
          </w:p>
        </w:tc>
        <w:tc>
          <w:tcPr>
            <w:tcW w:type="dxa" w:w="3641"/>
            <w:shd w:val="clear" w:color="auto" w:fill="F3F6F8"/>
          </w:tcPr>
          <w:p>
            <w:pPr>
              <w:spacing w:after="0" w:line="240" w:lineRule="auto"/>
            </w:pPr>
            <w:r>
              <w:rPr>
                <w:sz w:val="17"/>
              </w:rPr>
              <w:t>Adapter maintenance burden as platforms change.</w:t>
            </w:r>
          </w:p>
        </w:tc>
        <w:tc>
          <w:tcPr>
            <w:tcW w:type="dxa" w:w="1928"/>
            <w:shd w:val="clear" w:color="auto" w:fill="F3F6F8"/>
          </w:tcPr>
          <w:p>
            <w:pPr>
              <w:spacing w:after="0" w:line="240" w:lineRule="auto"/>
            </w:pPr>
            <w:r>
              <w:rPr>
                <w:sz w:val="17"/>
              </w:rPr>
              <w:t>Technical debt</w:t>
            </w:r>
          </w:p>
        </w:tc>
        <w:tc>
          <w:tcPr>
            <w:tcW w:type="dxa" w:w="3641"/>
            <w:shd w:val="clear" w:color="auto" w:fill="F3F6F8"/>
          </w:tcPr>
          <w:p>
            <w:pPr>
              <w:spacing w:after="0" w:line="240" w:lineRule="auto"/>
            </w:pPr>
            <w:r>
              <w:rPr>
                <w:sz w:val="17"/>
              </w:rPr>
              <w:t>Contract versioning, tests, ownership per adapter.</w:t>
            </w:r>
          </w:p>
        </w:tc>
      </w:tr>
      <w:tr>
        <w:trPr>
          <w:cantSplit w:val="true"/>
        </w:trPr>
        <w:tc>
          <w:tcPr>
            <w:tcW w:type="dxa" w:w="428"/>
          </w:tcPr>
          <w:p>
            <w:pPr>
              <w:spacing w:after="0" w:line="240" w:lineRule="auto"/>
            </w:pPr>
            <w:r>
              <w:rPr>
                <w:b/>
                <w:sz w:val="17"/>
              </w:rPr>
              <w:t>R9</w:t>
            </w:r>
          </w:p>
        </w:tc>
        <w:tc>
          <w:tcPr>
            <w:tcW w:type="dxa" w:w="3641"/>
          </w:tcPr>
          <w:p>
            <w:pPr>
              <w:spacing w:after="0" w:line="240" w:lineRule="auto"/>
            </w:pPr>
            <w:r>
              <w:rPr>
                <w:sz w:val="17"/>
              </w:rPr>
              <w:t>Firewall and network approvals for MID Servers per zone.</w:t>
            </w:r>
          </w:p>
        </w:tc>
        <w:tc>
          <w:tcPr>
            <w:tcW w:type="dxa" w:w="1928"/>
          </w:tcPr>
          <w:p>
            <w:pPr>
              <w:spacing w:after="0" w:line="240" w:lineRule="auto"/>
            </w:pPr>
            <w:r>
              <w:rPr>
                <w:sz w:val="17"/>
              </w:rPr>
              <w:t>Delays</w:t>
            </w:r>
          </w:p>
        </w:tc>
        <w:tc>
          <w:tcPr>
            <w:tcW w:type="dxa" w:w="3641"/>
          </w:tcPr>
          <w:p>
            <w:pPr>
              <w:spacing w:after="0" w:line="240" w:lineRule="auto"/>
            </w:pPr>
            <w:r>
              <w:rPr>
                <w:sz w:val="17"/>
              </w:rPr>
              <w:t>Raise requests early; use outbound-only design to simplify approval.</w:t>
            </w:r>
          </w:p>
        </w:tc>
      </w:tr>
      <w:tr>
        <w:trPr>
          <w:cantSplit w:val="true"/>
        </w:trPr>
        <w:tc>
          <w:tcPr>
            <w:tcW w:type="dxa" w:w="428"/>
            <w:shd w:val="clear" w:color="auto" w:fill="F3F6F8"/>
          </w:tcPr>
          <w:p>
            <w:pPr>
              <w:spacing w:after="0" w:line="240" w:lineRule="auto"/>
            </w:pPr>
            <w:r>
              <w:rPr>
                <w:b/>
                <w:sz w:val="17"/>
              </w:rPr>
              <w:t>R10</w:t>
            </w:r>
          </w:p>
        </w:tc>
        <w:tc>
          <w:tcPr>
            <w:tcW w:type="dxa" w:w="3641"/>
            <w:shd w:val="clear" w:color="auto" w:fill="F3F6F8"/>
          </w:tcPr>
          <w:p>
            <w:pPr>
              <w:spacing w:after="0" w:line="240" w:lineRule="auto"/>
            </w:pPr>
            <w:r>
              <w:rPr>
                <w:sz w:val="17"/>
              </w:rPr>
              <w:t>Skills across ServiceNow, PKI, Windows, Linux, Kubernetes and MDM.</w:t>
            </w:r>
          </w:p>
        </w:tc>
        <w:tc>
          <w:tcPr>
            <w:tcW w:type="dxa" w:w="1928"/>
            <w:shd w:val="clear" w:color="auto" w:fill="F3F6F8"/>
          </w:tcPr>
          <w:p>
            <w:pPr>
              <w:spacing w:after="0" w:line="240" w:lineRule="auto"/>
            </w:pPr>
            <w:r>
              <w:rPr>
                <w:sz w:val="17"/>
              </w:rPr>
              <w:t>Quality risk</w:t>
            </w:r>
          </w:p>
        </w:tc>
        <w:tc>
          <w:tcPr>
            <w:tcW w:type="dxa" w:w="3641"/>
            <w:shd w:val="clear" w:color="auto" w:fill="F3F6F8"/>
          </w:tcPr>
          <w:p>
            <w:pPr>
              <w:spacing w:after="0" w:line="240" w:lineRule="auto"/>
            </w:pPr>
            <w:r>
              <w:rPr>
                <w:sz w:val="17"/>
              </w:rPr>
              <w:t>Pair engineers with platform owners; review gates.</w:t>
            </w:r>
          </w:p>
        </w:tc>
      </w:tr>
    </w:tbl>
    <w:p>
      <w:pPr>
        <w:spacing w:after="40"/>
      </w:pPr>
    </w:p>
    <w:p>
      <w:pPr>
        <w:pStyle w:val="Heading1"/>
        <w:pBdr>
          <w:bottom w:val="single" w:sz="8" w:space="2" w:color="2E7D32"/>
        </w:pBdr>
      </w:pPr>
      <w:r>
        <w:t>14. Decisions and open questions</w:t>
      </w:r>
    </w:p>
    <w:p>
      <w:r>
        <w:t>These are the points where your answer changes the design. Each has a default that will be used if you do not decide otherwise.</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530"/>
            <w:shd w:val="clear" w:color="auto" w:fill="1F2D3D"/>
          </w:tcPr>
          <w:p>
            <w:pPr>
              <w:spacing w:after="0"/>
            </w:pPr>
            <w:r>
              <w:rPr>
                <w:b/>
                <w:color w:val="FFFFFF"/>
                <w:sz w:val="17"/>
              </w:rPr>
              <w:t>#</w:t>
            </w:r>
          </w:p>
        </w:tc>
        <w:tc>
          <w:tcPr>
            <w:tcW w:type="dxa" w:w="6672"/>
            <w:shd w:val="clear" w:color="auto" w:fill="1F2D3D"/>
          </w:tcPr>
          <w:p>
            <w:pPr>
              <w:spacing w:after="0"/>
            </w:pPr>
            <w:r>
              <w:rPr>
                <w:b/>
                <w:color w:val="FFFFFF"/>
                <w:sz w:val="17"/>
              </w:rPr>
              <w:t>Question</w:t>
            </w:r>
          </w:p>
        </w:tc>
        <w:tc>
          <w:tcPr>
            <w:tcW w:type="dxa" w:w="2436"/>
            <w:shd w:val="clear" w:color="auto" w:fill="1F2D3D"/>
          </w:tcPr>
          <w:p>
            <w:pPr>
              <w:spacing w:after="0"/>
            </w:pPr>
            <w:r>
              <w:rPr>
                <w:b/>
                <w:color w:val="FFFFFF"/>
                <w:sz w:val="17"/>
              </w:rPr>
              <w:t>Default if not answered</w:t>
            </w:r>
          </w:p>
        </w:tc>
      </w:tr>
      <w:tr>
        <w:trPr>
          <w:cantSplit w:val="true"/>
        </w:trPr>
        <w:tc>
          <w:tcPr>
            <w:tcW w:type="dxa" w:w="530"/>
          </w:tcPr>
          <w:p>
            <w:pPr>
              <w:spacing w:after="0" w:line="240" w:lineRule="auto"/>
            </w:pPr>
            <w:r>
              <w:rPr>
                <w:b/>
                <w:sz w:val="17"/>
              </w:rPr>
              <w:t>Q1</w:t>
            </w:r>
          </w:p>
        </w:tc>
        <w:tc>
          <w:tcPr>
            <w:tcW w:type="dxa" w:w="6672"/>
          </w:tcPr>
          <w:p>
            <w:pPr>
              <w:spacing w:after="0" w:line="240" w:lineRule="auto"/>
            </w:pPr>
            <w:r>
              <w:rPr>
                <w:sz w:val="17"/>
              </w:rPr>
              <w:t>Is ServiceNow the production orchestrator? Which licences and plugins are available (Discovery, Integration Hub, Orchestration, the PowerShell step)? Should the ServiceNow certificate-management offering be evaluated as build versus buy?</w:t>
            </w:r>
          </w:p>
        </w:tc>
        <w:tc>
          <w:tcPr>
            <w:tcW w:type="dxa" w:w="2436"/>
          </w:tcPr>
          <w:p>
            <w:pPr>
              <w:spacing w:after="0" w:line="240" w:lineRule="auto"/>
            </w:pPr>
            <w:r>
              <w:rPr>
                <w:sz w:val="17"/>
              </w:rPr>
              <w:t>Build a scoped ServiceNow application.</w:t>
            </w:r>
          </w:p>
        </w:tc>
      </w:tr>
      <w:tr>
        <w:trPr>
          <w:cantSplit w:val="true"/>
        </w:trPr>
        <w:tc>
          <w:tcPr>
            <w:tcW w:type="dxa" w:w="530"/>
            <w:shd w:val="clear" w:color="auto" w:fill="F3F6F8"/>
          </w:tcPr>
          <w:p>
            <w:pPr>
              <w:spacing w:after="0" w:line="240" w:lineRule="auto"/>
            </w:pPr>
            <w:r>
              <w:rPr>
                <w:b/>
                <w:sz w:val="17"/>
              </w:rPr>
              <w:t>Q2</w:t>
            </w:r>
          </w:p>
        </w:tc>
        <w:tc>
          <w:tcPr>
            <w:tcW w:type="dxa" w:w="6672"/>
            <w:shd w:val="clear" w:color="auto" w:fill="F3F6F8"/>
          </w:tcPr>
          <w:p>
            <w:pPr>
              <w:spacing w:after="0" w:line="240" w:lineRule="auto"/>
            </w:pPr>
            <w:r>
              <w:rPr>
                <w:sz w:val="17"/>
              </w:rPr>
              <w:t>Which Sectigo product and tenant do you have (Sectigo Certificate Manager)? Is a sandbox available, and is ACME enabled? Which domain-validation method is used? Any second CA?</w:t>
            </w:r>
          </w:p>
        </w:tc>
        <w:tc>
          <w:tcPr>
            <w:tcW w:type="dxa" w:w="2436"/>
            <w:shd w:val="clear" w:color="auto" w:fill="F3F6F8"/>
          </w:tcPr>
          <w:p>
            <w:pPr>
              <w:spacing w:after="0" w:line="240" w:lineRule="auto"/>
            </w:pPr>
            <w:r>
              <w:rPr>
                <w:sz w:val="17"/>
              </w:rPr>
              <w:t>Sectigo first, ACME as second connector.</w:t>
            </w:r>
          </w:p>
        </w:tc>
      </w:tr>
      <w:tr>
        <w:trPr>
          <w:cantSplit w:val="true"/>
        </w:trPr>
        <w:tc>
          <w:tcPr>
            <w:tcW w:type="dxa" w:w="530"/>
          </w:tcPr>
          <w:p>
            <w:pPr>
              <w:spacing w:after="0" w:line="240" w:lineRule="auto"/>
            </w:pPr>
            <w:r>
              <w:rPr>
                <w:b/>
                <w:sz w:val="17"/>
              </w:rPr>
              <w:t>Q3</w:t>
            </w:r>
          </w:p>
        </w:tc>
        <w:tc>
          <w:tcPr>
            <w:tcW w:type="dxa" w:w="6672"/>
          </w:tcPr>
          <w:p>
            <w:pPr>
              <w:spacing w:after="0" w:line="240" w:lineRule="auto"/>
            </w:pPr>
            <w:r>
              <w:rPr>
                <w:sz w:val="17"/>
              </w:rPr>
              <w:t>Which vault: HashiCorp Vault, CyberArk, Azure Key Vault, or the ServiceNow credential store with an external vault?</w:t>
            </w:r>
          </w:p>
        </w:tc>
        <w:tc>
          <w:tcPr>
            <w:tcW w:type="dxa" w:w="2436"/>
          </w:tcPr>
          <w:p>
            <w:pPr>
              <w:spacing w:after="0" w:line="240" w:lineRule="auto"/>
            </w:pPr>
            <w:r>
              <w:rPr>
                <w:sz w:val="17"/>
              </w:rPr>
              <w:t>HashiCorp Vault behind a neutral interface.</w:t>
            </w:r>
          </w:p>
        </w:tc>
      </w:tr>
      <w:tr>
        <w:trPr>
          <w:cantSplit w:val="true"/>
        </w:trPr>
        <w:tc>
          <w:tcPr>
            <w:tcW w:type="dxa" w:w="530"/>
            <w:shd w:val="clear" w:color="auto" w:fill="F3F6F8"/>
          </w:tcPr>
          <w:p>
            <w:pPr>
              <w:spacing w:after="0" w:line="240" w:lineRule="auto"/>
            </w:pPr>
            <w:r>
              <w:rPr>
                <w:b/>
                <w:sz w:val="17"/>
              </w:rPr>
              <w:t>Q4</w:t>
            </w:r>
          </w:p>
        </w:tc>
        <w:tc>
          <w:tcPr>
            <w:tcW w:type="dxa" w:w="6672"/>
            <w:shd w:val="clear" w:color="auto" w:fill="F3F6F8"/>
          </w:tcPr>
          <w:p>
            <w:pPr>
              <w:spacing w:after="0" w:line="240" w:lineRule="auto"/>
            </w:pPr>
            <w:r>
              <w:rPr>
                <w:sz w:val="17"/>
              </w:rPr>
              <w:t>"iOS": does it mean Apple devices (iOS, iPadOS, macOS) or Cisco IOS network devices?</w:t>
            </w:r>
          </w:p>
        </w:tc>
        <w:tc>
          <w:tcPr>
            <w:tcW w:type="dxa" w:w="2436"/>
            <w:shd w:val="clear" w:color="auto" w:fill="F3F6F8"/>
          </w:tcPr>
          <w:p>
            <w:pPr>
              <w:spacing w:after="0" w:line="240" w:lineRule="auto"/>
            </w:pPr>
            <w:r>
              <w:rPr>
                <w:sz w:val="17"/>
              </w:rPr>
              <w:t>Apple devices via MDM in Phase 2; Cisco IOS in Phase 3.</w:t>
            </w:r>
          </w:p>
        </w:tc>
      </w:tr>
      <w:tr>
        <w:trPr>
          <w:cantSplit w:val="true"/>
        </w:trPr>
        <w:tc>
          <w:tcPr>
            <w:tcW w:type="dxa" w:w="530"/>
          </w:tcPr>
          <w:p>
            <w:pPr>
              <w:spacing w:after="0" w:line="240" w:lineRule="auto"/>
            </w:pPr>
            <w:r>
              <w:rPr>
                <w:b/>
                <w:sz w:val="17"/>
              </w:rPr>
              <w:t>Q5</w:t>
            </w:r>
          </w:p>
        </w:tc>
        <w:tc>
          <w:tcPr>
            <w:tcW w:type="dxa" w:w="6672"/>
          </w:tcPr>
          <w:p>
            <w:pPr>
              <w:spacing w:after="0" w:line="240" w:lineRule="auto"/>
            </w:pPr>
            <w:r>
              <w:rPr>
                <w:sz w:val="17"/>
              </w:rPr>
              <w:t>Which MDM (Intune, Jamf, Workspace ONE)?</w:t>
            </w:r>
          </w:p>
        </w:tc>
        <w:tc>
          <w:tcPr>
            <w:tcW w:type="dxa" w:w="2436"/>
          </w:tcPr>
          <w:p>
            <w:pPr>
              <w:spacing w:after="0" w:line="240" w:lineRule="auto"/>
            </w:pPr>
            <w:r>
              <w:rPr>
                <w:sz w:val="17"/>
              </w:rPr>
              <w:t>Intune and Jamf.</w:t>
            </w:r>
          </w:p>
        </w:tc>
      </w:tr>
      <w:tr>
        <w:trPr>
          <w:cantSplit w:val="true"/>
        </w:trPr>
        <w:tc>
          <w:tcPr>
            <w:tcW w:type="dxa" w:w="530"/>
            <w:shd w:val="clear" w:color="auto" w:fill="F3F6F8"/>
          </w:tcPr>
          <w:p>
            <w:pPr>
              <w:spacing w:after="0" w:line="240" w:lineRule="auto"/>
            </w:pPr>
            <w:r>
              <w:rPr>
                <w:b/>
                <w:sz w:val="17"/>
              </w:rPr>
              <w:t>Q6</w:t>
            </w:r>
          </w:p>
        </w:tc>
        <w:tc>
          <w:tcPr>
            <w:tcW w:type="dxa" w:w="6672"/>
            <w:shd w:val="clear" w:color="auto" w:fill="F3F6F8"/>
          </w:tcPr>
          <w:p>
            <w:pPr>
              <w:spacing w:after="0" w:line="240" w:lineRule="auto"/>
            </w:pPr>
            <w:r>
              <w:rPr>
                <w:sz w:val="17"/>
              </w:rPr>
              <w:t>How many targets by type (Windows, Linux, Kubernetes clusters, F5, Java, Apple devices)? This sets the phase order.</w:t>
            </w:r>
          </w:p>
        </w:tc>
        <w:tc>
          <w:tcPr>
            <w:tcW w:type="dxa" w:w="2436"/>
            <w:shd w:val="clear" w:color="auto" w:fill="F3F6F8"/>
          </w:tcPr>
          <w:p>
            <w:pPr>
              <w:spacing w:after="0" w:line="240" w:lineRule="auto"/>
            </w:pPr>
            <w:r>
              <w:rPr>
                <w:sz w:val="17"/>
              </w:rPr>
              <w:t>Order as in the roadmap.</w:t>
            </w:r>
          </w:p>
        </w:tc>
      </w:tr>
      <w:tr>
        <w:trPr>
          <w:cantSplit w:val="true"/>
        </w:trPr>
        <w:tc>
          <w:tcPr>
            <w:tcW w:type="dxa" w:w="530"/>
          </w:tcPr>
          <w:p>
            <w:pPr>
              <w:spacing w:after="0" w:line="240" w:lineRule="auto"/>
            </w:pPr>
            <w:r>
              <w:rPr>
                <w:b/>
                <w:sz w:val="17"/>
              </w:rPr>
              <w:t>Q7</w:t>
            </w:r>
          </w:p>
        </w:tc>
        <w:tc>
          <w:tcPr>
            <w:tcW w:type="dxa" w:w="6672"/>
          </w:tcPr>
          <w:p>
            <w:pPr>
              <w:spacing w:after="0" w:line="240" w:lineRule="auto"/>
            </w:pPr>
            <w:r>
              <w:rPr>
                <w:sz w:val="17"/>
              </w:rPr>
              <w:t>Are exceptions to target-side key generation acceptable (for example appliances that require a PKCS#12)?</w:t>
            </w:r>
          </w:p>
        </w:tc>
        <w:tc>
          <w:tcPr>
            <w:tcW w:type="dxa" w:w="2436"/>
          </w:tcPr>
          <w:p>
            <w:pPr>
              <w:spacing w:after="0" w:line="240" w:lineRule="auto"/>
            </w:pPr>
            <w:r>
              <w:rPr>
                <w:sz w:val="17"/>
              </w:rPr>
              <w:t>Yes, only under FR-KEY-003.</w:t>
            </w:r>
          </w:p>
        </w:tc>
      </w:tr>
      <w:tr>
        <w:trPr>
          <w:cantSplit w:val="true"/>
        </w:trPr>
        <w:tc>
          <w:tcPr>
            <w:tcW w:type="dxa" w:w="530"/>
            <w:shd w:val="clear" w:color="auto" w:fill="F3F6F8"/>
          </w:tcPr>
          <w:p>
            <w:pPr>
              <w:spacing w:after="0" w:line="240" w:lineRule="auto"/>
            </w:pPr>
            <w:r>
              <w:rPr>
                <w:b/>
                <w:sz w:val="17"/>
              </w:rPr>
              <w:t>Q8</w:t>
            </w:r>
          </w:p>
        </w:tc>
        <w:tc>
          <w:tcPr>
            <w:tcW w:type="dxa" w:w="6672"/>
            <w:shd w:val="clear" w:color="auto" w:fill="F3F6F8"/>
          </w:tcPr>
          <w:p>
            <w:pPr>
              <w:spacing w:after="0" w:line="240" w:lineRule="auto"/>
            </w:pPr>
            <w:r>
              <w:rPr>
                <w:sz w:val="17"/>
              </w:rPr>
              <w:t>How many network zones, where do MID Servers sit, and what is the lead time for firewall changes?</w:t>
            </w:r>
          </w:p>
        </w:tc>
        <w:tc>
          <w:tcPr>
            <w:tcW w:type="dxa" w:w="2436"/>
            <w:shd w:val="clear" w:color="auto" w:fill="F3F6F8"/>
          </w:tcPr>
          <w:p>
            <w:pPr>
              <w:spacing w:after="0" w:line="240" w:lineRule="auto"/>
            </w:pPr>
            <w:r>
              <w:rPr>
                <w:sz w:val="17"/>
              </w:rPr>
              <w:t>Three zones: DMZ, internal, cloud.</w:t>
            </w:r>
          </w:p>
        </w:tc>
      </w:tr>
      <w:tr>
        <w:trPr>
          <w:cantSplit w:val="true"/>
        </w:trPr>
        <w:tc>
          <w:tcPr>
            <w:tcW w:type="dxa" w:w="530"/>
          </w:tcPr>
          <w:p>
            <w:pPr>
              <w:spacing w:after="0" w:line="240" w:lineRule="auto"/>
            </w:pPr>
            <w:r>
              <w:rPr>
                <w:b/>
                <w:sz w:val="17"/>
              </w:rPr>
              <w:t>Q9</w:t>
            </w:r>
          </w:p>
        </w:tc>
        <w:tc>
          <w:tcPr>
            <w:tcW w:type="dxa" w:w="6672"/>
          </w:tcPr>
          <w:p>
            <w:pPr>
              <w:spacing w:after="0" w:line="240" w:lineRule="auto"/>
            </w:pPr>
            <w:r>
              <w:rPr>
                <w:sz w:val="17"/>
              </w:rPr>
              <w:t>Should approvals and change use ServiceNow Change, or another tool?</w:t>
            </w:r>
          </w:p>
        </w:tc>
        <w:tc>
          <w:tcPr>
            <w:tcW w:type="dxa" w:w="2436"/>
          </w:tcPr>
          <w:p>
            <w:pPr>
              <w:spacing w:after="0" w:line="240" w:lineRule="auto"/>
            </w:pPr>
            <w:r>
              <w:rPr>
                <w:sz w:val="17"/>
              </w:rPr>
              <w:t>ServiceNow Change.</w:t>
            </w:r>
          </w:p>
        </w:tc>
      </w:tr>
      <w:tr>
        <w:trPr>
          <w:cantSplit w:val="true"/>
        </w:trPr>
        <w:tc>
          <w:tcPr>
            <w:tcW w:type="dxa" w:w="530"/>
            <w:shd w:val="clear" w:color="auto" w:fill="F3F6F8"/>
          </w:tcPr>
          <w:p>
            <w:pPr>
              <w:spacing w:after="0" w:line="240" w:lineRule="auto"/>
            </w:pPr>
            <w:r>
              <w:rPr>
                <w:b/>
                <w:sz w:val="17"/>
              </w:rPr>
              <w:t>Q10</w:t>
            </w:r>
          </w:p>
        </w:tc>
        <w:tc>
          <w:tcPr>
            <w:tcW w:type="dxa" w:w="6672"/>
            <w:shd w:val="clear" w:color="auto" w:fill="F3F6F8"/>
          </w:tcPr>
          <w:p>
            <w:pPr>
              <w:spacing w:after="0" w:line="240" w:lineRule="auto"/>
            </w:pPr>
            <w:r>
              <w:rPr>
                <w:sz w:val="17"/>
              </w:rPr>
              <w:t>Which compliance regimes apply (PCI DSS, ISO 27001, SOC 2, HIPAA, others)?</w:t>
            </w:r>
          </w:p>
        </w:tc>
        <w:tc>
          <w:tcPr>
            <w:tcW w:type="dxa" w:w="2436"/>
            <w:shd w:val="clear" w:color="auto" w:fill="F3F6F8"/>
          </w:tcPr>
          <w:p>
            <w:pPr>
              <w:spacing w:after="0" w:line="240" w:lineRule="auto"/>
            </w:pPr>
            <w:r>
              <w:rPr>
                <w:sz w:val="17"/>
              </w:rPr>
              <w:t>ISO 27001 and SOC 2 mapping.</w:t>
            </w:r>
          </w:p>
        </w:tc>
      </w:tr>
      <w:tr>
        <w:trPr>
          <w:cantSplit w:val="true"/>
        </w:trPr>
        <w:tc>
          <w:tcPr>
            <w:tcW w:type="dxa" w:w="530"/>
          </w:tcPr>
          <w:p>
            <w:pPr>
              <w:spacing w:after="0" w:line="240" w:lineRule="auto"/>
            </w:pPr>
            <w:r>
              <w:rPr>
                <w:b/>
                <w:sz w:val="17"/>
              </w:rPr>
              <w:t>Q11</w:t>
            </w:r>
          </w:p>
        </w:tc>
        <w:tc>
          <w:tcPr>
            <w:tcW w:type="dxa" w:w="6672"/>
          </w:tcPr>
          <w:p>
            <w:pPr>
              <w:spacing w:after="0" w:line="240" w:lineRule="auto"/>
            </w:pPr>
            <w:r>
              <w:rPr>
                <w:sz w:val="17"/>
              </w:rPr>
              <w:t>Default renewal window and maximum validity policy?</w:t>
            </w:r>
          </w:p>
        </w:tc>
        <w:tc>
          <w:tcPr>
            <w:tcW w:type="dxa" w:w="2436"/>
          </w:tcPr>
          <w:p>
            <w:pPr>
              <w:spacing w:after="0" w:line="240" w:lineRule="auto"/>
            </w:pPr>
            <w:r>
              <w:rPr>
                <w:sz w:val="17"/>
              </w:rPr>
              <w:t>Renew 30 days before expiry; maximum validity set by CA/B Forum rules.</w:t>
            </w:r>
          </w:p>
        </w:tc>
      </w:tr>
      <w:tr>
        <w:trPr>
          <w:cantSplit w:val="true"/>
        </w:trPr>
        <w:tc>
          <w:tcPr>
            <w:tcW w:type="dxa" w:w="530"/>
            <w:shd w:val="clear" w:color="auto" w:fill="F3F6F8"/>
          </w:tcPr>
          <w:p>
            <w:pPr>
              <w:spacing w:after="0" w:line="240" w:lineRule="auto"/>
            </w:pPr>
            <w:r>
              <w:rPr>
                <w:b/>
                <w:sz w:val="17"/>
              </w:rPr>
              <w:t>Q12</w:t>
            </w:r>
          </w:p>
        </w:tc>
        <w:tc>
          <w:tcPr>
            <w:tcW w:type="dxa" w:w="6672"/>
            <w:shd w:val="clear" w:color="auto" w:fill="F3F6F8"/>
          </w:tcPr>
          <w:p>
            <w:pPr>
              <w:spacing w:after="0" w:line="240" w:lineRule="auto"/>
            </w:pPr>
            <w:r>
              <w:rPr>
                <w:sz w:val="17"/>
              </w:rPr>
              <w:t>What defines POC success, by when, and who is the audience for the demo?</w:t>
            </w:r>
          </w:p>
        </w:tc>
        <w:tc>
          <w:tcPr>
            <w:tcW w:type="dxa" w:w="2436"/>
            <w:shd w:val="clear" w:color="auto" w:fill="F3F6F8"/>
          </w:tcPr>
          <w:p>
            <w:pPr>
              <w:spacing w:after="0" w:line="240" w:lineRule="auto"/>
            </w:pPr>
            <w:r>
              <w:rPr>
                <w:sz w:val="17"/>
              </w:rPr>
              <w:t>POC exit criteria in chapter 11.</w:t>
            </w:r>
          </w:p>
        </w:tc>
      </w:tr>
      <w:tr>
        <w:trPr>
          <w:cantSplit w:val="true"/>
        </w:trPr>
        <w:tc>
          <w:tcPr>
            <w:tcW w:type="dxa" w:w="530"/>
          </w:tcPr>
          <w:p>
            <w:pPr>
              <w:spacing w:after="0" w:line="240" w:lineRule="auto"/>
            </w:pPr>
            <w:r>
              <w:rPr>
                <w:b/>
                <w:sz w:val="17"/>
              </w:rPr>
              <w:t>Q13</w:t>
            </w:r>
          </w:p>
        </w:tc>
        <w:tc>
          <w:tcPr>
            <w:tcW w:type="dxa" w:w="6672"/>
          </w:tcPr>
          <w:p>
            <w:pPr>
              <w:spacing w:after="0" w:line="240" w:lineRule="auto"/>
            </w:pPr>
            <w:r>
              <w:rPr>
                <w:sz w:val="17"/>
              </w:rPr>
              <w:t>The screenshots are cut off: data1.jpeg ends mid-sentence and data3.jpeg stops at item 9. Can you share the remaining text?</w:t>
            </w:r>
          </w:p>
        </w:tc>
        <w:tc>
          <w:tcPr>
            <w:tcW w:type="dxa" w:w="2436"/>
          </w:tcPr>
          <w:p>
            <w:pPr>
              <w:spacing w:after="0" w:line="240" w:lineRule="auto"/>
            </w:pPr>
            <w:r>
              <w:rPr>
                <w:sz w:val="17"/>
              </w:rPr>
              <w:t>Assume the manual-task interpretation and no further principles.</w:t>
            </w:r>
          </w:p>
        </w:tc>
      </w:tr>
      <w:tr>
        <w:trPr>
          <w:cantSplit w:val="true"/>
        </w:trPr>
        <w:tc>
          <w:tcPr>
            <w:tcW w:type="dxa" w:w="530"/>
            <w:shd w:val="clear" w:color="auto" w:fill="F3F6F8"/>
          </w:tcPr>
          <w:p>
            <w:pPr>
              <w:spacing w:after="0" w:line="240" w:lineRule="auto"/>
            </w:pPr>
            <w:r>
              <w:rPr>
                <w:b/>
                <w:sz w:val="17"/>
              </w:rPr>
              <w:t>Q14</w:t>
            </w:r>
          </w:p>
        </w:tc>
        <w:tc>
          <w:tcPr>
            <w:tcW w:type="dxa" w:w="6672"/>
            <w:shd w:val="clear" w:color="auto" w:fill="F3F6F8"/>
          </w:tcPr>
          <w:p>
            <w:pPr>
              <w:spacing w:after="0" w:line="240" w:lineRule="auto"/>
            </w:pPr>
            <w:r>
              <w:rPr>
                <w:sz w:val="17"/>
              </w:rPr>
              <w:t>Will production MID Servers run on Windows or Linux?</w:t>
            </w:r>
          </w:p>
        </w:tc>
        <w:tc>
          <w:tcPr>
            <w:tcW w:type="dxa" w:w="2436"/>
            <w:shd w:val="clear" w:color="auto" w:fill="F3F6F8"/>
          </w:tcPr>
          <w:p>
            <w:pPr>
              <w:spacing w:after="0" w:line="240" w:lineRule="auto"/>
            </w:pPr>
            <w:r>
              <w:rPr>
                <w:sz w:val="17"/>
              </w:rPr>
              <w:t>Linux for zones that host Linux targets, Windows where WinRM is needed.</w:t>
            </w:r>
          </w:p>
        </w:tc>
      </w:tr>
      <w:tr>
        <w:trPr>
          <w:cantSplit w:val="true"/>
        </w:trPr>
        <w:tc>
          <w:tcPr>
            <w:tcW w:type="dxa" w:w="530"/>
          </w:tcPr>
          <w:p>
            <w:pPr>
              <w:spacing w:after="0" w:line="240" w:lineRule="auto"/>
            </w:pPr>
            <w:r>
              <w:rPr>
                <w:b/>
                <w:sz w:val="17"/>
              </w:rPr>
              <w:t>Q15</w:t>
            </w:r>
          </w:p>
        </w:tc>
        <w:tc>
          <w:tcPr>
            <w:tcW w:type="dxa" w:w="6672"/>
          </w:tcPr>
          <w:p>
            <w:pPr>
              <w:spacing w:after="0" w:line="240" w:lineRule="auto"/>
            </w:pPr>
            <w:r>
              <w:rPr>
                <w:sz w:val="17"/>
              </w:rPr>
              <w:t>Should CDM also cover S/MIME, code-signing and SSH certificates?</w:t>
            </w:r>
          </w:p>
        </w:tc>
        <w:tc>
          <w:tcPr>
            <w:tcW w:type="dxa" w:w="2436"/>
          </w:tcPr>
          <w:p>
            <w:pPr>
              <w:spacing w:after="0" w:line="240" w:lineRule="auto"/>
            </w:pPr>
            <w:r>
              <w:rPr>
                <w:sz w:val="17"/>
              </w:rPr>
              <w:t>No; out of scope for now.</w:t>
            </w:r>
          </w:p>
        </w:tc>
      </w:tr>
    </w:tbl>
    <w:p>
      <w:pPr>
        <w:spacing w:after="40"/>
      </w:pPr>
    </w:p>
    <w:p>
      <w:pPr>
        <w:pStyle w:val="Heading1"/>
        <w:pBdr>
          <w:bottom w:val="single" w:sz="8" w:space="2" w:color="2E7D32"/>
        </w:pBdr>
      </w:pPr>
      <w:r>
        <w:t>Appendix A: Adapter contract (draft)</w:t>
      </w:r>
    </w:p>
    <w:p>
      <w:r>
        <w:t>Every adapter implements the same operations and returns the same envelope. Inputs are typed parameters, never script text.</w:t>
      </w:r>
    </w:p>
    <w:tbl>
      <w:tblPr>
        <w:tblW w:type="auto" w:w="0"/>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top w:w="60" w:type="dxa"/>
          <w:left w:w="120" w:type="dxa"/>
          <w:bottom w:w="60" w:type="dxa"/>
          <w:right w:w="120" w:type="dxa"/>
        </w:tblCellMar>
      </w:tblPr>
      <w:tblGrid>
        <w:gridCol w:w="9638"/>
      </w:tblGrid>
      <w:tr>
        <w:tc>
          <w:tcPr>
            <w:tcW w:type="dxa" w:w="9638"/>
            <w:shd w:val="clear" w:color="auto" w:fill="F5F7F8"/>
          </w:tcPr>
          <w:p>
            <w:pPr>
              <w:spacing w:after="0" w:line="240" w:lineRule="auto"/>
            </w:pPr>
            <w:r>
              <w:rPr>
                <w:rFonts w:ascii="Consolas" w:hAnsi="Consolas" w:eastAsia="Consolas"/>
                <w:sz w:val="15"/>
              </w:rPr>
              <w:t>Request (from orchestrator, signed):</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"job_id": "JOB0012345",</w:t>
            </w:r>
          </w:p>
          <w:p>
            <w:pPr>
              <w:spacing w:after="0" w:line="240" w:lineRule="auto"/>
            </w:pPr>
            <w:r>
              <w:rPr>
                <w:rFonts w:ascii="Consolas" w:hAnsi="Consolas" w:eastAsia="Consolas"/>
                <w:sz w:val="15"/>
              </w:rPr>
              <w:t xml:space="preserve">  "operation": "install",            // precheck | backup | generate_csr | install | activate | verify | rollback | cleanup | discover</w:t>
            </w:r>
          </w:p>
          <w:p>
            <w:pPr>
              <w:spacing w:after="0" w:line="240" w:lineRule="auto"/>
            </w:pPr>
            <w:r>
              <w:rPr>
                <w:rFonts w:ascii="Consolas" w:hAnsi="Consolas" w:eastAsia="Consolas"/>
                <w:sz w:val="15"/>
              </w:rPr>
              <w:t xml:space="preserve">  "adapter": {"id": "win-iis", "version": "1.3.0", "sha256": "&lt;hash&gt;"},</w:t>
            </w:r>
          </w:p>
          <w:p>
            <w:pPr>
              <w:spacing w:after="0" w:line="240" w:lineRule="auto"/>
            </w:pPr>
            <w:r>
              <w:rPr>
                <w:rFonts w:ascii="Consolas" w:hAnsi="Consolas" w:eastAsia="Consolas"/>
                <w:sz w:val="15"/>
              </w:rPr>
              <w:t xml:space="preserve">  "target": {"id": "CI0009876", "host": "app01.example.com", "zone": "internal", "technology": "windows"},</w:t>
            </w:r>
          </w:p>
          <w:p>
            <w:pPr>
              <w:spacing w:after="0" w:line="240" w:lineRule="auto"/>
            </w:pPr>
            <w:r>
              <w:rPr>
                <w:rFonts w:ascii="Consolas" w:hAnsi="Consolas" w:eastAsia="Consolas"/>
                <w:sz w:val="15"/>
              </w:rPr>
              <w:t xml:space="preserve">  "binding": {"service": "iis", "port": 443, "sni": "app.example.com", "store": "LocalMachine\\My"},</w:t>
            </w:r>
          </w:p>
          <w:p>
            <w:pPr>
              <w:spacing w:after="0" w:line="240" w:lineRule="auto"/>
            </w:pPr>
            <w:r>
              <w:rPr>
                <w:rFonts w:ascii="Consolas" w:hAnsi="Consolas" w:eastAsia="Consolas"/>
                <w:sz w:val="15"/>
              </w:rPr>
              <w:t xml:space="preserve">  "certificate": {"pem_chain": "&lt;public certificate and chain only&gt;", "thumbprint": "&lt;sha256&gt;"},</w:t>
            </w:r>
          </w:p>
          <w:p>
            <w:pPr>
              <w:spacing w:after="0" w:line="240" w:lineRule="auto"/>
            </w:pPr>
            <w:r>
              <w:rPr>
                <w:rFonts w:ascii="Consolas" w:hAnsi="Consolas" w:eastAsia="Consolas"/>
                <w:sz w:val="15"/>
              </w:rPr>
              <w:t xml:space="preserve">  "credential_alias": "cdm/internal/windows/deploy",   // resolved just in time by the MID Server</w:t>
            </w:r>
          </w:p>
          <w:p>
            <w:pPr>
              <w:spacing w:after="0" w:line="240" w:lineRule="auto"/>
            </w:pPr>
            <w:r>
              <w:rPr>
                <w:rFonts w:ascii="Consolas" w:hAnsi="Consolas" w:eastAsia="Consolas"/>
                <w:sz w:val="15"/>
              </w:rPr>
              <w:t xml:space="preserve">  "timeout_seconds": 300</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Response (from adapter):</w:t>
            </w:r>
          </w:p>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"job_id": "JOB0012345",</w:t>
            </w:r>
          </w:p>
          <w:p>
            <w:pPr>
              <w:spacing w:after="0" w:line="240" w:lineRule="auto"/>
            </w:pPr>
            <w:r>
              <w:rPr>
                <w:rFonts w:ascii="Consolas" w:hAnsi="Consolas" w:eastAsia="Consolas"/>
                <w:sz w:val="15"/>
              </w:rPr>
              <w:t xml:space="preserve">  "status": "success",               // success | failed | rolled_back | manual_required</w:t>
            </w:r>
          </w:p>
          <w:p>
            <w:pPr>
              <w:spacing w:after="0" w:line="240" w:lineRule="auto"/>
            </w:pPr>
            <w:r>
              <w:rPr>
                <w:rFonts w:ascii="Consolas" w:hAnsi="Consolas" w:eastAsia="Consolas"/>
                <w:sz w:val="15"/>
              </w:rPr>
              <w:t xml:space="preserve">  "error_code": null,                // from the error catalogue (FR-ADP-009)</w:t>
            </w:r>
          </w:p>
          <w:p>
            <w:pPr>
              <w:spacing w:after="0" w:line="240" w:lineRule="auto"/>
            </w:pPr>
            <w:r>
              <w:rPr>
                <w:rFonts w:ascii="Consolas" w:hAnsi="Consolas" w:eastAsia="Consolas"/>
                <w:sz w:val="15"/>
              </w:rPr>
              <w:t xml:space="preserve">  "evidence": {"thumbprint_before": "...", "thumbprint_after": "...", "presented_san": ["app.example.com"], "not_after": "2027-03-19T00:00:00Z"},</w:t>
            </w:r>
          </w:p>
          <w:p>
            <w:pPr>
              <w:spacing w:after="0" w:line="240" w:lineRule="auto"/>
            </w:pPr>
            <w:r>
              <w:rPr>
                <w:rFonts w:ascii="Consolas" w:hAnsi="Consolas" w:eastAsia="Consolas"/>
                <w:sz w:val="15"/>
              </w:rPr>
              <w:t xml:space="preserve">  "cleanup": {"temp_files_removed": true, "session_closed": true}</w:t>
            </w:r>
          </w:p>
          <w:p>
            <w:pPr>
              <w:spacing w:after="0" w:line="240" w:lineRule="auto"/>
            </w:pPr>
            <w:r>
              <w:rPr>
                <w:rFonts w:ascii="Consolas" w:hAnsi="Consolas" w:eastAsia="Consolas"/>
                <w:sz w:val="15"/>
              </w:rPr>
              <w:t>}</w:t>
            </w:r>
          </w:p>
        </w:tc>
      </w:tr>
    </w:tbl>
    <w:p>
      <w:pPr>
        <w:spacing w:after="40"/>
      </w:pPr>
    </w:p>
    <w:p>
      <w:pPr>
        <w:pStyle w:val="Heading1"/>
        <w:pBdr>
          <w:bottom w:val="single" w:sz="8" w:space="2" w:color="2E7D32"/>
        </w:pBdr>
      </w:pPr>
      <w:r>
        <w:t>Appendix B: Example policy (draft)</w:t>
      </w:r>
    </w:p>
    <w:tbl>
      <w:tblPr>
        <w:tblW w:type="auto" w:w="0"/>
        <w:tblLayout w:type="fixed"/>
        <w:tblLook w:firstColumn="1" w:firstRow="1" w:lastColumn="0" w:lastRow="0" w:noHBand="0" w:noVBand="1" w:val="04A0"/>
        <w:tblBorders>
          <w:top w:val="single" w:sz="4" w:space="0" w:color="CFD8DC"/>
          <w:left w:val="single" w:sz="4" w:space="0" w:color="CFD8DC"/>
          <w:bottom w:val="single" w:sz="4" w:space="0" w:color="CFD8DC"/>
          <w:right w:val="single" w:sz="4" w:space="0" w:color="CFD8DC"/>
          <w:insideH w:val="single" w:sz="4" w:space="0" w:color="CFD8DC"/>
          <w:insideV w:val="single" w:sz="4" w:space="0" w:color="CFD8DC"/>
        </w:tblBorders>
        <w:tblCellMar>
          <w:top w:w="60" w:type="dxa"/>
          <w:left w:w="120" w:type="dxa"/>
          <w:bottom w:w="60" w:type="dxa"/>
          <w:right w:w="120" w:type="dxa"/>
        </w:tblCellMar>
      </w:tblPr>
      <w:tblGrid>
        <w:gridCol w:w="9638"/>
      </w:tblGrid>
      <w:tr>
        <w:tc>
          <w:tcPr>
            <w:tcW w:type="dxa" w:w="9638"/>
            <w:shd w:val="clear" w:color="auto" w:fill="F5F7F8"/>
          </w:tcPr>
          <w:p>
            <w:pPr>
              <w:spacing w:after="0" w:line="240" w:lineRule="auto"/>
            </w:pPr>
            <w:r>
              <w:rPr>
                <w:rFonts w:ascii="Consolas" w:hAnsi="Consolas" w:eastAsia="Consolas"/>
                <w:sz w:val="15"/>
              </w:rPr>
              <w:t>{</w:t>
            </w:r>
          </w:p>
          <w:p>
            <w:pPr>
              <w:spacing w:after="0" w:line="240" w:lineRule="auto"/>
            </w:pPr>
            <w:r>
              <w:rPr>
                <w:rFonts w:ascii="Consolas" w:hAnsi="Consolas" w:eastAsia="Consolas"/>
                <w:sz w:val="15"/>
              </w:rPr>
              <w:t xml:space="preserve">  "policy_id": "POL-PROD-WEB",</w:t>
            </w:r>
          </w:p>
          <w:p>
            <w:pPr>
              <w:spacing w:after="0" w:line="240" w:lineRule="auto"/>
            </w:pPr>
            <w:r>
              <w:rPr>
                <w:rFonts w:ascii="Consolas" w:hAnsi="Consolas" w:eastAsia="Consolas"/>
                <w:sz w:val="15"/>
              </w:rPr>
              <w:t xml:space="preserve">  "min_key": {"rsa": 3072, "ecdsa": ["P-256", "P-384"]},</w:t>
            </w:r>
          </w:p>
          <w:p>
            <w:pPr>
              <w:spacing w:after="0" w:line="240" w:lineRule="auto"/>
            </w:pPr>
            <w:r>
              <w:rPr>
                <w:rFonts w:ascii="Consolas" w:hAnsi="Consolas" w:eastAsia="Consolas"/>
                <w:sz w:val="15"/>
              </w:rPr>
              <w:t xml:space="preserve">  "max_validity_days": 200,</w:t>
            </w:r>
          </w:p>
          <w:p>
            <w:pPr>
              <w:spacing w:after="0" w:line="240" w:lineRule="auto"/>
            </w:pPr>
            <w:r>
              <w:rPr>
                <w:rFonts w:ascii="Consolas" w:hAnsi="Consolas" w:eastAsia="Consolas"/>
                <w:sz w:val="15"/>
              </w:rPr>
              <w:t xml:space="preserve">  "allowed_ca": ["sectigo-prod"],</w:t>
            </w:r>
          </w:p>
          <w:p>
            <w:pPr>
              <w:spacing w:after="0" w:line="240" w:lineRule="auto"/>
            </w:pPr>
            <w:r>
              <w:rPr>
                <w:rFonts w:ascii="Consolas" w:hAnsi="Consolas" w:eastAsia="Consolas"/>
                <w:sz w:val="15"/>
              </w:rPr>
              <w:t xml:space="preserve">  "allowed_domains": ["*.example.com"],</w:t>
            </w:r>
          </w:p>
          <w:p>
            <w:pPr>
              <w:spacing w:after="0" w:line="240" w:lineRule="auto"/>
            </w:pPr>
            <w:r>
              <w:rPr>
                <w:rFonts w:ascii="Consolas" w:hAnsi="Consolas" w:eastAsia="Consolas"/>
                <w:sz w:val="15"/>
              </w:rPr>
              <w:t xml:space="preserve">  "wildcard": {"allowed": false, "approval": "pki_admin"},</w:t>
            </w:r>
          </w:p>
          <w:p>
            <w:pPr>
              <w:spacing w:after="0" w:line="240" w:lineRule="auto"/>
            </w:pPr>
            <w:r>
              <w:rPr>
                <w:rFonts w:ascii="Consolas" w:hAnsi="Consolas" w:eastAsia="Consolas"/>
                <w:sz w:val="15"/>
              </w:rPr>
              <w:t xml:space="preserve">  "approval": {"production": "change_manager", "non_production": "auto"},</w:t>
            </w:r>
          </w:p>
          <w:p>
            <w:pPr>
              <w:spacing w:after="0" w:line="240" w:lineRule="auto"/>
            </w:pPr>
            <w:r>
              <w:rPr>
                <w:rFonts w:ascii="Consolas" w:hAnsi="Consolas" w:eastAsia="Consolas"/>
                <w:sz w:val="15"/>
              </w:rPr>
              <w:t xml:space="preserve">  "renew_before_days": 30,</w:t>
            </w:r>
          </w:p>
          <w:p>
            <w:pPr>
              <w:spacing w:after="0" w:line="240" w:lineRule="auto"/>
            </w:pPr>
            <w:r>
              <w:rPr>
                <w:rFonts w:ascii="Consolas" w:hAnsi="Consolas" w:eastAsia="Consolas"/>
                <w:sz w:val="15"/>
              </w:rPr>
              <w:t xml:space="preserve">  "deploy_window": "CHG-window",</w:t>
            </w:r>
          </w:p>
          <w:p>
            <w:pPr>
              <w:spacing w:after="0" w:line="240" w:lineRule="auto"/>
            </w:pPr>
            <w:r>
              <w:rPr>
                <w:rFonts w:ascii="Consolas" w:hAnsi="Consolas" w:eastAsia="Consolas"/>
                <w:sz w:val="15"/>
              </w:rPr>
              <w:t xml:space="preserve">  "require_verification": true,</w:t>
            </w:r>
          </w:p>
          <w:p>
            <w:pPr>
              <w:spacing w:after="0" w:line="240" w:lineRule="auto"/>
            </w:pPr>
            <w:r>
              <w:rPr>
                <w:rFonts w:ascii="Consolas" w:hAnsi="Consolas" w:eastAsia="Consolas"/>
                <w:sz w:val="15"/>
              </w:rPr>
              <w:t xml:space="preserve">  "rollback_on_failure": true</w:t>
            </w:r>
          </w:p>
          <w:p>
            <w:pPr>
              <w:spacing w:after="0" w:line="240" w:lineRule="auto"/>
            </w:pPr>
            <w:r>
              <w:rPr>
                <w:rFonts w:ascii="Consolas" w:hAnsi="Consolas" w:eastAsia="Consolas"/>
                <w:sz w:val="15"/>
              </w:rPr>
              <w:t>}</w:t>
            </w:r>
          </w:p>
        </w:tc>
      </w:tr>
    </w:tbl>
    <w:p>
      <w:pPr>
        <w:spacing w:after="40"/>
      </w:pPr>
    </w:p>
    <w:p>
      <w:pPr>
        <w:pStyle w:val="Heading1"/>
        <w:pBdr>
          <w:bottom w:val="single" w:sz="8" w:space="2" w:color="2E7D32"/>
        </w:pBdr>
      </w:pPr>
      <w:r>
        <w:t>Appendix C: Sectigo Certificate Manager API (indicative)</w:t>
      </w:r>
    </w:p>
    <w:p>
      <w:r>
        <w:t>The connector is built on the Sectigo Certificate Manager REST API. The list below is indicative and must be verified against the current Sectigo documentation and your tenant before implementation (Q2).</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3213"/>
        <w:gridCol w:w="3213"/>
        <w:gridCol w:w="3213"/>
      </w:tblGrid>
      <w:tr>
        <w:trPr>
          <w:tblHeader w:val="true"/>
        </w:trPr>
        <w:tc>
          <w:tcPr>
            <w:tcW w:type="dxa" w:w="1533"/>
            <w:shd w:val="clear" w:color="auto" w:fill="1F2D3D"/>
          </w:tcPr>
          <w:p>
            <w:pPr>
              <w:spacing w:after="0"/>
            </w:pPr>
            <w:r>
              <w:rPr>
                <w:b/>
                <w:color w:val="FFFFFF"/>
                <w:sz w:val="17"/>
              </w:rPr>
              <w:t>Operation</w:t>
            </w:r>
          </w:p>
        </w:tc>
        <w:tc>
          <w:tcPr>
            <w:tcW w:type="dxa" w:w="3943"/>
            <w:shd w:val="clear" w:color="auto" w:fill="1F2D3D"/>
          </w:tcPr>
          <w:p>
            <w:pPr>
              <w:spacing w:after="0"/>
            </w:pPr>
            <w:r>
              <w:rPr>
                <w:b/>
                <w:color w:val="FFFFFF"/>
                <w:sz w:val="17"/>
              </w:rPr>
              <w:t>Indicative endpoint</w:t>
            </w:r>
          </w:p>
        </w:tc>
        <w:tc>
          <w:tcPr>
            <w:tcW w:type="dxa" w:w="4162"/>
            <w:shd w:val="clear" w:color="auto" w:fill="1F2D3D"/>
          </w:tcPr>
          <w:p>
            <w:pPr>
              <w:spacing w:after="0"/>
            </w:pPr>
            <w:r>
              <w:rPr>
                <w:b/>
                <w:color w:val="FFFFFF"/>
                <w:sz w:val="17"/>
              </w:rPr>
              <w:t>Notes</w:t>
            </w:r>
          </w:p>
        </w:tc>
      </w:tr>
      <w:tr>
        <w:trPr>
          <w:cantSplit w:val="true"/>
        </w:trPr>
        <w:tc>
          <w:tcPr>
            <w:tcW w:type="dxa" w:w="1533"/>
          </w:tcPr>
          <w:p>
            <w:pPr>
              <w:spacing w:after="0" w:line="240" w:lineRule="auto"/>
            </w:pPr>
            <w:r>
              <w:rPr>
                <w:sz w:val="17"/>
              </w:rPr>
              <w:t>Authentication</w:t>
            </w:r>
          </w:p>
        </w:tc>
        <w:tc>
          <w:tcPr>
            <w:tcW w:type="dxa" w:w="3943"/>
          </w:tcPr>
          <w:p>
            <w:pPr>
              <w:spacing w:after="0" w:line="240" w:lineRule="auto"/>
            </w:pPr>
            <w:r>
              <w:rPr>
                <w:sz w:val="17"/>
              </w:rPr>
              <w:t>Headers: login, password (or API key), customerUri</w:t>
            </w:r>
          </w:p>
        </w:tc>
        <w:tc>
          <w:tcPr>
            <w:tcW w:type="dxa" w:w="4162"/>
          </w:tcPr>
          <w:p>
            <w:pPr>
              <w:spacing w:after="0" w:line="240" w:lineRule="auto"/>
            </w:pPr>
            <w:r>
              <w:rPr>
                <w:sz w:val="17"/>
              </w:rPr>
              <w:t>Stored as vault aliases only (FR-CA-003).</w:t>
            </w:r>
          </w:p>
        </w:tc>
      </w:tr>
      <w:tr>
        <w:trPr>
          <w:cantSplit w:val="true"/>
        </w:trPr>
        <w:tc>
          <w:tcPr>
            <w:tcW w:type="dxa" w:w="1533"/>
            <w:shd w:val="clear" w:color="auto" w:fill="F3F6F8"/>
          </w:tcPr>
          <w:p>
            <w:pPr>
              <w:spacing w:after="0" w:line="240" w:lineRule="auto"/>
            </w:pPr>
            <w:r>
              <w:rPr>
                <w:sz w:val="17"/>
              </w:rPr>
              <w:t>Enroll</w:t>
            </w:r>
          </w:p>
        </w:tc>
        <w:tc>
          <w:tcPr>
            <w:tcW w:type="dxa" w:w="3943"/>
            <w:shd w:val="clear" w:color="auto" w:fill="F3F6F8"/>
          </w:tcPr>
          <w:p>
            <w:pPr>
              <w:spacing w:after="0" w:line="240" w:lineRule="auto"/>
            </w:pPr>
            <w:r>
              <w:rPr>
                <w:sz w:val="17"/>
              </w:rPr>
              <w:t>POST /api/ssl/v1/enroll</w:t>
            </w:r>
          </w:p>
        </w:tc>
        <w:tc>
          <w:tcPr>
            <w:tcW w:type="dxa" w:w="4162"/>
            <w:shd w:val="clear" w:color="auto" w:fill="F3F6F8"/>
          </w:tcPr>
          <w:p>
            <w:pPr>
              <w:spacing w:after="0" w:line="240" w:lineRule="auto"/>
            </w:pPr>
            <w:r>
              <w:rPr>
                <w:sz w:val="17"/>
              </w:rPr>
              <w:t>Body carries CSR, certificate type or profile ID, term, external requester, SAN list.</w:t>
            </w:r>
          </w:p>
        </w:tc>
      </w:tr>
      <w:tr>
        <w:trPr>
          <w:cantSplit w:val="true"/>
        </w:trPr>
        <w:tc>
          <w:tcPr>
            <w:tcW w:type="dxa" w:w="1533"/>
          </w:tcPr>
          <w:p>
            <w:pPr>
              <w:spacing w:after="0" w:line="240" w:lineRule="auto"/>
            </w:pPr>
            <w:r>
              <w:rPr>
                <w:sz w:val="17"/>
              </w:rPr>
              <w:t>Collect</w:t>
            </w:r>
          </w:p>
        </w:tc>
        <w:tc>
          <w:tcPr>
            <w:tcW w:type="dxa" w:w="3943"/>
          </w:tcPr>
          <w:p>
            <w:pPr>
              <w:spacing w:after="0" w:line="240" w:lineRule="auto"/>
            </w:pPr>
            <w:r>
              <w:rPr>
                <w:sz w:val="17"/>
              </w:rPr>
              <w:t>GET /api/ssl/v1/collect/{sslId}?format=...</w:t>
            </w:r>
          </w:p>
        </w:tc>
        <w:tc>
          <w:tcPr>
            <w:tcW w:type="dxa" w:w="4162"/>
          </w:tcPr>
          <w:p>
            <w:pPr>
              <w:spacing w:after="0" w:line="240" w:lineRule="auto"/>
            </w:pPr>
            <w:r>
              <w:rPr>
                <w:sz w:val="17"/>
              </w:rPr>
              <w:t>Format selects PEM with chain or other encodings; issuance can be asynchronous.</w:t>
            </w:r>
          </w:p>
        </w:tc>
      </w:tr>
      <w:tr>
        <w:trPr>
          <w:cantSplit w:val="true"/>
        </w:trPr>
        <w:tc>
          <w:tcPr>
            <w:tcW w:type="dxa" w:w="1533"/>
            <w:shd w:val="clear" w:color="auto" w:fill="F3F6F8"/>
          </w:tcPr>
          <w:p>
            <w:pPr>
              <w:spacing w:after="0" w:line="240" w:lineRule="auto"/>
            </w:pPr>
            <w:r>
              <w:rPr>
                <w:b/>
                <w:sz w:val="17"/>
              </w:rPr>
              <w:t>Renew</w:t>
            </w:r>
          </w:p>
        </w:tc>
        <w:tc>
          <w:tcPr>
            <w:tcW w:type="dxa" w:w="3943"/>
            <w:shd w:val="clear" w:color="auto" w:fill="F3F6F8"/>
          </w:tcPr>
          <w:p>
            <w:pPr>
              <w:spacing w:after="0" w:line="240" w:lineRule="auto"/>
            </w:pPr>
            <w:r>
              <w:rPr>
                <w:sz w:val="17"/>
              </w:rPr>
              <w:t>POST /api/ssl/v1/renewById/{sslId}</w:t>
            </w:r>
          </w:p>
        </w:tc>
        <w:tc>
          <w:tcPr>
            <w:tcW w:type="dxa" w:w="4162"/>
            <w:shd w:val="clear" w:color="auto" w:fill="F3F6F8"/>
          </w:tcPr>
          <w:p>
            <w:pPr>
              <w:spacing w:after="0" w:line="240" w:lineRule="auto"/>
            </w:pPr>
            <w:r>
              <w:rPr>
                <w:sz w:val="17"/>
              </w:rPr>
              <w:t>A new CSR is preferred (FR-KEY-006).</w:t>
            </w:r>
          </w:p>
        </w:tc>
      </w:tr>
      <w:tr>
        <w:trPr>
          <w:cantSplit w:val="true"/>
        </w:trPr>
        <w:tc>
          <w:tcPr>
            <w:tcW w:type="dxa" w:w="1533"/>
          </w:tcPr>
          <w:p>
            <w:pPr>
              <w:spacing w:after="0" w:line="240" w:lineRule="auto"/>
            </w:pPr>
            <w:r>
              <w:rPr>
                <w:b/>
                <w:sz w:val="17"/>
              </w:rPr>
              <w:t>Revoke</w:t>
            </w:r>
          </w:p>
        </w:tc>
        <w:tc>
          <w:tcPr>
            <w:tcW w:type="dxa" w:w="3943"/>
          </w:tcPr>
          <w:p>
            <w:pPr>
              <w:spacing w:after="0" w:line="240" w:lineRule="auto"/>
            </w:pPr>
            <w:r>
              <w:rPr>
                <w:sz w:val="17"/>
              </w:rPr>
              <w:t>POST /api/ssl/v1/revoke/{sslId}</w:t>
            </w:r>
          </w:p>
        </w:tc>
        <w:tc>
          <w:tcPr>
            <w:tcW w:type="dxa" w:w="4162"/>
          </w:tcPr>
          <w:p>
            <w:pPr>
              <w:spacing w:after="0" w:line="240" w:lineRule="auto"/>
            </w:pPr>
            <w:r>
              <w:rPr>
                <w:sz w:val="17"/>
              </w:rPr>
              <w:t>Reason code required.</w:t>
            </w:r>
          </w:p>
        </w:tc>
      </w:tr>
      <w:tr>
        <w:trPr>
          <w:cantSplit w:val="true"/>
        </w:trPr>
        <w:tc>
          <w:tcPr>
            <w:tcW w:type="dxa" w:w="1533"/>
            <w:shd w:val="clear" w:color="auto" w:fill="F3F6F8"/>
          </w:tcPr>
          <w:p>
            <w:pPr>
              <w:spacing w:after="0" w:line="240" w:lineRule="auto"/>
            </w:pPr>
            <w:r>
              <w:rPr>
                <w:sz w:val="17"/>
              </w:rPr>
              <w:t>List and status</w:t>
            </w:r>
          </w:p>
        </w:tc>
        <w:tc>
          <w:tcPr>
            <w:tcW w:type="dxa" w:w="3943"/>
            <w:shd w:val="clear" w:color="auto" w:fill="F3F6F8"/>
          </w:tcPr>
          <w:p>
            <w:pPr>
              <w:spacing w:after="0" w:line="240" w:lineRule="auto"/>
            </w:pPr>
            <w:r>
              <w:rPr>
                <w:sz w:val="17"/>
              </w:rPr>
              <w:t>GET /api/ssl/v1 (filters)</w:t>
            </w:r>
          </w:p>
        </w:tc>
        <w:tc>
          <w:tcPr>
            <w:tcW w:type="dxa" w:w="4162"/>
            <w:shd w:val="clear" w:color="auto" w:fill="F3F6F8"/>
          </w:tcPr>
          <w:p>
            <w:pPr>
              <w:spacing w:after="0" w:line="240" w:lineRule="auto"/>
            </w:pPr>
            <w:r>
              <w:rPr>
                <w:sz w:val="17"/>
              </w:rPr>
              <w:t>Used for reconciliation (FR-INV-007).</w:t>
            </w:r>
          </w:p>
        </w:tc>
      </w:tr>
    </w:tbl>
    <w:p>
      <w:pPr>
        <w:spacing w:after="40"/>
      </w:pPr>
    </w:p>
    <w:p>
      <w:pPr>
        <w:pStyle w:val="Heading1"/>
        <w:pBdr>
          <w:bottom w:val="single" w:sz="8" w:space="2" w:color="2E7D32"/>
        </w:pBdr>
      </w:pPr>
      <w:r>
        <w:t>Appendix D: Source traceability</w:t>
      </w:r>
    </w:p>
    <w:p>
      <w:r>
        <w:t>Every source in the POC folder maps to requirements as follows.</w:t>
      </w:r>
    </w:p>
    <w:tbl>
      <w:tblPr>
        <w:tblW w:type="auto" w:w="0"/>
        <w:jc w:val="center"/>
        <w:tblLayout w:type="fixed"/>
        <w:tblLook w:firstColumn="1" w:firstRow="1" w:lastColumn="0" w:lastRow="0" w:noHBand="0" w:noVBand="1" w:val="04A0"/>
        <w:tblBorders>
          <w:top w:val="single" w:sz="4" w:space="0" w:color="B0BEC5"/>
          <w:left w:val="single" w:sz="4" w:space="0" w:color="B0BEC5"/>
          <w:bottom w:val="single" w:sz="4" w:space="0" w:color="B0BEC5"/>
          <w:right w:val="single" w:sz="4" w:space="0" w:color="B0BEC5"/>
          <w:insideH w:val="single" w:sz="4" w:space="0" w:color="B0BEC5"/>
          <w:insideV w:val="single" w:sz="4" w:space="0" w:color="B0BEC5"/>
        </w:tblBorders>
        <w:tblCellMar>
          <w:top w:w="40" w:type="dxa"/>
          <w:left w:w="80" w:type="dxa"/>
          <w:bottom w:w="40" w:type="dxa"/>
          <w:right w:w="80" w:type="dxa"/>
        </w:tblCellMar>
      </w:tblPr>
      <w:tblGrid>
        <w:gridCol w:w="4819"/>
        <w:gridCol w:w="4819"/>
      </w:tblGrid>
      <w:tr>
        <w:trPr>
          <w:tblHeader w:val="true"/>
        </w:trPr>
        <w:tc>
          <w:tcPr>
            <w:tcW w:type="dxa" w:w="2784"/>
            <w:shd w:val="clear" w:color="auto" w:fill="1F2D3D"/>
          </w:tcPr>
          <w:p>
            <w:pPr>
              <w:spacing w:after="0"/>
            </w:pPr>
            <w:r>
              <w:rPr>
                <w:b/>
                <w:color w:val="FFFFFF"/>
                <w:sz w:val="17"/>
              </w:rPr>
              <w:t>Source</w:t>
            </w:r>
          </w:p>
        </w:tc>
        <w:tc>
          <w:tcPr>
            <w:tcW w:type="dxa" w:w="6854"/>
            <w:shd w:val="clear" w:color="auto" w:fill="1F2D3D"/>
          </w:tcPr>
          <w:p>
            <w:pPr>
              <w:spacing w:after="0"/>
            </w:pPr>
            <w:r>
              <w:rPr>
                <w:b/>
                <w:color w:val="FFFFFF"/>
                <w:sz w:val="17"/>
              </w:rPr>
              <w:t>Main requirements it drives</w:t>
            </w:r>
          </w:p>
        </w:tc>
      </w:tr>
      <w:tr>
        <w:trPr>
          <w:cantSplit w:val="true"/>
        </w:trPr>
        <w:tc>
          <w:tcPr>
            <w:tcW w:type="dxa" w:w="2784"/>
          </w:tcPr>
          <w:p>
            <w:pPr>
              <w:spacing w:after="0" w:line="240" w:lineRule="auto"/>
            </w:pPr>
            <w:r>
              <w:rPr>
                <w:sz w:val="17"/>
              </w:rPr>
              <w:t>Promp.md.txt (PLAN)</w:t>
            </w:r>
          </w:p>
        </w:tc>
        <w:tc>
          <w:tcPr>
            <w:tcW w:type="dxa" w:w="6854"/>
          </w:tcPr>
          <w:p>
            <w:pPr>
              <w:spacing w:after="0" w:line="240" w:lineRule="auto"/>
            </w:pPr>
            <w:r>
              <w:rPr>
                <w:sz w:val="17"/>
              </w:rPr>
              <w:t>FR-CA-002, FR-ORC-002, FR-ORC-003, FR-ADP-006, AD-WIN-11, chapter 11</w:t>
            </w:r>
          </w:p>
        </w:tc>
      </w:tr>
      <w:tr>
        <w:trPr>
          <w:cantSplit w:val="true"/>
        </w:trPr>
        <w:tc>
          <w:tcPr>
            <w:tcW w:type="dxa" w:w="2784"/>
            <w:shd w:val="clear" w:color="auto" w:fill="F3F6F8"/>
          </w:tcPr>
          <w:p>
            <w:pPr>
              <w:spacing w:after="0" w:line="240" w:lineRule="auto"/>
            </w:pPr>
            <w:r>
              <w:rPr>
                <w:sz w:val="17"/>
              </w:rPr>
              <w:t>POC_SETUP_STATUS.md (SETUP)</w:t>
            </w:r>
          </w:p>
        </w:tc>
        <w:tc>
          <w:tcPr>
            <w:tcW w:type="dxa" w:w="6854"/>
            <w:shd w:val="clear" w:color="auto" w:fill="F3F6F8"/>
          </w:tcPr>
          <w:p>
            <w:pPr>
              <w:spacing w:after="0" w:line="240" w:lineRule="auto"/>
            </w:pPr>
            <w:r>
              <w:rPr>
                <w:sz w:val="17"/>
              </w:rPr>
              <w:t>FR-CA-004, NFR-SEC-01, AD-WIN-02, findings G3 and G4</w:t>
            </w:r>
          </w:p>
        </w:tc>
      </w:tr>
      <w:tr>
        <w:trPr>
          <w:cantSplit w:val="true"/>
        </w:trPr>
        <w:tc>
          <w:tcPr>
            <w:tcW w:type="dxa" w:w="2784"/>
          </w:tcPr>
          <w:p>
            <w:pPr>
              <w:spacing w:after="0" w:line="240" w:lineRule="auto"/>
            </w:pPr>
            <w:r>
              <w:rPr>
                <w:sz w:val="17"/>
              </w:rPr>
              <w:t>mock_sectigo.ps1 (MOCK)</w:t>
            </w:r>
          </w:p>
        </w:tc>
        <w:tc>
          <w:tcPr>
            <w:tcW w:type="dxa" w:w="6854"/>
          </w:tcPr>
          <w:p>
            <w:pPr>
              <w:spacing w:after="0" w:line="240" w:lineRule="auto"/>
            </w:pPr>
            <w:r>
              <w:rPr>
                <w:sz w:val="17"/>
              </w:rPr>
              <w:t>FR-CA-010, finding G1</w:t>
            </w:r>
          </w:p>
        </w:tc>
      </w:tr>
      <w:tr>
        <w:trPr>
          <w:cantSplit w:val="true"/>
        </w:trPr>
        <w:tc>
          <w:tcPr>
            <w:tcW w:type="dxa" w:w="2784"/>
            <w:shd w:val="clear" w:color="auto" w:fill="F3F6F8"/>
          </w:tcPr>
          <w:p>
            <w:pPr>
              <w:spacing w:after="0" w:line="240" w:lineRule="auto"/>
            </w:pPr>
            <w:r>
              <w:rPr>
                <w:sz w:val="17"/>
              </w:rPr>
              <w:t>data1.jpeg (D1)</w:t>
            </w:r>
          </w:p>
        </w:tc>
        <w:tc>
          <w:tcPr>
            <w:tcW w:type="dxa" w:w="6854"/>
            <w:shd w:val="clear" w:color="auto" w:fill="F3F6F8"/>
          </w:tcPr>
          <w:p>
            <w:pPr>
              <w:spacing w:after="0" w:line="240" w:lineRule="auto"/>
            </w:pPr>
            <w:r>
              <w:rPr>
                <w:sz w:val="17"/>
              </w:rPr>
              <w:t>FR-INV-004 to 006, FR-ADP-001, FR-ADP-006, FR-NTF-003, FR-NTF-004, NFR-PRT-01</w:t>
            </w:r>
          </w:p>
        </w:tc>
      </w:tr>
      <w:tr>
        <w:trPr>
          <w:cantSplit w:val="true"/>
        </w:trPr>
        <w:tc>
          <w:tcPr>
            <w:tcW w:type="dxa" w:w="2784"/>
          </w:tcPr>
          <w:p>
            <w:pPr>
              <w:spacing w:after="0" w:line="240" w:lineRule="auto"/>
            </w:pPr>
            <w:r>
              <w:rPr>
                <w:sz w:val="17"/>
              </w:rPr>
              <w:t>data2.jpeg (D2)</w:t>
            </w:r>
          </w:p>
        </w:tc>
        <w:tc>
          <w:tcPr>
            <w:tcW w:type="dxa" w:w="6854"/>
          </w:tcPr>
          <w:p>
            <w:pPr>
              <w:spacing w:after="0" w:line="240" w:lineRule="auto"/>
            </w:pPr>
            <w:r>
              <w:rPr>
                <w:sz w:val="17"/>
              </w:rPr>
              <w:t>FR-KEY-001 to 003, FR-CA-003, FR-ORC-004, FR-SAF-008, NFR-SEC-01 to 05, NFR-AVL-01, NFR-AVL-02, FR-ADM-006</w:t>
            </w:r>
          </w:p>
        </w:tc>
      </w:tr>
      <w:tr>
        <w:trPr>
          <w:cantSplit w:val="true"/>
        </w:trPr>
        <w:tc>
          <w:tcPr>
            <w:tcW w:type="dxa" w:w="2784"/>
            <w:shd w:val="clear" w:color="auto" w:fill="F3F6F8"/>
          </w:tcPr>
          <w:p>
            <w:pPr>
              <w:spacing w:after="0" w:line="240" w:lineRule="auto"/>
            </w:pPr>
            <w:r>
              <w:rPr>
                <w:sz w:val="17"/>
              </w:rPr>
              <w:t>data3.jpeg (D3)</w:t>
            </w:r>
          </w:p>
        </w:tc>
        <w:tc>
          <w:tcPr>
            <w:tcW w:type="dxa" w:w="6854"/>
            <w:shd w:val="clear" w:color="auto" w:fill="F3F6F8"/>
          </w:tcPr>
          <w:p>
            <w:pPr>
              <w:spacing w:after="0" w:line="240" w:lineRule="auto"/>
            </w:pPr>
            <w:r>
              <w:rPr>
                <w:sz w:val="17"/>
              </w:rPr>
              <w:t>FR-ADP-002 to 005, FR-SAF-001 to 007, FR-ORC-009, FR-ADM-005, NFR-SEC-03</w:t>
            </w:r>
          </w:p>
        </w:tc>
      </w:tr>
    </w:tbl>
    <w:p>
      <w:pPr>
        <w:spacing w:after="40"/>
      </w:pPr>
    </w:p>
    <w:sectPr w:rsidR="00FC693F" w:rsidRPr="0006063C" w:rsidSect="00034616">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B7A"/>
        <w:sz w:val="16"/>
      </w:rPr>
      <w:t xml:space="preserve">Certificate Deployment Manager (CDM): Requirements Specification | v0.1 | Page </w:t>
    </w:r>
    <w:r>
      <w:rPr>
        <w:color w:val="606B7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eastAsia="Calibri"/>
      <w:b/>
      <w:bCs/>
      <w:color w:val="1F2D3D"/>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1F2D3D"/>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Certificate Deployment Manager (CDM): Requirements Specification</dc:title>
  <dc:subject>Requirements specification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