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Product Vision Document</w:t>
      </w:r>
    </w:p>
    <w:p>
      <w:pPr>
        <w:pStyle w:val="Heading1"/>
      </w:pPr>
      <w:r>
        <w:t>Product Name</w:t>
      </w:r>
    </w:p>
    <w:p>
      <w:r>
        <w:t>Risk Profiling &amp; Suitability Engine</w:t>
      </w:r>
    </w:p>
    <w:p>
      <w:pPr>
        <w:pStyle w:val="Heading1"/>
      </w:pPr>
      <w:r>
        <w:t>Problem Statement</w:t>
      </w:r>
    </w:p>
    <w:p>
      <w:r>
        <w:t>Clients and advisors face challenges in aligning investment products with client risk appetite, goals, and regulatory requirements. Manual processes increase risks of mis-selling, compliance breaches, and reduced trust.</w:t>
      </w:r>
    </w:p>
    <w:p>
      <w:pPr>
        <w:pStyle w:val="Heading1"/>
      </w:pPr>
      <w:r>
        <w:t>Target Users/Market</w:t>
      </w:r>
    </w:p>
    <w:p>
      <w:r>
        <w:t>- Financial advisors</w:t>
        <w:br/>
        <w:t>- Wealth management platforms</w:t>
        <w:br/>
        <w:t>- Clients / investors seeking personalized investment recommendations</w:t>
      </w:r>
    </w:p>
    <w:p>
      <w:pPr>
        <w:pStyle w:val="Heading1"/>
      </w:pPr>
      <w:r>
        <w:t>Vision Statement</w:t>
      </w:r>
    </w:p>
    <w:p>
      <w:r>
        <w:t>To deliver a robust, compliant, user-centric Risk Profiling and Suitability Engine that ensures financial advisors and wealth management platforms recommend appropriate products aligned with clients’ financial goals, risk appetite, and regulatory requirements.</w:t>
      </w:r>
    </w:p>
    <w:p>
      <w:pPr>
        <w:pStyle w:val="Heading1"/>
      </w:pPr>
      <w:r>
        <w:t>Goals and Objectives</w:t>
      </w:r>
    </w:p>
    <w:p>
      <w:r>
        <w:t>- Automate and standardize risk profiling and product suitability checks</w:t>
        <w:br/>
        <w:t>- Ensure regulatory compliance (e.g., MiFID II, Reg BI)</w:t>
        <w:br/>
        <w:t>- Build client trust by reducing mis-selling</w:t>
        <w:br/>
        <w:t>- Enhance advisor efficiency and decision-making</w:t>
        <w:br/>
        <w:t>- Provide transparency with audit trails and override workflows</w:t>
      </w:r>
    </w:p>
    <w:p>
      <w:pPr>
        <w:pStyle w:val="Heading1"/>
      </w:pPr>
      <w:r>
        <w:t>Unique Value Proposition</w:t>
      </w:r>
    </w:p>
    <w:p>
      <w:r>
        <w:t>- Integrated risk assessment and suitability checking workflow</w:t>
        <w:br/>
        <w:t>- Dynamic questionnaires and configurable scoring models</w:t>
        <w:br/>
        <w:t>- Real-time product filtering before recommendation</w:t>
        <w:br/>
        <w:t>- Transparent audit trail and override workflows for compliance review</w:t>
      </w:r>
    </w:p>
    <w:p>
      <w:pPr>
        <w:pStyle w:val="Heading1"/>
      </w:pPr>
      <w:r>
        <w:t>Key Features</w:t>
      </w:r>
    </w:p>
    <w:p>
      <w:r>
        <w:t>- Dynamic and configurable risk questionnaires</w:t>
        <w:br/>
        <w:t>- Automated scoring and classification engine</w:t>
        <w:br/>
        <w:t>- Real-time product suitability filters</w:t>
        <w:br/>
        <w:t>- Audit trails for compliance review</w:t>
        <w:br/>
        <w:t>- Advisor override functionality with justification</w:t>
        <w:br/>
        <w:t>- Integration-ready APIs for wealth management platforms</w:t>
      </w:r>
    </w:p>
    <w:p>
      <w:pPr>
        <w:pStyle w:val="Heading1"/>
      </w:pPr>
      <w:r>
        <w:t>Success Metrics (KPIs)</w:t>
      </w:r>
    </w:p>
    <w:p>
      <w:r>
        <w:t>- 95%+ accurate risk classification</w:t>
        <w:br/>
        <w:t>- 100% product suitability checks before recommendations</w:t>
        <w:br/>
        <w:t>- Positive feedback from advisors and clients on usability</w:t>
        <w:br/>
        <w:t>- Zero compliance breaches in live usage</w:t>
        <w:br/>
        <w:t>- Increased advisor efficiency measured by reduced onboarding time</w:t>
      </w:r>
    </w:p>
    <w:p>
      <w:pPr>
        <w:pStyle w:val="Heading1"/>
      </w:pPr>
      <w:r>
        <w:t>Assumptions &amp; Constraints</w:t>
      </w:r>
    </w:p>
    <w:p>
      <w:r>
        <w:t>- Assumes advisors and platforms will integrate the engine into existing workflows</w:t>
        <w:br/>
        <w:t>- Assumes regulatory requirements remain stable with minor updates</w:t>
        <w:br/>
        <w:t>- Constraint: System must handle large-scale concurrent users with low latency</w:t>
        <w:br/>
        <w:t>- Constraint: All data must comply with GDPR and other regional data protection laws</w:t>
      </w:r>
    </w:p>
    <w:p>
      <w:pPr>
        <w:pStyle w:val="Heading1"/>
      </w:pPr>
      <w:r>
        <w:t>Stakeholders</w:t>
      </w:r>
    </w:p>
    <w:p>
      <w:r>
        <w:t>- Product Owner</w:t>
        <w:br/>
        <w:t>- Financial Advisors</w:t>
        <w:br/>
        <w:t>- Compliance Officers</w:t>
        <w:br/>
        <w:t>- Wealth Management Platform Providers</w:t>
        <w:br/>
        <w:t>- End Clients/Investors</w:t>
        <w:br/>
        <w:t>- Regulatory Authorities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