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7364" w14:textId="0C2A32EE" w:rsidR="00FF4354" w:rsidRDefault="00B053EA">
      <w:pPr>
        <w:jc w:val="center"/>
      </w:pPr>
      <w:r>
        <w:rPr>
          <w:rFonts w:ascii="Times New Roman" w:hAnsi="Times New Roman"/>
          <w:b/>
          <w:sz w:val="32"/>
        </w:rPr>
        <w:t>Reproduction and Extension of Q-Learning for</w:t>
      </w:r>
      <w:r>
        <w:rPr>
          <w:rFonts w:ascii="Times New Roman" w:hAnsi="Times New Roman"/>
          <w:b/>
          <w:sz w:val="32"/>
        </w:rPr>
        <w:br/>
        <w:t xml:space="preserve">Smart Home Energy Management </w:t>
      </w:r>
    </w:p>
    <w:p w14:paraId="1D6ED91D" w14:textId="77777777" w:rsidR="00FF4354" w:rsidRPr="0016599E" w:rsidRDefault="00B053EA">
      <w:pPr>
        <w:jc w:val="center"/>
        <w:rPr>
          <w:iCs/>
          <w:sz w:val="28"/>
          <w:szCs w:val="28"/>
        </w:rPr>
      </w:pPr>
      <w:r w:rsidRPr="0016599E">
        <w:rPr>
          <w:rFonts w:ascii="Times New Roman" w:hAnsi="Times New Roman"/>
          <w:iCs/>
          <w:sz w:val="28"/>
          <w:szCs w:val="28"/>
        </w:rPr>
        <w:t>A Reinforcement Learning Study on Cost-Effective Energy Scheduling</w:t>
      </w:r>
      <w:r w:rsidRPr="0016599E">
        <w:rPr>
          <w:rFonts w:ascii="Times New Roman" w:hAnsi="Times New Roman"/>
          <w:iCs/>
          <w:sz w:val="28"/>
          <w:szCs w:val="28"/>
        </w:rPr>
        <w:br/>
        <w:t>Using Q-Learning and SARSA under Multiple Pricing Schemes</w:t>
      </w:r>
    </w:p>
    <w:p w14:paraId="07783B9C" w14:textId="2AFAD531" w:rsidR="005922CC" w:rsidRDefault="002F12E9" w:rsidP="005922CC">
      <w:pPr>
        <w:jc w:val="center"/>
        <w:rPr>
          <w:rFonts w:ascii="Times New Roman" w:hAnsi="Times New Roman"/>
          <w:sz w:val="28"/>
          <w:szCs w:val="28"/>
        </w:rPr>
      </w:pPr>
      <w:r w:rsidRPr="0066192E">
        <w:rPr>
          <w:rFonts w:ascii="Times New Roman" w:hAnsi="Times New Roman"/>
          <w:sz w:val="28"/>
          <w:szCs w:val="28"/>
        </w:rPr>
        <w:t>Prashanth S</w:t>
      </w:r>
      <w:r w:rsidR="00B053EA" w:rsidRPr="0066192E">
        <w:rPr>
          <w:rFonts w:ascii="Times New Roman" w:hAnsi="Times New Roman"/>
          <w:sz w:val="28"/>
          <w:szCs w:val="28"/>
        </w:rPr>
        <w:t xml:space="preserve"> | RL Assignment </w:t>
      </w:r>
    </w:p>
    <w:p w14:paraId="38CA486D" w14:textId="77777777" w:rsidR="00A12BE7" w:rsidRDefault="00A12BE7" w:rsidP="005C5AFF">
      <w:pPr>
        <w:jc w:val="center"/>
        <w:rPr>
          <w:rFonts w:ascii="Times New Roman" w:hAnsi="Times New Roman"/>
          <w:b/>
          <w:sz w:val="26"/>
        </w:rPr>
      </w:pPr>
    </w:p>
    <w:p w14:paraId="6E1E1A9B" w14:textId="701034E6" w:rsidR="00FF4354" w:rsidRDefault="00B053EA" w:rsidP="005C5AFF">
      <w:pPr>
        <w:jc w:val="center"/>
      </w:pPr>
      <w:r>
        <w:rPr>
          <w:rFonts w:ascii="Times New Roman" w:hAnsi="Times New Roman"/>
          <w:b/>
          <w:sz w:val="26"/>
        </w:rPr>
        <w:t>Abstract</w:t>
      </w:r>
    </w:p>
    <w:p w14:paraId="13EFB08F" w14:textId="77777777" w:rsidR="00FF4354" w:rsidRDefault="00B053EA" w:rsidP="00563399">
      <w:pPr>
        <w:spacing w:after="120" w:line="360" w:lineRule="auto"/>
        <w:jc w:val="both"/>
      </w:pPr>
      <w:r>
        <w:rPr>
          <w:rFonts w:ascii="Times New Roman" w:hAnsi="Times New Roman"/>
          <w:sz w:val="24"/>
        </w:rPr>
        <w:t>Smart Home Energy Management Systems (HEMS) offer significant potential for reducing residential electricity costs through intelligent scheduling of appliances and battery storage. This paper reproduces and extends the Q-Learning-based HEMS framework proposed by Razghandi et al. (2021), which combined Sequence-to-Sequence load forecasting with tabular Q-Learning for offline energy optimisation. We simplify the original pipeline to focus on the reinforcement learning core and contribute five systematic extensions: (1) reproduction of the Q-Learning baseline on a simulated home environment with solar PV and battery storage; (2) comparison of Q-Learning (off-policy) against SARSA (on-policy); (3) hyperparameter sensitivity analysis across learning rate, discount factor, and epsilon decay; (4) evaluation under three distinct electricity pricing schemes (flat-rate, time-of-use, and dynamic); and (5) convergence analysis across five independent runs with confidence intervals. Results show Q-Learning achieves up to 23% cost reduction under time-of-use pricing, marginally outperforms SARSA, and converges faster in the HEMS environment. Optimal hyperparameters are identified, and time-of-use pricing is found to yield the greatest savings opportunity for reinforcement learning-based controllers.</w:t>
      </w:r>
    </w:p>
    <w:p w14:paraId="6D55285A" w14:textId="77777777" w:rsidR="00FF4354" w:rsidRDefault="00FF4354" w:rsidP="00563399">
      <w:pPr>
        <w:spacing w:line="360" w:lineRule="auto"/>
        <w:jc w:val="both"/>
      </w:pPr>
    </w:p>
    <w:p w14:paraId="588298D9" w14:textId="77777777" w:rsidR="00FF4354" w:rsidRDefault="00B053EA">
      <w:r>
        <w:rPr>
          <w:rFonts w:ascii="Times New Roman" w:hAnsi="Times New Roman"/>
          <w:b/>
          <w:sz w:val="28"/>
        </w:rPr>
        <w:t>1. Introduction</w:t>
      </w:r>
    </w:p>
    <w:p w14:paraId="252EB28C" w14:textId="6D367956" w:rsidR="00FF4354" w:rsidRDefault="00B053EA" w:rsidP="00C82DFD">
      <w:pPr>
        <w:spacing w:after="120" w:line="360" w:lineRule="auto"/>
        <w:jc w:val="both"/>
      </w:pPr>
      <w:r>
        <w:rPr>
          <w:rFonts w:ascii="Times New Roman" w:hAnsi="Times New Roman"/>
          <w:sz w:val="24"/>
        </w:rPr>
        <w:t>Residential energy consumption accounts for approximately 20–30% of total global electricity use. The proliferation of rooftop solar photovoltaic (PV) systems, home battery storage, and smart appliances has created an opportunity</w:t>
      </w:r>
      <w:r w:rsidR="00D71403">
        <w:rPr>
          <w:rFonts w:ascii="Times New Roman" w:hAnsi="Times New Roman"/>
          <w:sz w:val="24"/>
        </w:rPr>
        <w:t xml:space="preserve"> </w:t>
      </w:r>
      <w:r>
        <w:rPr>
          <w:rFonts w:ascii="Times New Roman" w:hAnsi="Times New Roman"/>
          <w:sz w:val="24"/>
        </w:rPr>
        <w:t>and a challenge</w:t>
      </w:r>
      <w:r w:rsidR="00D71403">
        <w:rPr>
          <w:rFonts w:ascii="Times New Roman" w:hAnsi="Times New Roman"/>
          <w:sz w:val="24"/>
        </w:rPr>
        <w:t xml:space="preserve"> </w:t>
      </w:r>
      <w:r>
        <w:rPr>
          <w:rFonts w:ascii="Times New Roman" w:hAnsi="Times New Roman"/>
          <w:sz w:val="24"/>
        </w:rPr>
        <w:t xml:space="preserve">for intelligent </w:t>
      </w:r>
      <w:r>
        <w:rPr>
          <w:rFonts w:ascii="Times New Roman" w:hAnsi="Times New Roman"/>
          <w:sz w:val="24"/>
        </w:rPr>
        <w:lastRenderedPageBreak/>
        <w:t>energy management. A Home Energy Management System (HEMS) must decide, in real time, when to charge or discharge the battery, when to buy from the grid, and when to sell excess solar power, all while meeting household demand and minimising electricity costs.</w:t>
      </w:r>
    </w:p>
    <w:p w14:paraId="0B84660D" w14:textId="05741EF3" w:rsidR="00FF4354" w:rsidRDefault="00B053EA" w:rsidP="00C82DFD">
      <w:pPr>
        <w:spacing w:after="120" w:line="360" w:lineRule="auto"/>
        <w:jc w:val="both"/>
      </w:pPr>
      <w:r>
        <w:rPr>
          <w:rFonts w:ascii="Times New Roman" w:hAnsi="Times New Roman"/>
          <w:sz w:val="24"/>
        </w:rPr>
        <w:t>Reinforcement learning (RL) is particularly well-suited to this problem because the optimal scheduling policy depends on stochastic factors such as solar irradiance, load demand, and electricity prices that are difficult to model analytically. Q-Learning</w:t>
      </w:r>
      <w:r w:rsidR="004B3A1A">
        <w:rPr>
          <w:rFonts w:ascii="Times New Roman" w:hAnsi="Times New Roman"/>
          <w:sz w:val="24"/>
        </w:rPr>
        <w:t xml:space="preserve"> </w:t>
      </w:r>
      <w:r>
        <w:rPr>
          <w:rFonts w:ascii="Times New Roman" w:hAnsi="Times New Roman"/>
          <w:sz w:val="24"/>
        </w:rPr>
        <w:t>the canonical off-policy temporal-difference algorithm introduced by Watkins and Dayan (1992)</w:t>
      </w:r>
      <w:r w:rsidR="004B3A1A">
        <w:rPr>
          <w:rFonts w:ascii="Times New Roman" w:hAnsi="Times New Roman"/>
          <w:sz w:val="24"/>
        </w:rPr>
        <w:t xml:space="preserve"> </w:t>
      </w:r>
      <w:r>
        <w:rPr>
          <w:rFonts w:ascii="Times New Roman" w:hAnsi="Times New Roman"/>
          <w:sz w:val="24"/>
        </w:rPr>
        <w:t>learns action-value estimates directly from interaction with the environment without requiring an explicit transition model.</w:t>
      </w:r>
    </w:p>
    <w:p w14:paraId="714BB53F" w14:textId="77777777" w:rsidR="00FF4354" w:rsidRDefault="00B053EA" w:rsidP="00C82DFD">
      <w:pPr>
        <w:spacing w:after="120" w:line="360" w:lineRule="auto"/>
        <w:jc w:val="both"/>
      </w:pPr>
      <w:r>
        <w:rPr>
          <w:rFonts w:ascii="Times New Roman" w:hAnsi="Times New Roman"/>
          <w:sz w:val="24"/>
        </w:rPr>
        <w:t>Razghandi et al. (2021) proposed a two-stage pipeline: first, a Sequence-to-Sequence (Seq2Seq) LSTM model forecasts device-level load and PV generation; second, a Q-Learning agent uses these forecasts for offline HEMS optimisation. While the paper demonstrates superior forecasting accuracy for Seq2Seq over VARMA, SVR, and LSTM, the reinforcement learning component itself is not systematically evaluated—no hyperparameter study, no algorithm comparison, and no convergence analysis is provided.</w:t>
      </w:r>
    </w:p>
    <w:p w14:paraId="00751865" w14:textId="77777777" w:rsidR="00FF4354" w:rsidRDefault="00B053EA" w:rsidP="00C82DFD">
      <w:pPr>
        <w:spacing w:after="120" w:line="360" w:lineRule="auto"/>
        <w:jc w:val="both"/>
      </w:pPr>
      <w:r>
        <w:rPr>
          <w:rFonts w:ascii="Times New Roman" w:hAnsi="Times New Roman"/>
          <w:sz w:val="24"/>
        </w:rPr>
        <w:t>This paper fills those gaps. We isolate and extend the Q-Learning HEMS controller, test it against SARSA, perform a comprehensive hyperparameter sweep, and evaluate performance under three pricing regimes. Our contributions provide a richer empirical understanding of RL-based HEMS control.</w:t>
      </w:r>
    </w:p>
    <w:p w14:paraId="27357A63" w14:textId="77777777" w:rsidR="00FF4354" w:rsidRDefault="00FF4354"/>
    <w:p w14:paraId="49A4FB70" w14:textId="77777777" w:rsidR="00FF4354" w:rsidRDefault="00B053EA">
      <w:r>
        <w:rPr>
          <w:rFonts w:ascii="Times New Roman" w:hAnsi="Times New Roman"/>
          <w:b/>
          <w:sz w:val="28"/>
        </w:rPr>
        <w:t>2. Related Work</w:t>
      </w:r>
    </w:p>
    <w:p w14:paraId="594EC400" w14:textId="77777777" w:rsidR="00FF4354" w:rsidRDefault="00B053EA" w:rsidP="008A0DCF">
      <w:pPr>
        <w:spacing w:after="120" w:line="360" w:lineRule="auto"/>
        <w:jc w:val="both"/>
      </w:pPr>
      <w:r>
        <w:rPr>
          <w:rFonts w:ascii="Times New Roman" w:hAnsi="Times New Roman"/>
          <w:sz w:val="24"/>
        </w:rPr>
        <w:t>Watkins and Dayan (1992) introduced Q-Learning and proved its convergence to the optimal action-value function under standard conditions. Rummery and Niranjan (1994) proposed SARSA as the on-policy counterpart. The foundational treatment of both algorithms appears in Sutton and Barto (2018).</w:t>
      </w:r>
    </w:p>
    <w:p w14:paraId="3DC22119" w14:textId="2B637F67" w:rsidR="00FF4354" w:rsidRDefault="00B053EA" w:rsidP="008A0DCF">
      <w:pPr>
        <w:spacing w:after="120" w:line="360" w:lineRule="auto"/>
        <w:jc w:val="both"/>
      </w:pPr>
      <w:r>
        <w:rPr>
          <w:rFonts w:ascii="Times New Roman" w:hAnsi="Times New Roman"/>
          <w:sz w:val="24"/>
        </w:rPr>
        <w:t>Application of RL to HEMS has grown substantially. Zhou et al. (2016) provided an early survey of HEMS concepts including scheduling strategies. Razghandi et al. (2021)</w:t>
      </w:r>
      <w:r w:rsidR="004B3A1A">
        <w:rPr>
          <w:rFonts w:ascii="Times New Roman" w:hAnsi="Times New Roman"/>
          <w:sz w:val="24"/>
        </w:rPr>
        <w:t xml:space="preserve"> </w:t>
      </w:r>
      <w:r>
        <w:rPr>
          <w:rFonts w:ascii="Times New Roman" w:hAnsi="Times New Roman"/>
          <w:sz w:val="24"/>
        </w:rPr>
        <w:lastRenderedPageBreak/>
        <w:t>the paper reproduced here—combined Seq2Seq forecasting with Q-Learning, demonstrating that better load prediction leads to better energy scheduling. A follow-up by Razghandi et al. (2023) further improved synthetic data generation using VAE-GAN techniques. Recent reviews (MDPI Energies, 2024) confirm the transition from tabular Q-Learning to Deep Q-Networks (DQN) for larger state spaces, though tabular methods remain valuable for interpretability and low-resource settings.</w:t>
      </w:r>
    </w:p>
    <w:p w14:paraId="5B7C818A" w14:textId="77777777" w:rsidR="00FF4354" w:rsidRDefault="00B053EA" w:rsidP="00E83535">
      <w:pPr>
        <w:spacing w:after="120" w:line="360" w:lineRule="auto"/>
        <w:jc w:val="both"/>
      </w:pPr>
      <w:r>
        <w:rPr>
          <w:rFonts w:ascii="Times New Roman" w:hAnsi="Times New Roman"/>
          <w:sz w:val="24"/>
        </w:rPr>
        <w:t>The present work differs from prior art by (a) systematically comparing Q-Learning and SARSA in the HEMS context, (b) conducting hyperparameter sensitivity analysis not present in Razghandi et al. (2021), and (c) evaluating three electricity pricing schemes.</w:t>
      </w:r>
    </w:p>
    <w:p w14:paraId="52827395" w14:textId="77777777" w:rsidR="00FF4354" w:rsidRDefault="00FF4354" w:rsidP="004B3A1A">
      <w:pPr>
        <w:spacing w:line="360" w:lineRule="auto"/>
        <w:jc w:val="both"/>
      </w:pPr>
    </w:p>
    <w:p w14:paraId="7198FCE8" w14:textId="77777777" w:rsidR="00FF4354" w:rsidRDefault="00B053EA">
      <w:r>
        <w:rPr>
          <w:rFonts w:ascii="Times New Roman" w:hAnsi="Times New Roman"/>
          <w:b/>
          <w:sz w:val="28"/>
        </w:rPr>
        <w:t>3. Methodology</w:t>
      </w:r>
    </w:p>
    <w:p w14:paraId="152B520F" w14:textId="77777777" w:rsidR="00FF4354" w:rsidRDefault="00B053EA" w:rsidP="004B3A1A">
      <w:pPr>
        <w:spacing w:line="360" w:lineRule="auto"/>
        <w:jc w:val="both"/>
      </w:pPr>
      <w:r>
        <w:rPr>
          <w:rFonts w:ascii="Times New Roman" w:hAnsi="Times New Roman"/>
          <w:sz w:val="26"/>
        </w:rPr>
        <w:t>3.1 HEMS Environment Formulation</w:t>
      </w:r>
    </w:p>
    <w:p w14:paraId="39F7D401" w14:textId="77777777" w:rsidR="00FF4354" w:rsidRDefault="00B053EA" w:rsidP="00570C33">
      <w:pPr>
        <w:spacing w:after="120" w:line="360" w:lineRule="auto"/>
        <w:jc w:val="both"/>
      </w:pPr>
      <w:r>
        <w:rPr>
          <w:rFonts w:ascii="Times New Roman" w:hAnsi="Times New Roman"/>
          <w:sz w:val="24"/>
        </w:rPr>
        <w:t>The home energy system is modelled as a discrete Markov Decision Process (MDP). The state space S = {(h, b) : h ∈ {0,...,23}, b ∈ {0,1,2,3,4}} encodes the current hour of the day h and the battery state-of-charge (SOC) b discretised into five levels (0%, 25%, 50%, 75%, 100%), yielding |S| = 120 states. The action space A = {Charge, Discharge, Hold} contains three actions controlling battery operation.</w:t>
      </w:r>
    </w:p>
    <w:p w14:paraId="738CF9EF" w14:textId="77777777" w:rsidR="00FF4354" w:rsidRDefault="00B053EA" w:rsidP="005A0244">
      <w:pPr>
        <w:spacing w:after="120" w:line="360" w:lineRule="auto"/>
        <w:jc w:val="both"/>
      </w:pPr>
      <w:r>
        <w:rPr>
          <w:rFonts w:ascii="Times New Roman" w:hAnsi="Times New Roman"/>
          <w:sz w:val="24"/>
        </w:rPr>
        <w:t>At each timestep (one hour), the agent observes the state, selects an action, and receives a reward equal to the negative electricity cost: r = −cost. The cost is computed from the net grid power (load − PV ± battery exchange) multiplied by the applicable price, with excess PV sold back at 50% of the buy price. Battery capacity is 10 kWh with a maximum charge/discharge rate of 2.5 kWh per step and 95% round-trip efficiency.</w:t>
      </w:r>
    </w:p>
    <w:p w14:paraId="025D4249" w14:textId="77777777" w:rsidR="00FF4354" w:rsidRDefault="00B053EA" w:rsidP="004B3A1A">
      <w:pPr>
        <w:spacing w:line="360" w:lineRule="auto"/>
        <w:jc w:val="both"/>
      </w:pPr>
      <w:r>
        <w:rPr>
          <w:rFonts w:ascii="Times New Roman" w:hAnsi="Times New Roman"/>
          <w:sz w:val="26"/>
        </w:rPr>
        <w:t>3.2 Q-Learning</w:t>
      </w:r>
    </w:p>
    <w:p w14:paraId="4EC492C1" w14:textId="77777777" w:rsidR="00FF4354" w:rsidRDefault="00B053EA" w:rsidP="004B3A1A">
      <w:pPr>
        <w:spacing w:after="120" w:line="360" w:lineRule="auto"/>
        <w:jc w:val="both"/>
      </w:pPr>
      <w:r>
        <w:rPr>
          <w:rFonts w:ascii="Times New Roman" w:hAnsi="Times New Roman"/>
          <w:sz w:val="24"/>
        </w:rPr>
        <w:t>Q-Learning (Watkins &amp; Dayan, 1992) is an off-policy temporal-difference algorithm. The update rule is:</w:t>
      </w:r>
    </w:p>
    <w:p w14:paraId="663EE4B5" w14:textId="77777777" w:rsidR="00FF4354" w:rsidRDefault="00B053EA" w:rsidP="004B3A1A">
      <w:pPr>
        <w:spacing w:line="360" w:lineRule="auto"/>
        <w:ind w:left="720"/>
        <w:jc w:val="both"/>
      </w:pPr>
      <w:r>
        <w:rPr>
          <w:rFonts w:ascii="Times New Roman" w:hAnsi="Times New Roman"/>
          <w:i/>
          <w:sz w:val="24"/>
        </w:rPr>
        <w:t>Q(s, a) ← Q(s, a) + α [ r + γ · max_a' Q(s', a') − Q(s, a) ]</w:t>
      </w:r>
    </w:p>
    <w:p w14:paraId="15D8E87F" w14:textId="77777777" w:rsidR="00FF4354" w:rsidRDefault="00B053EA" w:rsidP="006253C9">
      <w:pPr>
        <w:spacing w:after="120" w:line="360" w:lineRule="auto"/>
        <w:jc w:val="both"/>
      </w:pPr>
      <w:r>
        <w:rPr>
          <w:rFonts w:ascii="Times New Roman" w:hAnsi="Times New Roman"/>
          <w:sz w:val="24"/>
        </w:rPr>
        <w:lastRenderedPageBreak/>
        <w:t>where α is the learning rate, γ is the discount factor, and the bootstrap target uses the greedy maximum over next-state actions regardless of the policy being followed.</w:t>
      </w:r>
    </w:p>
    <w:p w14:paraId="1374F4FE" w14:textId="77777777" w:rsidR="00F17A1B" w:rsidRDefault="00F17A1B" w:rsidP="004B3A1A">
      <w:pPr>
        <w:spacing w:line="360" w:lineRule="auto"/>
        <w:jc w:val="both"/>
        <w:rPr>
          <w:rFonts w:ascii="Times New Roman" w:hAnsi="Times New Roman"/>
          <w:sz w:val="26"/>
        </w:rPr>
      </w:pPr>
    </w:p>
    <w:p w14:paraId="3D5C0377" w14:textId="576331A9" w:rsidR="00FF4354" w:rsidRDefault="00B053EA" w:rsidP="004B3A1A">
      <w:pPr>
        <w:spacing w:line="360" w:lineRule="auto"/>
        <w:jc w:val="both"/>
      </w:pPr>
      <w:r>
        <w:rPr>
          <w:rFonts w:ascii="Times New Roman" w:hAnsi="Times New Roman"/>
          <w:sz w:val="26"/>
        </w:rPr>
        <w:t>3.3 SARSA (Extension 1)</w:t>
      </w:r>
    </w:p>
    <w:p w14:paraId="0DFDAFF8" w14:textId="77777777" w:rsidR="00FF4354" w:rsidRDefault="00B053EA" w:rsidP="004B3A1A">
      <w:pPr>
        <w:spacing w:after="120" w:line="360" w:lineRule="auto"/>
        <w:jc w:val="both"/>
      </w:pPr>
      <w:r>
        <w:rPr>
          <w:rFonts w:ascii="Times New Roman" w:hAnsi="Times New Roman"/>
          <w:sz w:val="24"/>
        </w:rPr>
        <w:t>SARSA (Rummery &amp; Niranjan, 1994) is the on-policy counterpart. It updates using the action actually selected by the current policy:</w:t>
      </w:r>
    </w:p>
    <w:p w14:paraId="5854785C" w14:textId="77777777" w:rsidR="00FF4354" w:rsidRDefault="00B053EA" w:rsidP="004B3A1A">
      <w:pPr>
        <w:spacing w:line="360" w:lineRule="auto"/>
        <w:ind w:left="720"/>
        <w:jc w:val="both"/>
      </w:pPr>
      <w:r>
        <w:rPr>
          <w:rFonts w:ascii="Times New Roman" w:hAnsi="Times New Roman"/>
          <w:i/>
          <w:sz w:val="24"/>
        </w:rPr>
        <w:t>Q(s, a) ← Q(s, a) + α [ r + γ · Q(s', a') − Q(s, a) ]</w:t>
      </w:r>
    </w:p>
    <w:p w14:paraId="3B9A5543" w14:textId="2BF7B618" w:rsidR="00FF4354" w:rsidRDefault="00B053EA" w:rsidP="00D205A5">
      <w:pPr>
        <w:spacing w:after="120" w:line="360" w:lineRule="auto"/>
        <w:jc w:val="both"/>
      </w:pPr>
      <w:r>
        <w:rPr>
          <w:rFonts w:ascii="Times New Roman" w:hAnsi="Times New Roman"/>
          <w:sz w:val="24"/>
        </w:rPr>
        <w:t xml:space="preserve">where a' is chosen by the ε-greedy policy at s'. This makes SARSA more </w:t>
      </w:r>
      <w:proofErr w:type="gramStart"/>
      <w:r>
        <w:rPr>
          <w:rFonts w:ascii="Times New Roman" w:hAnsi="Times New Roman"/>
          <w:sz w:val="24"/>
        </w:rPr>
        <w:t>conservative</w:t>
      </w:r>
      <w:proofErr w:type="gramEnd"/>
      <w:r w:rsidR="004B3A1A">
        <w:rPr>
          <w:rFonts w:ascii="Times New Roman" w:hAnsi="Times New Roman"/>
          <w:sz w:val="24"/>
        </w:rPr>
        <w:t xml:space="preserve"> i</w:t>
      </w:r>
      <w:r>
        <w:rPr>
          <w:rFonts w:ascii="Times New Roman" w:hAnsi="Times New Roman"/>
          <w:sz w:val="24"/>
        </w:rPr>
        <w:t>t accounts for its own exploratory mistakes, potentially learning a safer but sub-optimal policy.</w:t>
      </w:r>
    </w:p>
    <w:p w14:paraId="2AC5BE23" w14:textId="77777777" w:rsidR="00FF4354" w:rsidRDefault="00B053EA" w:rsidP="004B3A1A">
      <w:pPr>
        <w:spacing w:line="360" w:lineRule="auto"/>
        <w:jc w:val="both"/>
      </w:pPr>
      <w:r>
        <w:rPr>
          <w:rFonts w:ascii="Times New Roman" w:hAnsi="Times New Roman"/>
          <w:sz w:val="26"/>
        </w:rPr>
        <w:t>3.4 Pricing Schemes (Extension 3)</w:t>
      </w:r>
    </w:p>
    <w:p w14:paraId="7F1C1389" w14:textId="77777777" w:rsidR="00FF4354" w:rsidRDefault="00B053EA" w:rsidP="00A674A3">
      <w:pPr>
        <w:spacing w:after="120" w:line="360" w:lineRule="auto"/>
        <w:jc w:val="both"/>
      </w:pPr>
      <w:r>
        <w:rPr>
          <w:rFonts w:ascii="Times New Roman" w:hAnsi="Times New Roman"/>
          <w:sz w:val="24"/>
        </w:rPr>
        <w:t>Three electricity pricing schemes are evaluated:</w:t>
      </w:r>
    </w:p>
    <w:p w14:paraId="73267244" w14:textId="77777777" w:rsidR="00FF4354" w:rsidRDefault="00B053EA" w:rsidP="004B3A1A">
      <w:pPr>
        <w:spacing w:after="120" w:line="360" w:lineRule="auto"/>
        <w:jc w:val="both"/>
      </w:pPr>
      <w:r>
        <w:rPr>
          <w:rFonts w:ascii="Times New Roman" w:hAnsi="Times New Roman"/>
          <w:sz w:val="24"/>
        </w:rPr>
        <w:t xml:space="preserve">  1. Flat Rate: constant 0.15 $/kWh throughout the day.</w:t>
      </w:r>
    </w:p>
    <w:p w14:paraId="24FA9284" w14:textId="77777777" w:rsidR="00FF4354" w:rsidRDefault="00B053EA" w:rsidP="004B3A1A">
      <w:pPr>
        <w:spacing w:after="120" w:line="360" w:lineRule="auto"/>
        <w:jc w:val="both"/>
      </w:pPr>
      <w:r>
        <w:rPr>
          <w:rFonts w:ascii="Times New Roman" w:hAnsi="Times New Roman"/>
          <w:sz w:val="24"/>
        </w:rPr>
        <w:t xml:space="preserve">  2. Time-of-Use (ToU): off-peak (0.08 $/kWh, 22:00–07:00), mid-peak (0.12 $/kWh), peak (0.22 $/kWh, 07:00–09:00 and 17:00–22:00).</w:t>
      </w:r>
    </w:p>
    <w:p w14:paraId="3BD39683" w14:textId="77777777" w:rsidR="00FF4354" w:rsidRDefault="00B053EA" w:rsidP="004B3A1A">
      <w:pPr>
        <w:spacing w:after="120" w:line="360" w:lineRule="auto"/>
        <w:jc w:val="both"/>
      </w:pPr>
      <w:r>
        <w:rPr>
          <w:rFonts w:ascii="Times New Roman" w:hAnsi="Times New Roman"/>
          <w:sz w:val="24"/>
        </w:rPr>
        <w:t xml:space="preserve">  3. Dynamic: uniformly random price in [0.07, 0.26] $/kWh per hour with a fixed seed for reproducibility.</w:t>
      </w:r>
    </w:p>
    <w:p w14:paraId="3F420126" w14:textId="77777777" w:rsidR="00FF4354" w:rsidRDefault="00FF4354" w:rsidP="004B3A1A">
      <w:pPr>
        <w:spacing w:line="360" w:lineRule="auto"/>
        <w:jc w:val="both"/>
      </w:pPr>
    </w:p>
    <w:p w14:paraId="6232D54F" w14:textId="77777777" w:rsidR="00FF4354" w:rsidRDefault="00B053EA">
      <w:r>
        <w:rPr>
          <w:rFonts w:ascii="Times New Roman" w:hAnsi="Times New Roman"/>
          <w:b/>
          <w:sz w:val="28"/>
        </w:rPr>
        <w:t>4. Experimental Setup</w:t>
      </w:r>
    </w:p>
    <w:p w14:paraId="532E34FA" w14:textId="77777777" w:rsidR="00FF4354" w:rsidRDefault="00B053EA" w:rsidP="005D03F9">
      <w:pPr>
        <w:spacing w:after="120" w:line="360" w:lineRule="auto"/>
        <w:jc w:val="both"/>
      </w:pPr>
      <w:r>
        <w:rPr>
          <w:rFonts w:ascii="Times New Roman" w:hAnsi="Times New Roman"/>
          <w:sz w:val="24"/>
        </w:rPr>
        <w:t>All experiments are implemented in Python 3.12 using NumPy and Matplotlib. The simulated home environment uses a 24-hour PV generation profile (peak 4.8 kWh at noon) and a residential load profile (peak 2.0 kWh at 19:00). Training runs for 3,000 episodes (one day per episode). Baseline performance is measured as the daily cost of a no-control agent (action = Hold always).</w:t>
      </w:r>
    </w:p>
    <w:p w14:paraId="2EB34FA3" w14:textId="77777777" w:rsidR="00FF4354" w:rsidRDefault="00FF4354"/>
    <w:tbl>
      <w:tblPr>
        <w:tblStyle w:val="TableGrid"/>
        <w:tblW w:w="0" w:type="auto"/>
        <w:tblLook w:val="04A0" w:firstRow="1" w:lastRow="0" w:firstColumn="1" w:lastColumn="0" w:noHBand="0" w:noVBand="1"/>
      </w:tblPr>
      <w:tblGrid>
        <w:gridCol w:w="2160"/>
        <w:gridCol w:w="2160"/>
        <w:gridCol w:w="2160"/>
        <w:gridCol w:w="2160"/>
      </w:tblGrid>
      <w:tr w:rsidR="00FF4354" w14:paraId="379BE7C8" w14:textId="77777777">
        <w:tc>
          <w:tcPr>
            <w:tcW w:w="2160" w:type="dxa"/>
          </w:tcPr>
          <w:p w14:paraId="3002DA83" w14:textId="77777777" w:rsidR="00FF4354" w:rsidRDefault="00B053EA">
            <w:r>
              <w:rPr>
                <w:b/>
              </w:rPr>
              <w:t>Parameter</w:t>
            </w:r>
          </w:p>
        </w:tc>
        <w:tc>
          <w:tcPr>
            <w:tcW w:w="2160" w:type="dxa"/>
          </w:tcPr>
          <w:p w14:paraId="78859333" w14:textId="77777777" w:rsidR="00FF4354" w:rsidRDefault="00B053EA">
            <w:r>
              <w:rPr>
                <w:b/>
              </w:rPr>
              <w:t>Reproduction</w:t>
            </w:r>
          </w:p>
        </w:tc>
        <w:tc>
          <w:tcPr>
            <w:tcW w:w="2160" w:type="dxa"/>
          </w:tcPr>
          <w:p w14:paraId="376D13E6" w14:textId="77777777" w:rsidR="00FF4354" w:rsidRDefault="00B053EA">
            <w:r>
              <w:rPr>
                <w:b/>
              </w:rPr>
              <w:t xml:space="preserve">Extension 2 </w:t>
            </w:r>
            <w:r>
              <w:rPr>
                <w:b/>
              </w:rPr>
              <w:lastRenderedPageBreak/>
              <w:t>(Sweep)</w:t>
            </w:r>
          </w:p>
        </w:tc>
        <w:tc>
          <w:tcPr>
            <w:tcW w:w="2160" w:type="dxa"/>
          </w:tcPr>
          <w:p w14:paraId="6EA12882" w14:textId="77777777" w:rsidR="00FF4354" w:rsidRDefault="00B053EA">
            <w:r>
              <w:rPr>
                <w:b/>
              </w:rPr>
              <w:lastRenderedPageBreak/>
              <w:t xml:space="preserve">Extension 4 </w:t>
            </w:r>
            <w:r>
              <w:rPr>
                <w:b/>
              </w:rPr>
              <w:lastRenderedPageBreak/>
              <w:t>(Convergence)</w:t>
            </w:r>
          </w:p>
        </w:tc>
      </w:tr>
      <w:tr w:rsidR="00FF4354" w14:paraId="3C7EDBC1" w14:textId="77777777">
        <w:tc>
          <w:tcPr>
            <w:tcW w:w="2160" w:type="dxa"/>
          </w:tcPr>
          <w:p w14:paraId="7317B480" w14:textId="77777777" w:rsidR="00FF4354" w:rsidRDefault="00B053EA">
            <w:r>
              <w:lastRenderedPageBreak/>
              <w:t>Learning Rate (α)</w:t>
            </w:r>
          </w:p>
        </w:tc>
        <w:tc>
          <w:tcPr>
            <w:tcW w:w="2160" w:type="dxa"/>
          </w:tcPr>
          <w:p w14:paraId="6F749253" w14:textId="77777777" w:rsidR="00FF4354" w:rsidRDefault="00B053EA">
            <w:r>
              <w:t>0.1</w:t>
            </w:r>
          </w:p>
        </w:tc>
        <w:tc>
          <w:tcPr>
            <w:tcW w:w="2160" w:type="dxa"/>
          </w:tcPr>
          <w:p w14:paraId="661E75DB" w14:textId="77777777" w:rsidR="00FF4354" w:rsidRDefault="00B053EA">
            <w:r>
              <w:t>0.01, 0.05, 0.1, 0.3, 0.5</w:t>
            </w:r>
          </w:p>
        </w:tc>
        <w:tc>
          <w:tcPr>
            <w:tcW w:w="2160" w:type="dxa"/>
          </w:tcPr>
          <w:p w14:paraId="399C4E91" w14:textId="77777777" w:rsidR="00FF4354" w:rsidRDefault="00B053EA">
            <w:r>
              <w:t>0.1</w:t>
            </w:r>
          </w:p>
        </w:tc>
      </w:tr>
      <w:tr w:rsidR="00FF4354" w14:paraId="461A84A4" w14:textId="77777777">
        <w:tc>
          <w:tcPr>
            <w:tcW w:w="2160" w:type="dxa"/>
          </w:tcPr>
          <w:p w14:paraId="69C1551A" w14:textId="77777777" w:rsidR="00FF4354" w:rsidRDefault="00B053EA">
            <w:r>
              <w:t>Discount Factor (γ)</w:t>
            </w:r>
          </w:p>
        </w:tc>
        <w:tc>
          <w:tcPr>
            <w:tcW w:w="2160" w:type="dxa"/>
          </w:tcPr>
          <w:p w14:paraId="38EAA60E" w14:textId="77777777" w:rsidR="00FF4354" w:rsidRDefault="00B053EA">
            <w:r>
              <w:t>0.99</w:t>
            </w:r>
          </w:p>
        </w:tc>
        <w:tc>
          <w:tcPr>
            <w:tcW w:w="2160" w:type="dxa"/>
          </w:tcPr>
          <w:p w14:paraId="1CF1383C" w14:textId="77777777" w:rsidR="00FF4354" w:rsidRDefault="00B053EA">
            <w:r>
              <w:t>0.80, 0.90, 0.95, 0.99, 1.00</w:t>
            </w:r>
          </w:p>
        </w:tc>
        <w:tc>
          <w:tcPr>
            <w:tcW w:w="2160" w:type="dxa"/>
          </w:tcPr>
          <w:p w14:paraId="6D0724C5" w14:textId="77777777" w:rsidR="00FF4354" w:rsidRDefault="00B053EA">
            <w:r>
              <w:t>0.99</w:t>
            </w:r>
          </w:p>
        </w:tc>
      </w:tr>
      <w:tr w:rsidR="00FF4354" w14:paraId="1F3C986F" w14:textId="77777777">
        <w:tc>
          <w:tcPr>
            <w:tcW w:w="2160" w:type="dxa"/>
          </w:tcPr>
          <w:p w14:paraId="025F50CA" w14:textId="77777777" w:rsidR="00FF4354" w:rsidRDefault="00B053EA">
            <w:r>
              <w:t>Initial Epsilon (ε)</w:t>
            </w:r>
          </w:p>
        </w:tc>
        <w:tc>
          <w:tcPr>
            <w:tcW w:w="2160" w:type="dxa"/>
          </w:tcPr>
          <w:p w14:paraId="1DAAF441" w14:textId="77777777" w:rsidR="00FF4354" w:rsidRDefault="00B053EA">
            <w:r>
              <w:t>1.0</w:t>
            </w:r>
          </w:p>
        </w:tc>
        <w:tc>
          <w:tcPr>
            <w:tcW w:w="2160" w:type="dxa"/>
          </w:tcPr>
          <w:p w14:paraId="42693529" w14:textId="77777777" w:rsidR="00FF4354" w:rsidRDefault="00B053EA">
            <w:r>
              <w:t>1.0</w:t>
            </w:r>
          </w:p>
        </w:tc>
        <w:tc>
          <w:tcPr>
            <w:tcW w:w="2160" w:type="dxa"/>
          </w:tcPr>
          <w:p w14:paraId="592944AD" w14:textId="77777777" w:rsidR="00FF4354" w:rsidRDefault="00B053EA">
            <w:r>
              <w:t>1.0</w:t>
            </w:r>
          </w:p>
        </w:tc>
      </w:tr>
      <w:tr w:rsidR="00FF4354" w14:paraId="69383F73" w14:textId="77777777">
        <w:tc>
          <w:tcPr>
            <w:tcW w:w="2160" w:type="dxa"/>
          </w:tcPr>
          <w:p w14:paraId="72B0B044" w14:textId="77777777" w:rsidR="00FF4354" w:rsidRDefault="00B053EA">
            <w:r>
              <w:t>Epsilon Decay</w:t>
            </w:r>
          </w:p>
        </w:tc>
        <w:tc>
          <w:tcPr>
            <w:tcW w:w="2160" w:type="dxa"/>
          </w:tcPr>
          <w:p w14:paraId="7F6707A7" w14:textId="77777777" w:rsidR="00FF4354" w:rsidRDefault="00B053EA">
            <w:r>
              <w:t>0.997</w:t>
            </w:r>
          </w:p>
        </w:tc>
        <w:tc>
          <w:tcPr>
            <w:tcW w:w="2160" w:type="dxa"/>
          </w:tcPr>
          <w:p w14:paraId="2E9D81B0" w14:textId="77777777" w:rsidR="00FF4354" w:rsidRDefault="00B053EA">
            <w:r>
              <w:t>0.997</w:t>
            </w:r>
          </w:p>
        </w:tc>
        <w:tc>
          <w:tcPr>
            <w:tcW w:w="2160" w:type="dxa"/>
          </w:tcPr>
          <w:p w14:paraId="6B8505B1" w14:textId="77777777" w:rsidR="00FF4354" w:rsidRDefault="00B053EA">
            <w:r>
              <w:t>0.997</w:t>
            </w:r>
          </w:p>
        </w:tc>
      </w:tr>
      <w:tr w:rsidR="00FF4354" w14:paraId="267D7D34" w14:textId="77777777">
        <w:tc>
          <w:tcPr>
            <w:tcW w:w="2160" w:type="dxa"/>
          </w:tcPr>
          <w:p w14:paraId="2DE70B33" w14:textId="77777777" w:rsidR="00FF4354" w:rsidRDefault="00B053EA">
            <w:r>
              <w:t>Min Epsilon</w:t>
            </w:r>
          </w:p>
        </w:tc>
        <w:tc>
          <w:tcPr>
            <w:tcW w:w="2160" w:type="dxa"/>
          </w:tcPr>
          <w:p w14:paraId="13A57700" w14:textId="77777777" w:rsidR="00FF4354" w:rsidRDefault="00B053EA">
            <w:r>
              <w:t>0.01</w:t>
            </w:r>
          </w:p>
        </w:tc>
        <w:tc>
          <w:tcPr>
            <w:tcW w:w="2160" w:type="dxa"/>
          </w:tcPr>
          <w:p w14:paraId="4DD2FBD0" w14:textId="77777777" w:rsidR="00FF4354" w:rsidRDefault="00B053EA">
            <w:r>
              <w:t>0.01</w:t>
            </w:r>
          </w:p>
        </w:tc>
        <w:tc>
          <w:tcPr>
            <w:tcW w:w="2160" w:type="dxa"/>
          </w:tcPr>
          <w:p w14:paraId="321338F9" w14:textId="77777777" w:rsidR="00FF4354" w:rsidRDefault="00B053EA">
            <w:r>
              <w:t>0.01</w:t>
            </w:r>
          </w:p>
        </w:tc>
      </w:tr>
      <w:tr w:rsidR="00FF4354" w14:paraId="4BBB9FBA" w14:textId="77777777">
        <w:tc>
          <w:tcPr>
            <w:tcW w:w="2160" w:type="dxa"/>
          </w:tcPr>
          <w:p w14:paraId="3738F814" w14:textId="77777777" w:rsidR="00FF4354" w:rsidRDefault="00B053EA">
            <w:r>
              <w:t>Episodes</w:t>
            </w:r>
          </w:p>
        </w:tc>
        <w:tc>
          <w:tcPr>
            <w:tcW w:w="2160" w:type="dxa"/>
          </w:tcPr>
          <w:p w14:paraId="1F91D5FC" w14:textId="77777777" w:rsidR="00FF4354" w:rsidRDefault="00B053EA">
            <w:r>
              <w:t>3,000</w:t>
            </w:r>
          </w:p>
        </w:tc>
        <w:tc>
          <w:tcPr>
            <w:tcW w:w="2160" w:type="dxa"/>
          </w:tcPr>
          <w:p w14:paraId="38CAD94C" w14:textId="77777777" w:rsidR="00FF4354" w:rsidRDefault="00B053EA">
            <w:r>
              <w:t>1,500</w:t>
            </w:r>
          </w:p>
        </w:tc>
        <w:tc>
          <w:tcPr>
            <w:tcW w:w="2160" w:type="dxa"/>
          </w:tcPr>
          <w:p w14:paraId="58FF0DA7" w14:textId="77777777" w:rsidR="00FF4354" w:rsidRDefault="00B053EA">
            <w:r>
              <w:t>3,000</w:t>
            </w:r>
          </w:p>
        </w:tc>
      </w:tr>
      <w:tr w:rsidR="00FF4354" w14:paraId="10483B98" w14:textId="77777777">
        <w:tc>
          <w:tcPr>
            <w:tcW w:w="2160" w:type="dxa"/>
          </w:tcPr>
          <w:p w14:paraId="77EB7729" w14:textId="77777777" w:rsidR="00FF4354" w:rsidRDefault="00B053EA">
            <w:r>
              <w:t>Independent Runs</w:t>
            </w:r>
          </w:p>
        </w:tc>
        <w:tc>
          <w:tcPr>
            <w:tcW w:w="2160" w:type="dxa"/>
          </w:tcPr>
          <w:p w14:paraId="1F4762DF" w14:textId="77777777" w:rsidR="00FF4354" w:rsidRDefault="00B053EA">
            <w:r>
              <w:t>1</w:t>
            </w:r>
          </w:p>
        </w:tc>
        <w:tc>
          <w:tcPr>
            <w:tcW w:w="2160" w:type="dxa"/>
          </w:tcPr>
          <w:p w14:paraId="10A8CBF9" w14:textId="77777777" w:rsidR="00FF4354" w:rsidRDefault="00B053EA">
            <w:r>
              <w:t>1</w:t>
            </w:r>
          </w:p>
        </w:tc>
        <w:tc>
          <w:tcPr>
            <w:tcW w:w="2160" w:type="dxa"/>
          </w:tcPr>
          <w:p w14:paraId="36A5C375" w14:textId="77777777" w:rsidR="00FF4354" w:rsidRDefault="00B053EA">
            <w:r>
              <w:t>5</w:t>
            </w:r>
          </w:p>
        </w:tc>
      </w:tr>
      <w:tr w:rsidR="00FF4354" w14:paraId="482182AB" w14:textId="77777777">
        <w:tc>
          <w:tcPr>
            <w:tcW w:w="2160" w:type="dxa"/>
          </w:tcPr>
          <w:p w14:paraId="3E22F2C3" w14:textId="77777777" w:rsidR="00FF4354" w:rsidRDefault="00B053EA">
            <w:r>
              <w:t>Pricing Scheme</w:t>
            </w:r>
          </w:p>
        </w:tc>
        <w:tc>
          <w:tcPr>
            <w:tcW w:w="2160" w:type="dxa"/>
          </w:tcPr>
          <w:p w14:paraId="5DC7F3B0" w14:textId="77777777" w:rsidR="00FF4354" w:rsidRDefault="00B053EA">
            <w:r>
              <w:t>ToU</w:t>
            </w:r>
          </w:p>
        </w:tc>
        <w:tc>
          <w:tcPr>
            <w:tcW w:w="2160" w:type="dxa"/>
          </w:tcPr>
          <w:p w14:paraId="5ADC8067" w14:textId="77777777" w:rsidR="00FF4354" w:rsidRDefault="00B053EA">
            <w:r>
              <w:t>ToU</w:t>
            </w:r>
          </w:p>
        </w:tc>
        <w:tc>
          <w:tcPr>
            <w:tcW w:w="2160" w:type="dxa"/>
          </w:tcPr>
          <w:p w14:paraId="5836C49C" w14:textId="77777777" w:rsidR="00FF4354" w:rsidRDefault="00B053EA">
            <w:r>
              <w:t>ToU</w:t>
            </w:r>
          </w:p>
        </w:tc>
      </w:tr>
    </w:tbl>
    <w:p w14:paraId="489EA679" w14:textId="77777777" w:rsidR="00FF4354" w:rsidRDefault="00FF4354"/>
    <w:p w14:paraId="09654D52" w14:textId="77777777" w:rsidR="00FF4354" w:rsidRDefault="00B053EA" w:rsidP="00603578">
      <w:pPr>
        <w:spacing w:after="120"/>
        <w:jc w:val="center"/>
      </w:pPr>
      <w:r>
        <w:rPr>
          <w:rFonts w:ascii="Times New Roman" w:hAnsi="Times New Roman"/>
          <w:sz w:val="24"/>
        </w:rPr>
        <w:t>Table 1: Experimental hyperparameter configurations for each extension.</w:t>
      </w:r>
    </w:p>
    <w:p w14:paraId="0E5402B5" w14:textId="77777777" w:rsidR="00FF4354" w:rsidRDefault="00FF4354"/>
    <w:p w14:paraId="47F88AE8" w14:textId="77777777" w:rsidR="00FF4354" w:rsidRDefault="00B053EA">
      <w:r>
        <w:rPr>
          <w:rFonts w:ascii="Times New Roman" w:hAnsi="Times New Roman"/>
          <w:b/>
          <w:sz w:val="28"/>
        </w:rPr>
        <w:t>5. Results and Analysis</w:t>
      </w:r>
    </w:p>
    <w:p w14:paraId="24F5C61E" w14:textId="15390CBE" w:rsidR="00FF4354" w:rsidRDefault="00B053EA" w:rsidP="00EE2171">
      <w:pPr>
        <w:spacing w:line="360" w:lineRule="auto"/>
        <w:jc w:val="both"/>
      </w:pPr>
      <w:r>
        <w:rPr>
          <w:rFonts w:ascii="Times New Roman" w:hAnsi="Times New Roman"/>
          <w:sz w:val="26"/>
        </w:rPr>
        <w:t>5.1 Reproduction Q-Learning Baseline (Section 1)</w:t>
      </w:r>
    </w:p>
    <w:p w14:paraId="03BE2C97" w14:textId="77777777" w:rsidR="00FF4354" w:rsidRDefault="00B053EA" w:rsidP="00AC3919">
      <w:pPr>
        <w:spacing w:after="120" w:line="360" w:lineRule="auto"/>
        <w:jc w:val="both"/>
      </w:pPr>
      <w:r>
        <w:rPr>
          <w:rFonts w:ascii="Times New Roman" w:hAnsi="Times New Roman"/>
          <w:sz w:val="24"/>
        </w:rPr>
        <w:t>The Q-Learning agent trained on the simulated HEMS environment with ToU pricing learns to shift battery charging to off-peak hours (night) and discharge during peak hours (morning/evening), closely matching the intended demand response behaviour described in Razghandi et al. (2021). The agent reduces daily electricity cost compared to the no-control baseline, validating the reproduction. The reward curve shows consistent improvement over episodes and stabilises after approximately 1,500 episodes.</w:t>
      </w:r>
    </w:p>
    <w:p w14:paraId="31C15F78" w14:textId="77777777" w:rsidR="00FF4354" w:rsidRDefault="00B053EA" w:rsidP="00EE2171">
      <w:pPr>
        <w:spacing w:line="360" w:lineRule="auto"/>
        <w:jc w:val="both"/>
      </w:pPr>
      <w:r>
        <w:rPr>
          <w:rFonts w:ascii="Times New Roman" w:hAnsi="Times New Roman"/>
          <w:sz w:val="26"/>
        </w:rPr>
        <w:t>5.2 Q-Learning vs SARSA (Extension 1)</w:t>
      </w:r>
    </w:p>
    <w:p w14:paraId="6278446D" w14:textId="77777777" w:rsidR="00FF4354" w:rsidRDefault="00B053EA" w:rsidP="00F63B3F">
      <w:pPr>
        <w:spacing w:after="120" w:line="360" w:lineRule="auto"/>
        <w:jc w:val="both"/>
      </w:pPr>
      <w:r>
        <w:rPr>
          <w:rFonts w:ascii="Times New Roman" w:hAnsi="Times New Roman"/>
          <w:sz w:val="24"/>
        </w:rPr>
        <w:t>Q-Learning marginally outperforms SARSA in the HEMS setting in terms of final daily cost. This is consistent with the theoretical expectation: in HEMS, the agent can afford to be greedy (off-policy) because the environment is not characterised by cliff-edge risk as in the classic Cliff Walking gridworld. SARSA's conservative on-policy updates provide no safety benefit here, and its slower convergence toward the greedy optimum results in slightly higher cost.</w:t>
      </w:r>
    </w:p>
    <w:p w14:paraId="3AE5EE87" w14:textId="77777777" w:rsidR="00FF4354" w:rsidRDefault="00B053EA" w:rsidP="00EE2171">
      <w:pPr>
        <w:spacing w:line="360" w:lineRule="auto"/>
        <w:jc w:val="both"/>
      </w:pPr>
      <w:r>
        <w:rPr>
          <w:rFonts w:ascii="Times New Roman" w:hAnsi="Times New Roman"/>
          <w:sz w:val="26"/>
        </w:rPr>
        <w:t>5.3 Hyperparameter Sensitivity (Extension 2)</w:t>
      </w:r>
    </w:p>
    <w:p w14:paraId="21FC7E39" w14:textId="77777777" w:rsidR="00FF4354" w:rsidRDefault="00B053EA" w:rsidP="005F55B4">
      <w:pPr>
        <w:spacing w:after="120" w:line="360" w:lineRule="auto"/>
        <w:jc w:val="both"/>
      </w:pPr>
      <w:r>
        <w:rPr>
          <w:rFonts w:ascii="Times New Roman" w:hAnsi="Times New Roman"/>
          <w:sz w:val="24"/>
        </w:rPr>
        <w:t xml:space="preserve">The α × γ heatmap reveals that the choice of discount factor has the largest impact on performance. Very low γ (0.80) causes the agent to focus on immediate cost savings, </w:t>
      </w:r>
      <w:r>
        <w:rPr>
          <w:rFonts w:ascii="Times New Roman" w:hAnsi="Times New Roman"/>
          <w:sz w:val="24"/>
        </w:rPr>
        <w:lastRenderedPageBreak/>
        <w:t>missing opportunities to pre-charge the battery for future peak hours. Very high α (0.5) causes instability. The combination α = 0.1, γ = 0.99 — used in the original paper — is confirmed as near-optimal, though α = 0.05 with γ = 0.99 also performs well. Slower epsilon decay improves final cost at the expense of convergence speed.</w:t>
      </w:r>
    </w:p>
    <w:p w14:paraId="6E8307A1" w14:textId="77777777" w:rsidR="00FF4354" w:rsidRDefault="00B053EA" w:rsidP="00EE2171">
      <w:pPr>
        <w:spacing w:line="360" w:lineRule="auto"/>
        <w:jc w:val="both"/>
      </w:pPr>
      <w:r>
        <w:rPr>
          <w:rFonts w:ascii="Times New Roman" w:hAnsi="Times New Roman"/>
          <w:sz w:val="26"/>
        </w:rPr>
        <w:t>5.4 Pricing Scheme Comparison (Extension 3)</w:t>
      </w:r>
    </w:p>
    <w:p w14:paraId="33C88ACC" w14:textId="77777777" w:rsidR="00FF4354" w:rsidRDefault="00B053EA" w:rsidP="004B558D">
      <w:pPr>
        <w:spacing w:after="120" w:line="360" w:lineRule="auto"/>
        <w:jc w:val="both"/>
      </w:pPr>
      <w:r>
        <w:rPr>
          <w:rFonts w:ascii="Times New Roman" w:hAnsi="Times New Roman"/>
          <w:sz w:val="24"/>
        </w:rPr>
        <w:t>Time-of-Use pricing yields the greatest cost savings for the Q-Learning agent, because the large spread between peak and off-peak prices (0.22 vs 0.08 $/kWh, a 2.75× ratio) creates a clear arbitrage opportunity that the agent can exploit via battery scheduling. Under flat-rate pricing, the agent still achieves some savings by maximising self-consumption of PV generation and avoiding grid purchase. Dynamic pricing presents the most challenging scenario, as the agent cannot anticipate future prices; nevertheless, it learns an effective average-case policy.</w:t>
      </w:r>
    </w:p>
    <w:p w14:paraId="2F818FBF" w14:textId="77777777" w:rsidR="00FF4354" w:rsidRDefault="00B053EA" w:rsidP="00EE2171">
      <w:pPr>
        <w:spacing w:line="360" w:lineRule="auto"/>
        <w:jc w:val="both"/>
      </w:pPr>
      <w:r>
        <w:rPr>
          <w:rFonts w:ascii="Times New Roman" w:hAnsi="Times New Roman"/>
          <w:sz w:val="26"/>
        </w:rPr>
        <w:t>5.5 Convergence Analysis (Extension 4)</w:t>
      </w:r>
    </w:p>
    <w:p w14:paraId="187471D9" w14:textId="77777777" w:rsidR="00FF4354" w:rsidRDefault="00B053EA" w:rsidP="00491267">
      <w:pPr>
        <w:spacing w:after="120" w:line="360" w:lineRule="auto"/>
        <w:jc w:val="both"/>
      </w:pPr>
      <w:r>
        <w:rPr>
          <w:rFonts w:ascii="Times New Roman" w:hAnsi="Times New Roman"/>
          <w:sz w:val="24"/>
        </w:rPr>
        <w:t>Across five independent runs, Q-Learning converges faster than SARSA. The confidence bands show Q-Learning has lower variance across seeds, indicating more stable training. Both algorithms converge well within 3,000 episodes. The final reward distribution (box plots) shows Q-Learning's median is higher (less negative cost) with a tighter interquartile range.</w:t>
      </w:r>
    </w:p>
    <w:p w14:paraId="4640550B" w14:textId="77777777" w:rsidR="00FF4354" w:rsidRDefault="00FF4354"/>
    <w:p w14:paraId="2D0B5E37" w14:textId="77777777" w:rsidR="00FF4354" w:rsidRDefault="00B053EA">
      <w:r>
        <w:rPr>
          <w:rFonts w:ascii="Times New Roman" w:hAnsi="Times New Roman"/>
          <w:sz w:val="26"/>
        </w:rPr>
        <w:t>5.6 Summary of Results</w:t>
      </w:r>
    </w:p>
    <w:tbl>
      <w:tblPr>
        <w:tblStyle w:val="TableGrid"/>
        <w:tblW w:w="0" w:type="auto"/>
        <w:tblLook w:val="04A0" w:firstRow="1" w:lastRow="0" w:firstColumn="1" w:lastColumn="0" w:noHBand="0" w:noVBand="1"/>
      </w:tblPr>
      <w:tblGrid>
        <w:gridCol w:w="2160"/>
        <w:gridCol w:w="2160"/>
        <w:gridCol w:w="2160"/>
        <w:gridCol w:w="2160"/>
      </w:tblGrid>
      <w:tr w:rsidR="00FF4354" w14:paraId="2D7D7D45" w14:textId="77777777">
        <w:tc>
          <w:tcPr>
            <w:tcW w:w="2160" w:type="dxa"/>
          </w:tcPr>
          <w:p w14:paraId="282A27F1" w14:textId="77777777" w:rsidR="00FF4354" w:rsidRDefault="00B053EA">
            <w:r>
              <w:rPr>
                <w:b/>
              </w:rPr>
              <w:t>Experiment</w:t>
            </w:r>
          </w:p>
        </w:tc>
        <w:tc>
          <w:tcPr>
            <w:tcW w:w="2160" w:type="dxa"/>
          </w:tcPr>
          <w:p w14:paraId="744B18B9" w14:textId="77777777" w:rsidR="00FF4354" w:rsidRDefault="00B053EA">
            <w:r>
              <w:rPr>
                <w:b/>
              </w:rPr>
              <w:t>Algorithm</w:t>
            </w:r>
          </w:p>
        </w:tc>
        <w:tc>
          <w:tcPr>
            <w:tcW w:w="2160" w:type="dxa"/>
          </w:tcPr>
          <w:p w14:paraId="000058B0" w14:textId="77777777" w:rsidR="00FF4354" w:rsidRDefault="00B053EA">
            <w:r>
              <w:rPr>
                <w:b/>
              </w:rPr>
              <w:t>Pricing</w:t>
            </w:r>
          </w:p>
        </w:tc>
        <w:tc>
          <w:tcPr>
            <w:tcW w:w="2160" w:type="dxa"/>
          </w:tcPr>
          <w:p w14:paraId="28570592" w14:textId="77777777" w:rsidR="00FF4354" w:rsidRDefault="00B053EA">
            <w:r>
              <w:rPr>
                <w:b/>
              </w:rPr>
              <w:t>Cost Savings vs Baseline</w:t>
            </w:r>
          </w:p>
        </w:tc>
      </w:tr>
      <w:tr w:rsidR="00FF4354" w14:paraId="7EF39C72" w14:textId="77777777">
        <w:tc>
          <w:tcPr>
            <w:tcW w:w="2160" w:type="dxa"/>
          </w:tcPr>
          <w:p w14:paraId="423B8F6A" w14:textId="77777777" w:rsidR="00FF4354" w:rsidRDefault="00B053EA">
            <w:r>
              <w:t>Baseline (no control)</w:t>
            </w:r>
          </w:p>
        </w:tc>
        <w:tc>
          <w:tcPr>
            <w:tcW w:w="2160" w:type="dxa"/>
          </w:tcPr>
          <w:p w14:paraId="01F9BD10" w14:textId="77777777" w:rsidR="00FF4354" w:rsidRDefault="00B053EA">
            <w:r>
              <w:t>—</w:t>
            </w:r>
          </w:p>
        </w:tc>
        <w:tc>
          <w:tcPr>
            <w:tcW w:w="2160" w:type="dxa"/>
          </w:tcPr>
          <w:p w14:paraId="64D6C356" w14:textId="77777777" w:rsidR="00FF4354" w:rsidRDefault="00B053EA">
            <w:r>
              <w:t>ToU</w:t>
            </w:r>
          </w:p>
        </w:tc>
        <w:tc>
          <w:tcPr>
            <w:tcW w:w="2160" w:type="dxa"/>
          </w:tcPr>
          <w:p w14:paraId="1E10A0C0" w14:textId="77777777" w:rsidR="00FF4354" w:rsidRDefault="00B053EA">
            <w:r>
              <w:t>0%</w:t>
            </w:r>
          </w:p>
        </w:tc>
      </w:tr>
      <w:tr w:rsidR="00FF4354" w14:paraId="554CF4E1" w14:textId="77777777">
        <w:tc>
          <w:tcPr>
            <w:tcW w:w="2160" w:type="dxa"/>
          </w:tcPr>
          <w:p w14:paraId="62C5B22E" w14:textId="77777777" w:rsidR="00FF4354" w:rsidRDefault="00B053EA">
            <w:r>
              <w:t>1. Reproduction</w:t>
            </w:r>
          </w:p>
        </w:tc>
        <w:tc>
          <w:tcPr>
            <w:tcW w:w="2160" w:type="dxa"/>
          </w:tcPr>
          <w:p w14:paraId="555176C9" w14:textId="77777777" w:rsidR="00FF4354" w:rsidRDefault="00B053EA">
            <w:r>
              <w:t>Q-Learning</w:t>
            </w:r>
          </w:p>
        </w:tc>
        <w:tc>
          <w:tcPr>
            <w:tcW w:w="2160" w:type="dxa"/>
          </w:tcPr>
          <w:p w14:paraId="3146E253" w14:textId="77777777" w:rsidR="00FF4354" w:rsidRDefault="00B053EA">
            <w:r>
              <w:t>ToU</w:t>
            </w:r>
          </w:p>
        </w:tc>
        <w:tc>
          <w:tcPr>
            <w:tcW w:w="2160" w:type="dxa"/>
          </w:tcPr>
          <w:p w14:paraId="076553D0" w14:textId="77777777" w:rsidR="00FF4354" w:rsidRDefault="00B053EA">
            <w:r>
              <w:t>~18–23%</w:t>
            </w:r>
          </w:p>
        </w:tc>
      </w:tr>
      <w:tr w:rsidR="00FF4354" w14:paraId="476C0AB0" w14:textId="77777777">
        <w:tc>
          <w:tcPr>
            <w:tcW w:w="2160" w:type="dxa"/>
          </w:tcPr>
          <w:p w14:paraId="045B3CED" w14:textId="77777777" w:rsidR="00FF4354" w:rsidRDefault="00B053EA">
            <w:r>
              <w:t>2a. Ext 1 — Q-Learning</w:t>
            </w:r>
          </w:p>
        </w:tc>
        <w:tc>
          <w:tcPr>
            <w:tcW w:w="2160" w:type="dxa"/>
          </w:tcPr>
          <w:p w14:paraId="3B3CF3C4" w14:textId="77777777" w:rsidR="00FF4354" w:rsidRDefault="00B053EA">
            <w:r>
              <w:t>Q-Learning</w:t>
            </w:r>
          </w:p>
        </w:tc>
        <w:tc>
          <w:tcPr>
            <w:tcW w:w="2160" w:type="dxa"/>
          </w:tcPr>
          <w:p w14:paraId="2C606B5D" w14:textId="77777777" w:rsidR="00FF4354" w:rsidRDefault="00B053EA">
            <w:r>
              <w:t>ToU</w:t>
            </w:r>
          </w:p>
        </w:tc>
        <w:tc>
          <w:tcPr>
            <w:tcW w:w="2160" w:type="dxa"/>
          </w:tcPr>
          <w:p w14:paraId="0A039B5E" w14:textId="77777777" w:rsidR="00FF4354" w:rsidRDefault="00B053EA">
            <w:r>
              <w:t>~18–23%</w:t>
            </w:r>
          </w:p>
        </w:tc>
      </w:tr>
      <w:tr w:rsidR="00FF4354" w14:paraId="20F7A489" w14:textId="77777777">
        <w:tc>
          <w:tcPr>
            <w:tcW w:w="2160" w:type="dxa"/>
          </w:tcPr>
          <w:p w14:paraId="16E2DBDB" w14:textId="77777777" w:rsidR="00FF4354" w:rsidRDefault="00B053EA">
            <w:r>
              <w:t>2b. Ext 1 — SARSA</w:t>
            </w:r>
          </w:p>
        </w:tc>
        <w:tc>
          <w:tcPr>
            <w:tcW w:w="2160" w:type="dxa"/>
          </w:tcPr>
          <w:p w14:paraId="181912D7" w14:textId="77777777" w:rsidR="00FF4354" w:rsidRDefault="00B053EA">
            <w:r>
              <w:t>SARSA</w:t>
            </w:r>
          </w:p>
        </w:tc>
        <w:tc>
          <w:tcPr>
            <w:tcW w:w="2160" w:type="dxa"/>
          </w:tcPr>
          <w:p w14:paraId="14F47103" w14:textId="77777777" w:rsidR="00FF4354" w:rsidRDefault="00B053EA">
            <w:r>
              <w:t>ToU</w:t>
            </w:r>
          </w:p>
        </w:tc>
        <w:tc>
          <w:tcPr>
            <w:tcW w:w="2160" w:type="dxa"/>
          </w:tcPr>
          <w:p w14:paraId="00A04EB2" w14:textId="77777777" w:rsidR="00FF4354" w:rsidRDefault="00B053EA">
            <w:r>
              <w:t>~15–20%</w:t>
            </w:r>
          </w:p>
        </w:tc>
      </w:tr>
      <w:tr w:rsidR="00FF4354" w14:paraId="4A297B80" w14:textId="77777777">
        <w:tc>
          <w:tcPr>
            <w:tcW w:w="2160" w:type="dxa"/>
          </w:tcPr>
          <w:p w14:paraId="576FD324" w14:textId="77777777" w:rsidR="00FF4354" w:rsidRDefault="00B053EA">
            <w:r>
              <w:t>3. Ext 2 — Best Hyperparams</w:t>
            </w:r>
          </w:p>
        </w:tc>
        <w:tc>
          <w:tcPr>
            <w:tcW w:w="2160" w:type="dxa"/>
          </w:tcPr>
          <w:p w14:paraId="7803FA55" w14:textId="77777777" w:rsidR="00FF4354" w:rsidRDefault="00B053EA">
            <w:r>
              <w:t>Q-Learning</w:t>
            </w:r>
          </w:p>
        </w:tc>
        <w:tc>
          <w:tcPr>
            <w:tcW w:w="2160" w:type="dxa"/>
          </w:tcPr>
          <w:p w14:paraId="4BA786C4" w14:textId="77777777" w:rsidR="00FF4354" w:rsidRDefault="00B053EA">
            <w:r>
              <w:t>ToU</w:t>
            </w:r>
          </w:p>
        </w:tc>
        <w:tc>
          <w:tcPr>
            <w:tcW w:w="2160" w:type="dxa"/>
          </w:tcPr>
          <w:p w14:paraId="74E9D8A7" w14:textId="77777777" w:rsidR="00FF4354" w:rsidRDefault="00B053EA">
            <w:r>
              <w:t>Best of sweep</w:t>
            </w:r>
          </w:p>
        </w:tc>
      </w:tr>
      <w:tr w:rsidR="00FF4354" w14:paraId="2CCC1968" w14:textId="77777777">
        <w:tc>
          <w:tcPr>
            <w:tcW w:w="2160" w:type="dxa"/>
          </w:tcPr>
          <w:p w14:paraId="3473A8A7" w14:textId="77777777" w:rsidR="00FF4354" w:rsidRDefault="00B053EA">
            <w:r>
              <w:t>4a. Ext 3 — Flat Rate</w:t>
            </w:r>
          </w:p>
        </w:tc>
        <w:tc>
          <w:tcPr>
            <w:tcW w:w="2160" w:type="dxa"/>
          </w:tcPr>
          <w:p w14:paraId="5419EFA0" w14:textId="77777777" w:rsidR="00FF4354" w:rsidRDefault="00B053EA">
            <w:r>
              <w:t>Q-Learning</w:t>
            </w:r>
          </w:p>
        </w:tc>
        <w:tc>
          <w:tcPr>
            <w:tcW w:w="2160" w:type="dxa"/>
          </w:tcPr>
          <w:p w14:paraId="020AA89E" w14:textId="77777777" w:rsidR="00FF4354" w:rsidRDefault="00B053EA">
            <w:r>
              <w:t>Flat</w:t>
            </w:r>
          </w:p>
        </w:tc>
        <w:tc>
          <w:tcPr>
            <w:tcW w:w="2160" w:type="dxa"/>
          </w:tcPr>
          <w:p w14:paraId="6DF3608E" w14:textId="77777777" w:rsidR="00FF4354" w:rsidRDefault="00B053EA">
            <w:r>
              <w:t>Moderate</w:t>
            </w:r>
          </w:p>
        </w:tc>
      </w:tr>
      <w:tr w:rsidR="00FF4354" w14:paraId="3F113B42" w14:textId="77777777">
        <w:tc>
          <w:tcPr>
            <w:tcW w:w="2160" w:type="dxa"/>
          </w:tcPr>
          <w:p w14:paraId="2CF771E4" w14:textId="77777777" w:rsidR="00FF4354" w:rsidRDefault="00B053EA">
            <w:r>
              <w:t>4b. Ext 3 — Time-of-</w:t>
            </w:r>
            <w:r>
              <w:lastRenderedPageBreak/>
              <w:t>Use</w:t>
            </w:r>
          </w:p>
        </w:tc>
        <w:tc>
          <w:tcPr>
            <w:tcW w:w="2160" w:type="dxa"/>
          </w:tcPr>
          <w:p w14:paraId="2BD8F9C4" w14:textId="77777777" w:rsidR="00FF4354" w:rsidRDefault="00B053EA">
            <w:r>
              <w:lastRenderedPageBreak/>
              <w:t>Q-Learning</w:t>
            </w:r>
          </w:p>
        </w:tc>
        <w:tc>
          <w:tcPr>
            <w:tcW w:w="2160" w:type="dxa"/>
          </w:tcPr>
          <w:p w14:paraId="3DF2A80C" w14:textId="77777777" w:rsidR="00FF4354" w:rsidRDefault="00B053EA">
            <w:r>
              <w:t>ToU</w:t>
            </w:r>
          </w:p>
        </w:tc>
        <w:tc>
          <w:tcPr>
            <w:tcW w:w="2160" w:type="dxa"/>
          </w:tcPr>
          <w:p w14:paraId="2125B804" w14:textId="77777777" w:rsidR="00FF4354" w:rsidRDefault="00B053EA">
            <w:r>
              <w:t>Highest</w:t>
            </w:r>
          </w:p>
        </w:tc>
      </w:tr>
      <w:tr w:rsidR="00FF4354" w14:paraId="2627CF76" w14:textId="77777777">
        <w:tc>
          <w:tcPr>
            <w:tcW w:w="2160" w:type="dxa"/>
          </w:tcPr>
          <w:p w14:paraId="131B2999" w14:textId="77777777" w:rsidR="00FF4354" w:rsidRDefault="00B053EA">
            <w:r>
              <w:t>4c. Ext 3 — Dynamic</w:t>
            </w:r>
          </w:p>
        </w:tc>
        <w:tc>
          <w:tcPr>
            <w:tcW w:w="2160" w:type="dxa"/>
          </w:tcPr>
          <w:p w14:paraId="14178529" w14:textId="77777777" w:rsidR="00FF4354" w:rsidRDefault="00B053EA">
            <w:r>
              <w:t>Q-Learning</w:t>
            </w:r>
          </w:p>
        </w:tc>
        <w:tc>
          <w:tcPr>
            <w:tcW w:w="2160" w:type="dxa"/>
          </w:tcPr>
          <w:p w14:paraId="655C40AC" w14:textId="77777777" w:rsidR="00FF4354" w:rsidRDefault="00B053EA">
            <w:r>
              <w:t>Dynamic</w:t>
            </w:r>
          </w:p>
        </w:tc>
        <w:tc>
          <w:tcPr>
            <w:tcW w:w="2160" w:type="dxa"/>
          </w:tcPr>
          <w:p w14:paraId="1F29EAF7" w14:textId="77777777" w:rsidR="00FF4354" w:rsidRDefault="00B053EA">
            <w:r>
              <w:t>Moderate</w:t>
            </w:r>
          </w:p>
        </w:tc>
      </w:tr>
      <w:tr w:rsidR="00FF4354" w14:paraId="31CEF649" w14:textId="77777777">
        <w:tc>
          <w:tcPr>
            <w:tcW w:w="2160" w:type="dxa"/>
          </w:tcPr>
          <w:p w14:paraId="604EB184" w14:textId="77777777" w:rsidR="00FF4354" w:rsidRDefault="00B053EA">
            <w:r>
              <w:t>5. Ext 4 — Convergence</w:t>
            </w:r>
          </w:p>
        </w:tc>
        <w:tc>
          <w:tcPr>
            <w:tcW w:w="2160" w:type="dxa"/>
          </w:tcPr>
          <w:p w14:paraId="45FCF204" w14:textId="77777777" w:rsidR="00FF4354" w:rsidRDefault="00B053EA">
            <w:r>
              <w:t>QL vs SARSA</w:t>
            </w:r>
          </w:p>
        </w:tc>
        <w:tc>
          <w:tcPr>
            <w:tcW w:w="2160" w:type="dxa"/>
          </w:tcPr>
          <w:p w14:paraId="13DD4DDC" w14:textId="77777777" w:rsidR="00FF4354" w:rsidRDefault="00B053EA">
            <w:r>
              <w:t>ToU</w:t>
            </w:r>
          </w:p>
        </w:tc>
        <w:tc>
          <w:tcPr>
            <w:tcW w:w="2160" w:type="dxa"/>
          </w:tcPr>
          <w:p w14:paraId="2C00B290" w14:textId="77777777" w:rsidR="00FF4354" w:rsidRDefault="00B053EA">
            <w:r>
              <w:t>QL faster &amp; more stable</w:t>
            </w:r>
          </w:p>
        </w:tc>
      </w:tr>
    </w:tbl>
    <w:p w14:paraId="6BCB1C4B" w14:textId="77777777" w:rsidR="00FF4354" w:rsidRDefault="00FF4354"/>
    <w:p w14:paraId="6A0957EA" w14:textId="77777777" w:rsidR="00FF4354" w:rsidRDefault="00B053EA" w:rsidP="002D2836">
      <w:pPr>
        <w:spacing w:after="120"/>
        <w:jc w:val="center"/>
      </w:pPr>
      <w:r>
        <w:rPr>
          <w:rFonts w:ascii="Times New Roman" w:hAnsi="Times New Roman"/>
          <w:sz w:val="24"/>
        </w:rPr>
        <w:t>Table 2: Summary of experimental results across all five extensions.</w:t>
      </w:r>
    </w:p>
    <w:p w14:paraId="037E90CA" w14:textId="77777777" w:rsidR="00FF4354" w:rsidRDefault="00FF4354"/>
    <w:p w14:paraId="298554A0" w14:textId="77777777" w:rsidR="00FF4354" w:rsidRDefault="00B053EA">
      <w:r>
        <w:rPr>
          <w:rFonts w:ascii="Times New Roman" w:hAnsi="Times New Roman"/>
          <w:b/>
          <w:sz w:val="28"/>
        </w:rPr>
        <w:t>6. Conclusion</w:t>
      </w:r>
    </w:p>
    <w:p w14:paraId="7B0C3D49" w14:textId="77777777" w:rsidR="00FF4354" w:rsidRDefault="00B053EA" w:rsidP="00D65F5F">
      <w:pPr>
        <w:spacing w:after="120" w:line="360" w:lineRule="auto"/>
        <w:jc w:val="both"/>
      </w:pPr>
      <w:r>
        <w:rPr>
          <w:rFonts w:ascii="Times New Roman" w:hAnsi="Times New Roman"/>
          <w:sz w:val="24"/>
        </w:rPr>
        <w:t>This paper reproduced and systematically extended the Q-Learning-based HEMS controller from Razghandi et al. (2021). Five extensions were implemented: (1) baseline reproduction validating Q-Learning's effectiveness for HEMS; (2) algorithm comparison confirming Q-Learning outperforms SARSA in this setting; (3) hyperparameter analysis identifying α = 0.1, γ = 0.99 as near-optimal; (4) pricing scheme evaluation showing ToU pricing yields greatest savings; and (5) convergence analysis confirming stable training across multiple seeds.</w:t>
      </w:r>
    </w:p>
    <w:p w14:paraId="1F981E72" w14:textId="77777777" w:rsidR="00FF4354" w:rsidRDefault="00B053EA" w:rsidP="00480C4F">
      <w:pPr>
        <w:spacing w:after="120" w:line="360" w:lineRule="auto"/>
        <w:jc w:val="both"/>
      </w:pPr>
      <w:r>
        <w:rPr>
          <w:rFonts w:ascii="Times New Roman" w:hAnsi="Times New Roman"/>
          <w:sz w:val="24"/>
        </w:rPr>
        <w:t>Future work could extend this to Deep Q-Networks (DQN) for handling continuous state spaces, incorporate real-world load and price datasets, and investigate multi-agent settings for community-level energy management.</w:t>
      </w:r>
    </w:p>
    <w:p w14:paraId="29D4B7E2" w14:textId="77777777" w:rsidR="00FF4354" w:rsidRDefault="00FF4354"/>
    <w:p w14:paraId="609F22FB" w14:textId="77777777" w:rsidR="00FF4354" w:rsidRDefault="00B053EA">
      <w:r>
        <w:rPr>
          <w:rFonts w:ascii="Times New Roman" w:hAnsi="Times New Roman"/>
          <w:b/>
          <w:sz w:val="28"/>
        </w:rPr>
        <w:t>References</w:t>
      </w:r>
    </w:p>
    <w:p w14:paraId="540DD4C5" w14:textId="77777777" w:rsidR="00FF4354" w:rsidRDefault="00B053EA" w:rsidP="00DC65C3">
      <w:pPr>
        <w:spacing w:after="80" w:line="360" w:lineRule="auto"/>
        <w:ind w:left="432" w:hanging="432"/>
        <w:jc w:val="both"/>
      </w:pPr>
      <w:r>
        <w:rPr>
          <w:rFonts w:ascii="Times New Roman" w:hAnsi="Times New Roman"/>
        </w:rPr>
        <w:t>[1] Razghandi, M., Zhou, H., Erol-Kantarci, M., &amp; Turgut, D. (2021). Smart Home Energy Management: Sequence-to-Sequence Load Forecasting and Q-Learning. 2021 IEEE Global Communications Conference (GLOBECOM). arXiv:2109.12440.</w:t>
      </w:r>
    </w:p>
    <w:p w14:paraId="31A85E63" w14:textId="77777777" w:rsidR="00FF4354" w:rsidRDefault="00B053EA" w:rsidP="00DC65C3">
      <w:pPr>
        <w:spacing w:after="80" w:line="360" w:lineRule="auto"/>
        <w:ind w:left="432" w:hanging="432"/>
        <w:jc w:val="both"/>
      </w:pPr>
      <w:r>
        <w:rPr>
          <w:rFonts w:ascii="Times New Roman" w:hAnsi="Times New Roman"/>
        </w:rPr>
        <w:t>[2] Watkins, C. J. C. H., &amp; Dayan, P. (1992). Q-learning. Machine Learning, 8(3–4), 279–292.</w:t>
      </w:r>
    </w:p>
    <w:p w14:paraId="2339C71F" w14:textId="77777777" w:rsidR="00FF4354" w:rsidRDefault="00B053EA" w:rsidP="00DC65C3">
      <w:pPr>
        <w:spacing w:after="80" w:line="360" w:lineRule="auto"/>
        <w:ind w:left="432" w:hanging="432"/>
        <w:jc w:val="both"/>
      </w:pPr>
      <w:r>
        <w:rPr>
          <w:rFonts w:ascii="Times New Roman" w:hAnsi="Times New Roman"/>
        </w:rPr>
        <w:t>[3] Sutton, R. S., &amp; Barto, A. G. (2018). Reinforcement Learning: An Introduction (2nd ed.). MIT Press.</w:t>
      </w:r>
    </w:p>
    <w:p w14:paraId="7A98AADA" w14:textId="77777777" w:rsidR="00FF4354" w:rsidRDefault="00B053EA" w:rsidP="00DC65C3">
      <w:pPr>
        <w:spacing w:after="80" w:line="360" w:lineRule="auto"/>
        <w:ind w:left="432" w:hanging="432"/>
        <w:jc w:val="both"/>
      </w:pPr>
      <w:r>
        <w:rPr>
          <w:rFonts w:ascii="Times New Roman" w:hAnsi="Times New Roman"/>
        </w:rPr>
        <w:t>[4] Rummery, G. A., &amp; Niranjan, M. (1994). On-line Q-learning using connectionist systems. Cambridge University Engineering Department, TR CUED/F-INFENG/TR 166.</w:t>
      </w:r>
    </w:p>
    <w:p w14:paraId="4DDF6F0C" w14:textId="77777777" w:rsidR="00FF4354" w:rsidRDefault="00B053EA" w:rsidP="00DC65C3">
      <w:pPr>
        <w:spacing w:after="80" w:line="360" w:lineRule="auto"/>
        <w:ind w:left="432" w:hanging="432"/>
        <w:jc w:val="both"/>
      </w:pPr>
      <w:r>
        <w:rPr>
          <w:rFonts w:ascii="Times New Roman" w:hAnsi="Times New Roman"/>
        </w:rPr>
        <w:t>[5] Zhou, B. et al. (2016). Smart home energy management systems: Concept, configurations, and scheduling strategies. Renewable and Sustainable Energy Reviews, 61, 30–40.</w:t>
      </w:r>
    </w:p>
    <w:sectPr w:rsidR="00FF4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351468">
    <w:abstractNumId w:val="8"/>
  </w:num>
  <w:num w:numId="2" w16cid:durableId="1638145243">
    <w:abstractNumId w:val="6"/>
  </w:num>
  <w:num w:numId="3" w16cid:durableId="727804393">
    <w:abstractNumId w:val="5"/>
  </w:num>
  <w:num w:numId="4" w16cid:durableId="1017577738">
    <w:abstractNumId w:val="4"/>
  </w:num>
  <w:num w:numId="5" w16cid:durableId="1266187829">
    <w:abstractNumId w:val="7"/>
  </w:num>
  <w:num w:numId="6" w16cid:durableId="1045301569">
    <w:abstractNumId w:val="3"/>
  </w:num>
  <w:num w:numId="7" w16cid:durableId="1416127699">
    <w:abstractNumId w:val="2"/>
  </w:num>
  <w:num w:numId="8" w16cid:durableId="1624772714">
    <w:abstractNumId w:val="1"/>
  </w:num>
  <w:num w:numId="9" w16cid:durableId="8153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9E"/>
    <w:rsid w:val="001B14B0"/>
    <w:rsid w:val="0029639D"/>
    <w:rsid w:val="002D2836"/>
    <w:rsid w:val="002F12E9"/>
    <w:rsid w:val="00326F90"/>
    <w:rsid w:val="00480C4F"/>
    <w:rsid w:val="00491267"/>
    <w:rsid w:val="004B3A1A"/>
    <w:rsid w:val="004B558D"/>
    <w:rsid w:val="004E4161"/>
    <w:rsid w:val="00563399"/>
    <w:rsid w:val="00570C33"/>
    <w:rsid w:val="005922CC"/>
    <w:rsid w:val="005A0244"/>
    <w:rsid w:val="005C5AFF"/>
    <w:rsid w:val="005D03F9"/>
    <w:rsid w:val="005F55B4"/>
    <w:rsid w:val="00603578"/>
    <w:rsid w:val="006253C9"/>
    <w:rsid w:val="0066192E"/>
    <w:rsid w:val="0089296B"/>
    <w:rsid w:val="008A0DCF"/>
    <w:rsid w:val="009527E8"/>
    <w:rsid w:val="00A12BE7"/>
    <w:rsid w:val="00A674A3"/>
    <w:rsid w:val="00AA1D8D"/>
    <w:rsid w:val="00AB48C2"/>
    <w:rsid w:val="00AC3919"/>
    <w:rsid w:val="00B053EA"/>
    <w:rsid w:val="00B47730"/>
    <w:rsid w:val="00C82DFD"/>
    <w:rsid w:val="00C91BFE"/>
    <w:rsid w:val="00CA2630"/>
    <w:rsid w:val="00CA7777"/>
    <w:rsid w:val="00CB0664"/>
    <w:rsid w:val="00CB143C"/>
    <w:rsid w:val="00D205A5"/>
    <w:rsid w:val="00D65F5F"/>
    <w:rsid w:val="00D71403"/>
    <w:rsid w:val="00DC65C3"/>
    <w:rsid w:val="00E64EF4"/>
    <w:rsid w:val="00E83535"/>
    <w:rsid w:val="00E91CA2"/>
    <w:rsid w:val="00EE2171"/>
    <w:rsid w:val="00F17A1B"/>
    <w:rsid w:val="00F63B3F"/>
    <w:rsid w:val="00FC693F"/>
    <w:rsid w:val="00FF4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ADD60A-E651-47E3-98A1-C01E0D1F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Prashanth Srinivas</cp:lastModifiedBy>
  <cp:revision>41</cp:revision>
  <dcterms:created xsi:type="dcterms:W3CDTF">2013-12-23T23:15:00Z</dcterms:created>
  <dcterms:modified xsi:type="dcterms:W3CDTF">2026-09-09T12:48:00Z</dcterms:modified>
  <cp:category/>
</cp:coreProperties>
</file>