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India HR Policy Manual -- Chapter 4 (format-parser sample)</w:t>
      </w:r>
    </w:p>
    <w:p>
      <w:pPr>
        <w:pStyle w:val="Heading2"/>
      </w:pPr>
      <w:r>
        <w:t>4.1 Notice period -- Grade M1 and above</w:t>
      </w:r>
    </w:p>
    <w:p>
      <w:r>
        <w:t>An employee in Grade M1 or above who wishes to resign shall give the Company forty-five (45) days' written notice, or payment of basic salary in lieu of the unexpired portion of that notice. The Company shall give the same period of notice where it terminates the engagement of such an employee otherwise than for misconduct.</w:t>
      </w:r>
    </w:p>
    <w:p>
      <w:pPr>
        <w:pStyle w:val="Heading2"/>
      </w:pPr>
      <w:r>
        <w:t>4.2 Notice period -- Grade A1 to A3</w:t>
      </w:r>
    </w:p>
    <w:p>
      <w:r>
        <w:t>An employee in Grade A1 to A3 who wishes to resign shall give the Company fifteen (15) days' written notice, or payment of basic salary in lieu of the unexpired portion of that notice. The same period shall apply where the Company terminates the engagement of such an employee otherwise than for misconduct.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