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MRM FTP Replacement</w:t>
      </w:r>
    </w:p>
    <w:p>
      <w:pPr>
        <w:jc w:val="center"/>
      </w:pPr>
      <w:r>
        <w:rPr>
          <w:b/>
          <w:color w:val="2F5597"/>
          <w:sz w:val="32"/>
        </w:rPr>
        <w:t>Current-State Requirements Discovery</w:t>
        <w:br/>
        <w:t>Facilitation Script</w:t>
      </w:r>
    </w:p>
    <w:p>
      <w:pPr>
        <w:jc w:val="center"/>
      </w:pPr>
      <w:r>
        <w:rPr>
          <w:i/>
          <w:color w:val="666666"/>
        </w:rPr>
        <w:t>First stakeholder session | 30-minute call guide</w:t>
      </w:r>
    </w:p>
    <w:tbl>
      <w:tblPr>
        <w:tblW w:type="auto" w:w="0"/>
        <w:tblLook w:firstColumn="1" w:firstRow="1" w:lastColumn="0" w:lastRow="0" w:noHBand="0" w:noVBand="1" w:val="04A0"/>
      </w:tblPr>
      <w:tblGrid>
        <w:gridCol w:w="10166"/>
      </w:tblGrid>
      <w:tr>
        <w:tc>
          <w:tcPr>
            <w:tcW w:type="dxa" w:w="10166"/>
            <w:shd w:fill="E2F0D9"/>
            <w:tcMar>
              <w:top w:w="170" w:type="dxa"/>
              <w:start w:w="180" w:type="dxa"/>
              <w:bottom w:w="170" w:type="dxa"/>
              <w:end w:w="180" w:type="dxa"/>
            </w:tcMar>
          </w:tcPr>
          <w:p>
            <w:r>
              <w:rPr>
                <w:b/>
              </w:rPr>
              <w:t>Purpose</w:t>
              <w:br/>
            </w:r>
            <w:r>
              <w:t>Present the current understanding, validate the complete AS-IS process, capture gaps and controls, and agree on focused follow-up sessions required for the Current-State Diagram and BRD.</w:t>
            </w:r>
          </w:p>
        </w:tc>
      </w:tr>
    </w:tbl>
    <w:p>
      <w:pPr>
        <w:pStyle w:val="Heading1"/>
      </w:pPr>
      <w:r>
        <w:t>At-a-Glance Call Flow</w:t>
      </w:r>
    </w:p>
    <w:tbl>
      <w:tblPr>
        <w:tblStyle w:val="TableGrid"/>
        <w:tblW w:type="auto" w:w="0"/>
        <w:jc w:val="center"/>
        <w:tblLayout w:type="fixed"/>
        <w:tblLook w:firstColumn="1" w:firstRow="1" w:lastColumn="0" w:lastRow="0" w:noHBand="0" w:noVBand="1" w:val="04A0"/>
      </w:tblPr>
      <w:tblGrid>
        <w:gridCol w:w="1512"/>
        <w:gridCol w:w="3456"/>
        <w:gridCol w:w="4752"/>
      </w:tblGrid>
      <w:tr>
        <w:tc>
          <w:tcPr>
            <w:tcW w:type="dxa" w:w="3389"/>
            <w:shd w:fill="17365D"/>
            <w:tcMar>
              <w:top w:w="100" w:type="dxa"/>
              <w:start w:w="120" w:type="dxa"/>
              <w:bottom w:w="100" w:type="dxa"/>
              <w:end w:w="120" w:type="dxa"/>
            </w:tcMar>
          </w:tcPr>
          <w:p>
            <w:r>
              <w:rPr>
                <w:b/>
                <w:color w:val="FFFFFF"/>
              </w:rPr>
              <w:t>Time</w:t>
            </w:r>
          </w:p>
        </w:tc>
        <w:tc>
          <w:tcPr>
            <w:tcW w:type="dxa" w:w="3389"/>
            <w:shd w:fill="17365D"/>
            <w:tcMar>
              <w:top w:w="100" w:type="dxa"/>
              <w:start w:w="120" w:type="dxa"/>
              <w:bottom w:w="100" w:type="dxa"/>
              <w:end w:w="120" w:type="dxa"/>
            </w:tcMar>
          </w:tcPr>
          <w:p>
            <w:r>
              <w:rPr>
                <w:b/>
                <w:color w:val="FFFFFF"/>
              </w:rPr>
              <w:t>Section</w:t>
            </w:r>
          </w:p>
        </w:tc>
        <w:tc>
          <w:tcPr>
            <w:tcW w:type="dxa" w:w="3389"/>
            <w:shd w:fill="17365D"/>
            <w:tcMar>
              <w:top w:w="100" w:type="dxa"/>
              <w:start w:w="120" w:type="dxa"/>
              <w:bottom w:w="100" w:type="dxa"/>
              <w:end w:w="120" w:type="dxa"/>
            </w:tcMar>
          </w:tcPr>
          <w:p>
            <w:r>
              <w:rPr>
                <w:b/>
                <w:color w:val="FFFFFF"/>
              </w:rPr>
              <w:t>Purpose</w:t>
            </w:r>
          </w:p>
        </w:tc>
      </w:tr>
      <w:tr>
        <w:tc>
          <w:tcPr>
            <w:tcW w:type="dxa" w:w="1512"/>
            <w:tcMar>
              <w:top w:w="100" w:type="dxa"/>
              <w:start w:w="120" w:type="dxa"/>
              <w:bottom w:w="100" w:type="dxa"/>
              <w:end w:w="120" w:type="dxa"/>
            </w:tcMar>
            <w:vAlign w:val="center"/>
          </w:tcPr>
          <w:p>
            <w:r>
              <w:t>0:00–0:03</w:t>
            </w:r>
          </w:p>
        </w:tc>
        <w:tc>
          <w:tcPr>
            <w:tcW w:type="dxa" w:w="3456"/>
            <w:tcMar>
              <w:top w:w="100" w:type="dxa"/>
              <w:start w:w="120" w:type="dxa"/>
              <w:bottom w:w="100" w:type="dxa"/>
              <w:end w:w="120" w:type="dxa"/>
            </w:tcMar>
            <w:vAlign w:val="center"/>
          </w:tcPr>
          <w:p>
            <w:r>
              <w:t>Welcome, introductions, recording</w:t>
            </w:r>
          </w:p>
        </w:tc>
        <w:tc>
          <w:tcPr>
            <w:tcW w:type="dxa" w:w="4752"/>
            <w:tcMar>
              <w:top w:w="100" w:type="dxa"/>
              <w:start w:w="120" w:type="dxa"/>
              <w:bottom w:w="100" w:type="dxa"/>
              <w:end w:w="120" w:type="dxa"/>
            </w:tcMar>
            <w:vAlign w:val="center"/>
          </w:tcPr>
          <w:p>
            <w:r>
              <w:t>Establish context and permission to record</w:t>
            </w:r>
          </w:p>
        </w:tc>
      </w:tr>
      <w:tr>
        <w:tc>
          <w:tcPr>
            <w:tcW w:type="dxa" w:w="1512"/>
            <w:tcMar>
              <w:top w:w="100" w:type="dxa"/>
              <w:start w:w="120" w:type="dxa"/>
              <w:bottom w:w="100" w:type="dxa"/>
              <w:end w:w="120" w:type="dxa"/>
            </w:tcMar>
            <w:vAlign w:val="center"/>
          </w:tcPr>
          <w:p>
            <w:r>
              <w:t>0:03–0:05</w:t>
            </w:r>
          </w:p>
        </w:tc>
        <w:tc>
          <w:tcPr>
            <w:tcW w:type="dxa" w:w="3456"/>
            <w:tcMar>
              <w:top w:w="100" w:type="dxa"/>
              <w:start w:w="120" w:type="dxa"/>
              <w:bottom w:w="100" w:type="dxa"/>
              <w:end w:w="120" w:type="dxa"/>
            </w:tcMar>
            <w:vAlign w:val="center"/>
          </w:tcPr>
          <w:p>
            <w:r>
              <w:t>Objectives and expected outputs</w:t>
            </w:r>
          </w:p>
        </w:tc>
        <w:tc>
          <w:tcPr>
            <w:tcW w:type="dxa" w:w="4752"/>
            <w:tcMar>
              <w:top w:w="100" w:type="dxa"/>
              <w:start w:w="120" w:type="dxa"/>
              <w:bottom w:w="100" w:type="dxa"/>
              <w:end w:w="120" w:type="dxa"/>
            </w:tcMar>
            <w:vAlign w:val="center"/>
          </w:tcPr>
          <w:p>
            <w:r>
              <w:t>Explain what the session must accomplish</w:t>
            </w:r>
          </w:p>
        </w:tc>
      </w:tr>
      <w:tr>
        <w:tc>
          <w:tcPr>
            <w:tcW w:type="dxa" w:w="1512"/>
            <w:tcMar>
              <w:top w:w="100" w:type="dxa"/>
              <w:start w:w="120" w:type="dxa"/>
              <w:bottom w:w="100" w:type="dxa"/>
              <w:end w:w="120" w:type="dxa"/>
            </w:tcMar>
            <w:vAlign w:val="center"/>
          </w:tcPr>
          <w:p>
            <w:r>
              <w:t>0:05–0:12</w:t>
            </w:r>
          </w:p>
        </w:tc>
        <w:tc>
          <w:tcPr>
            <w:tcW w:type="dxa" w:w="3456"/>
            <w:tcMar>
              <w:top w:w="100" w:type="dxa"/>
              <w:start w:w="120" w:type="dxa"/>
              <w:bottom w:w="100" w:type="dxa"/>
              <w:end w:w="120" w:type="dxa"/>
            </w:tcMar>
            <w:vAlign w:val="center"/>
          </w:tcPr>
          <w:p>
            <w:r>
              <w:t>Present current understanding</w:t>
            </w:r>
          </w:p>
        </w:tc>
        <w:tc>
          <w:tcPr>
            <w:tcW w:type="dxa" w:w="4752"/>
            <w:tcMar>
              <w:top w:w="100" w:type="dxa"/>
              <w:start w:w="120" w:type="dxa"/>
              <w:bottom w:w="100" w:type="dxa"/>
              <w:end w:w="120" w:type="dxa"/>
            </w:tcMar>
            <w:vAlign w:val="center"/>
          </w:tcPr>
          <w:p>
            <w:r>
              <w:t>Demonstrate preparation and validate the baseline</w:t>
            </w:r>
          </w:p>
        </w:tc>
      </w:tr>
      <w:tr>
        <w:tc>
          <w:tcPr>
            <w:tcW w:type="dxa" w:w="1512"/>
            <w:tcMar>
              <w:top w:w="100" w:type="dxa"/>
              <w:start w:w="120" w:type="dxa"/>
              <w:bottom w:w="100" w:type="dxa"/>
              <w:end w:w="120" w:type="dxa"/>
            </w:tcMar>
            <w:vAlign w:val="center"/>
          </w:tcPr>
          <w:p>
            <w:r>
              <w:t>0:12–0:24</w:t>
            </w:r>
          </w:p>
        </w:tc>
        <w:tc>
          <w:tcPr>
            <w:tcW w:type="dxa" w:w="3456"/>
            <w:tcMar>
              <w:top w:w="100" w:type="dxa"/>
              <w:start w:w="120" w:type="dxa"/>
              <w:bottom w:w="100" w:type="dxa"/>
              <w:end w:w="120" w:type="dxa"/>
            </w:tcMar>
            <w:vAlign w:val="center"/>
          </w:tcPr>
          <w:p>
            <w:r>
              <w:t>Stakeholder-led walkthrough</w:t>
            </w:r>
          </w:p>
        </w:tc>
        <w:tc>
          <w:tcPr>
            <w:tcW w:type="dxa" w:w="4752"/>
            <w:tcMar>
              <w:top w:w="100" w:type="dxa"/>
              <w:start w:w="120" w:type="dxa"/>
              <w:bottom w:w="100" w:type="dxa"/>
              <w:end w:w="120" w:type="dxa"/>
            </w:tcMar>
            <w:vAlign w:val="center"/>
          </w:tcPr>
          <w:p>
            <w:r>
              <w:t>Confirm process, roles, systems, rules, and gaps</w:t>
            </w:r>
          </w:p>
        </w:tc>
      </w:tr>
      <w:tr>
        <w:tc>
          <w:tcPr>
            <w:tcW w:type="dxa" w:w="1512"/>
            <w:tcMar>
              <w:top w:w="100" w:type="dxa"/>
              <w:start w:w="120" w:type="dxa"/>
              <w:bottom w:w="100" w:type="dxa"/>
              <w:end w:w="120" w:type="dxa"/>
            </w:tcMar>
            <w:vAlign w:val="center"/>
          </w:tcPr>
          <w:p>
            <w:r>
              <w:t>0:24–0:28</w:t>
            </w:r>
          </w:p>
        </w:tc>
        <w:tc>
          <w:tcPr>
            <w:tcW w:type="dxa" w:w="3456"/>
            <w:tcMar>
              <w:top w:w="100" w:type="dxa"/>
              <w:start w:w="120" w:type="dxa"/>
              <w:bottom w:w="100" w:type="dxa"/>
              <w:end w:w="120" w:type="dxa"/>
            </w:tcMar>
            <w:vAlign w:val="center"/>
          </w:tcPr>
          <w:p>
            <w:r>
              <w:t>Pain points and follow-up needs</w:t>
            </w:r>
          </w:p>
        </w:tc>
        <w:tc>
          <w:tcPr>
            <w:tcW w:type="dxa" w:w="4752"/>
            <w:tcMar>
              <w:top w:w="100" w:type="dxa"/>
              <w:start w:w="120" w:type="dxa"/>
              <w:bottom w:w="100" w:type="dxa"/>
              <w:end w:w="120" w:type="dxa"/>
            </w:tcMar>
            <w:vAlign w:val="center"/>
          </w:tcPr>
          <w:p>
            <w:r>
              <w:t>Identify BRD requirements and next-session scope</w:t>
            </w:r>
          </w:p>
        </w:tc>
      </w:tr>
      <w:tr>
        <w:tc>
          <w:tcPr>
            <w:tcW w:type="dxa" w:w="1512"/>
            <w:tcMar>
              <w:top w:w="100" w:type="dxa"/>
              <w:start w:w="120" w:type="dxa"/>
              <w:bottom w:w="100" w:type="dxa"/>
              <w:end w:w="120" w:type="dxa"/>
            </w:tcMar>
            <w:vAlign w:val="center"/>
          </w:tcPr>
          <w:p>
            <w:r>
              <w:t>0:28–0:30</w:t>
            </w:r>
          </w:p>
        </w:tc>
        <w:tc>
          <w:tcPr>
            <w:tcW w:type="dxa" w:w="3456"/>
            <w:tcMar>
              <w:top w:w="100" w:type="dxa"/>
              <w:start w:w="120" w:type="dxa"/>
              <w:bottom w:w="100" w:type="dxa"/>
              <w:end w:w="120" w:type="dxa"/>
            </w:tcMar>
            <w:vAlign w:val="center"/>
          </w:tcPr>
          <w:p>
            <w:r>
              <w:t>Recap and next steps</w:t>
            </w:r>
          </w:p>
        </w:tc>
        <w:tc>
          <w:tcPr>
            <w:tcW w:type="dxa" w:w="4752"/>
            <w:tcMar>
              <w:top w:w="100" w:type="dxa"/>
              <w:start w:w="120" w:type="dxa"/>
              <w:bottom w:w="100" w:type="dxa"/>
              <w:end w:w="120" w:type="dxa"/>
            </w:tcMar>
            <w:vAlign w:val="center"/>
          </w:tcPr>
          <w:p>
            <w:r>
              <w:t>Confirm actions, owners, and availability</w:t>
            </w:r>
          </w:p>
        </w:tc>
      </w:tr>
    </w:tbl>
    <w:p>
      <w:pPr>
        <w:pStyle w:val="Heading1"/>
      </w:pPr>
      <w:r>
        <w:t>1. Opening the Call | Minutes 0–3</w:t>
      </w:r>
    </w:p>
    <w:p>
      <w:pPr>
        <w:pStyle w:val="Heading2"/>
      </w:pPr>
      <w:r>
        <w:t>Welcome and introduction</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Good afternoon, everyone. Thank you for joining and for making time for this discussion.</w:t>
              <w:br/>
              <w:br/>
              <w:t>My name is Prashanth Patil, and I am a Business Analyst working in Joy Dutta’s team. I will be supporting the requirements discovery, Current-State and Future-State process documentation, and preparation of the BRD for the MRM FTP replacement initiative.</w:t>
            </w:r>
          </w:p>
        </w:tc>
      </w:tr>
    </w:tbl>
    <w:p>
      <w:pPr>
        <w:pStyle w:val="Heading2"/>
      </w:pPr>
      <w:r>
        <w:t>Acknowledge the delay briefly</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I also want to acknowledge that it has taken some time to arrange this initial session. Thank you for your patience and for supporting the discovery.</w:t>
            </w:r>
          </w:p>
        </w:tc>
      </w:tr>
    </w:tbl>
    <w:p>
      <w:r>
        <w:rPr>
          <w:b/>
          <w:color w:val="C65911"/>
        </w:rPr>
        <w:t xml:space="preserve">Facilitator note: </w:t>
      </w:r>
      <w:r>
        <w:t>Keep the apology brief. Do not spend time explaining the delay.</w:t>
      </w:r>
    </w:p>
    <w:p>
      <w:pPr>
        <w:pStyle w:val="Heading2"/>
      </w:pPr>
      <w:r>
        <w:t>Recording and timebox</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As mentioned in the invitation, I would like to record this session to support accurate documentation and requirements traceability. Before I start the recording, does anyone have any concerns?</w:t>
              <w:br/>
              <w:br/>
              <w:t>Thank you. I will start the recording now.</w:t>
              <w:br/>
              <w:br/>
              <w:t>We have 30 minutes today, so I will keep the session focused on validating the end-to-end current process, identifying the most important gaps, and agreeing on the topics and participants required for the follow-up session.</w:t>
            </w:r>
          </w:p>
        </w:tc>
      </w:tr>
    </w:tbl>
    <w:p>
      <w:pPr>
        <w:pStyle w:val="Heading1"/>
      </w:pPr>
      <w:r>
        <w:t>2. Explain the Session Objective | Minutes 3–5</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The purpose of today’s session is to validate our understanding of the complete current Model Risk intake and evidence-submission process.</w:t>
              <w:br/>
              <w:br/>
              <w:t>Specifically, I would like to understand how a request begins, how it is created and routed in Archer, how FTP access and submission folders are established, how evidence is submitted and reviewed, how missing evidence is handled, and what controls, notifications, audit records, and evidence are retained.</w:t>
              <w:br/>
              <w:br/>
              <w:t>The output will be used to update the Current-State Process Diagram, document the AS-IS process in the BRD, establish the initial requirements register, and prepare for future-state discussions.</w:t>
              <w:br/>
              <w:br/>
              <w:t>Today is focused primarily on the current state. I may note future-state ideas when they arise, but I will keep them separate from confirmed AS-IS facts.</w:t>
            </w:r>
          </w:p>
        </w:tc>
      </w:tr>
    </w:tbl>
    <w:p>
      <w:pPr>
        <w:pStyle w:val="Heading1"/>
      </w:pPr>
      <w:r>
        <w:t>3. Set Expectations for the Walkthrough | Minute 5</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I have reviewed the existing current-state diagram, supporting documentation, and email discussions. I will first summarize what I believe the process is today.</w:t>
              <w:br/>
              <w:br/>
              <w:t>Please interrupt me if a step is incorrect, a role or system is missing, activities occur in a different sequence, a process differs by request type, or an important business rule, control, or exception is not represented.</w:t>
              <w:br/>
              <w:br/>
              <w:t>After the overview, I would appreciate a stakeholder-led walkthrough using an actual or representative example.</w:t>
            </w:r>
          </w:p>
        </w:tc>
      </w:tr>
    </w:tbl>
    <w:p>
      <w:pPr>
        <w:pStyle w:val="Heading1"/>
      </w:pPr>
      <w:r>
        <w:t>4. Present the Current Understanding | Minutes 5–12</w:t>
      </w:r>
    </w:p>
    <w:p>
      <w:pPr>
        <w:pStyle w:val="Heading2"/>
      </w:pPr>
      <w:r>
        <w:t>Business context and scope</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Our understanding is that the current FTP environment acts as a centralized submission point where Model Owners or Developers provide model outputs and supporting evidence for independent model validation, review, and challenge activities.</w:t>
              <w:br/>
              <w:br/>
              <w:t>The current environment is associated with a laptop-based setup approaching end-of-life. The objective is therefore to understand the complete business and control requirements before an enterprise-approved replacement is designed.</w:t>
              <w:br/>
              <w:br/>
              <w:t>The scope is broader than replacing FTP technology. It includes Archer intake, classification, access provisioning, evidence submission, folder segregation, Validator assignment, completeness review, incremental submissions, notifications, auditability, retention, and retrieval.</w:t>
            </w:r>
          </w:p>
        </w:tc>
      </w:tr>
    </w:tbl>
    <w:p>
      <w:pPr>
        <w:pStyle w:val="Heading2"/>
      </w:pPr>
      <w:r>
        <w:t>Actors currently understood</w:t>
      </w:r>
    </w:p>
    <w:p>
      <w:pPr>
        <w:pStyle w:val="ListBullet"/>
      </w:pPr>
      <w:r>
        <w:t>Model Owner / Developer</w:t>
      </w:r>
    </w:p>
    <w:p>
      <w:pPr>
        <w:pStyle w:val="ListBullet"/>
      </w:pPr>
      <w:r>
        <w:t>MRM Administrator</w:t>
      </w:r>
    </w:p>
    <w:p>
      <w:pPr>
        <w:pStyle w:val="ListBullet"/>
      </w:pPr>
      <w:r>
        <w:t>Director</w:t>
      </w:r>
    </w:p>
    <w:p>
      <w:pPr>
        <w:pStyle w:val="ListBullet"/>
      </w:pPr>
      <w:r>
        <w:t>Vetter / Model Risk Validator</w:t>
      </w:r>
    </w:p>
    <w:p>
      <w:pPr>
        <w:pStyle w:val="ListBullet"/>
      </w:pPr>
      <w:r>
        <w:t>Archer</w:t>
      </w:r>
    </w:p>
    <w:p>
      <w:pPr>
        <w:pStyle w:val="ListBullet"/>
      </w:pPr>
      <w:r>
        <w:t>Current FTP environment</w:t>
      </w:r>
    </w:p>
    <w:p>
      <w:pPr>
        <w:pStyle w:val="ListBullet"/>
      </w:pPr>
      <w:r>
        <w:t>Email and the submission-folder or shared-drive location</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One of today’s objectives is to confirm these participants and identify any missing business, Archer, operations, infrastructure, records-management, or support roles.</w:t>
            </w:r>
          </w:p>
        </w:tc>
      </w:tr>
    </w:tbl>
    <w:p>
      <w:pPr>
        <w:pStyle w:val="Heading3"/>
      </w:pPr>
      <w:r>
        <w:t>Step 1: Request initiation</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The process begins when a Model Owner identifies the need for a model validation, review, or another request type. The Model Owner initiates the request through the Model Risk intake process in Archer.</w:t>
            </w:r>
          </w:p>
        </w:tc>
      </w:tr>
    </w:tbl>
    <w:p>
      <w:r>
        <w:rPr>
          <w:b/>
        </w:rPr>
        <w:t xml:space="preserve">Ask: </w:t>
      </w:r>
      <w:r>
        <w:t>Is this the correct starting point, and do Validation, Review, and Other requests follow the same process?</w:t>
      </w:r>
    </w:p>
    <w:p>
      <w:pPr>
        <w:pStyle w:val="Heading3"/>
      </w:pPr>
      <w:r>
        <w:t>Step 2: Archer access and assistance</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The current diagram suggests that the process checks whether the Model Owner has Archer access and can complete the request independently. If not, MRM provides assistance.</w:t>
            </w:r>
          </w:p>
        </w:tc>
      </w:tr>
    </w:tbl>
    <w:p>
      <w:r>
        <w:rPr>
          <w:b/>
        </w:rPr>
        <w:t xml:space="preserve">Ask: </w:t>
      </w:r>
      <w:r>
        <w:t>Is this a formal process step or an informal support activity, and does MRM enter information on behalf of the Model Owner?</w:t>
      </w:r>
    </w:p>
    <w:p>
      <w:pPr>
        <w:pStyle w:val="Heading3"/>
      </w:pPr>
      <w:r>
        <w:t>Step 3: Request creation in Archer</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The Model Owner, or MRM with the Model Owner’s input, creates the validation or review record in Archer. The record appears to include the Model Owner contact, business process, number of models, model attributes, model name and version, platform information, production status, request type, and expected completion date. The request is then saved.</w:t>
            </w:r>
          </w:p>
        </w:tc>
      </w:tr>
    </w:tbl>
    <w:p>
      <w:r>
        <w:rPr>
          <w:b/>
        </w:rPr>
        <w:t xml:space="preserve">Ask: </w:t>
      </w:r>
      <w:r>
        <w:t>Are these the correct high-level data elements, and which mandatory fields determine the downstream workflow?</w:t>
      </w:r>
    </w:p>
    <w:p>
      <w:pPr>
        <w:pStyle w:val="Heading3"/>
      </w:pPr>
      <w:r>
        <w:t>Step 4: Classification and routing</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MRM reviews or classifies the request and assigns the applicable business process. The current diagram refers to Financial, AI, and Actuarial model groupings, but the precise routing rules are not yet clear.</w:t>
            </w:r>
          </w:p>
        </w:tc>
      </w:tr>
    </w:tbl>
    <w:p>
      <w:r>
        <w:rPr>
          <w:b/>
        </w:rPr>
        <w:t xml:space="preserve">Ask: </w:t>
      </w:r>
      <w:r>
        <w:t>Who performs the classification, and what does it change in the downstream process?</w:t>
      </w:r>
    </w:p>
    <w:p>
      <w:pPr>
        <w:pStyle w:val="Heading3"/>
      </w:pPr>
      <w:r>
        <w:t>Step 5: FTP access and submission setup</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Where FTP is required, the Model Owner receives credentials and information for the applicable submission area. Access appears to be segregated so the Model Owner sees only the authorized folder, while an administrator may have broader access.</w:t>
            </w:r>
          </w:p>
        </w:tc>
      </w:tr>
    </w:tbl>
    <w:p>
      <w:r>
        <w:rPr>
          <w:b/>
        </w:rPr>
        <w:t xml:space="preserve">Ask: </w:t>
      </w:r>
      <w:r>
        <w:t>Is the FTP account linked to a person, team, model, request, or validation project, and how is the correct account-to-folder relationship established?</w:t>
      </w:r>
    </w:p>
    <w:p>
      <w:pPr>
        <w:pStyle w:val="Heading3"/>
      </w:pPr>
      <w:r>
        <w:t>Step 6: Evidence-submission route</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The current diagram appears to show two routes. Documents may be attached directly to the Validation Request document field in Archer, or the Model Owner may use the MRM FTP Services link and upload evidence through FTP.</w:t>
            </w:r>
          </w:p>
        </w:tc>
      </w:tr>
    </w:tbl>
    <w:p>
      <w:r>
        <w:rPr>
          <w:b/>
        </w:rPr>
        <w:t xml:space="preserve">Ask: </w:t>
      </w:r>
      <w:r>
        <w:t>What determines whether evidence is stored in Archer, submitted through FTP, or divided across both locations?</w:t>
      </w:r>
    </w:p>
    <w:p>
      <w:pPr>
        <w:pStyle w:val="Heading3"/>
      </w:pPr>
      <w:r>
        <w:t>Step 7: FTP upload</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For the FTP route, the Model Owner signs in, navigates to the authorized folder, and uploads files or folders. The available guidance indicates that users can create folders, upload individual or multiple files, upload folders, search existing files, and receive an upload-success message. The Model Owner then logs out.</w:t>
            </w:r>
          </w:p>
        </w:tc>
      </w:tr>
    </w:tbl>
    <w:p>
      <w:r>
        <w:rPr>
          <w:b/>
        </w:rPr>
        <w:t xml:space="preserve">Ask: </w:t>
      </w:r>
      <w:r>
        <w:t>Does this accurately reflect the normal Model Owner experience, including any exceptions or limits?</w:t>
      </w:r>
    </w:p>
    <w:p>
      <w:pPr>
        <w:pStyle w:val="Heading3"/>
      </w:pPr>
      <w:r>
        <w:t>Step 8: Notification and evidence availability</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Our understanding is that logout generates an email notification to the administrator. The documents then become available in the submission folder used by MRM or the assigned Validator. It is not yet clear whether FTP and the shared-drive folder are the same location or whether files are copied or moved.</w:t>
            </w:r>
          </w:p>
        </w:tc>
      </w:tr>
    </w:tbl>
    <w:p>
      <w:r>
        <w:rPr>
          <w:b/>
        </w:rPr>
        <w:t xml:space="preserve">Ask: </w:t>
      </w:r>
      <w:r>
        <w:t>What exactly happens after upload, and is manual administrator activity required before the Validator can access the evidence?</w:t>
      </w:r>
    </w:p>
    <w:p>
      <w:pPr>
        <w:pStyle w:val="Heading3"/>
      </w:pPr>
      <w:r>
        <w:t>Step 9: Validator assignment</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A Director assigns a Vetter or Model Risk Validator. The timing of assignment relative to request creation and evidence upload remains to be confirmed.</w:t>
            </w:r>
          </w:p>
        </w:tc>
      </w:tr>
    </w:tbl>
    <w:p>
      <w:r>
        <w:rPr>
          <w:b/>
        </w:rPr>
        <w:t xml:space="preserve">Ask: </w:t>
      </w:r>
      <w:r>
        <w:t>Where is the assignment recorded, and how does the Validator know the request and evidence are ready?</w:t>
      </w:r>
    </w:p>
    <w:p>
      <w:pPr>
        <w:pStyle w:val="Heading3"/>
      </w:pPr>
      <w:r>
        <w:t>Step 10: Completeness review</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The assigned Validator accesses the request information and evidence and determines whether all required items have been received. Complete submissions are confirmed to the Model Owner; incomplete submissions are returned for additional evidence.</w:t>
            </w:r>
          </w:p>
        </w:tc>
      </w:tr>
    </w:tbl>
    <w:p>
      <w:r>
        <w:rPr>
          <w:b/>
        </w:rPr>
        <w:t xml:space="preserve">Ask: </w:t>
      </w:r>
      <w:r>
        <w:t>Is there a defined checklist or completeness criterion, and where is the decision recorded?</w:t>
      </w:r>
    </w:p>
    <w:p>
      <w:pPr>
        <w:pStyle w:val="Heading3"/>
      </w:pPr>
      <w:r>
        <w:t>Step 11: Additional evidence</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Where evidence is missing, the Model Owner submits additional files and the Validator repeats the completeness review. This may continue throughout the validation or review lifecycle.</w:t>
            </w:r>
          </w:p>
        </w:tc>
      </w:tr>
    </w:tbl>
    <w:p>
      <w:r>
        <w:rPr>
          <w:b/>
        </w:rPr>
        <w:t xml:space="preserve">Ask: </w:t>
      </w:r>
      <w:r>
        <w:t>How are initial, additional, corrected, and revised submissions distinguished, and can prior evidence be overwritten or deleted?</w:t>
      </w:r>
    </w:p>
    <w:p>
      <w:pPr>
        <w:pStyle w:val="Heading3"/>
      </w:pPr>
      <w:r>
        <w:t>Step 12: Completion</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Once all required evidence is received, the intake evidence-submission stage is considered complete. The current information does not confirm whether completion is recorded in Archer, email, the folder, or another record.</w:t>
            </w:r>
          </w:p>
        </w:tc>
      </w:tr>
    </w:tbl>
    <w:p>
      <w:r>
        <w:rPr>
          <w:b/>
        </w:rPr>
        <w:t xml:space="preserve">Ask: </w:t>
      </w:r>
      <w:r>
        <w:t>What is the official evidence of completion, and which system is the system of record for that decision?</w:t>
      </w:r>
    </w:p>
    <w:p>
      <w:pPr>
        <w:pStyle w:val="Heading1"/>
      </w:pPr>
      <w:r>
        <w:t>5. Transition to the Stakeholder Walkthrough | Minute 12</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That represents our current understanding of the process. Before we move into the detailed walkthrough, could you please confirm whether the overall sequence is directionally correct?</w:t>
              <w:br/>
              <w:br/>
              <w:t>In particular, is any major step missing, is anything in the wrong sequence, is any role assigned incorrectly, or do Review and Other requests follow a materially different path?</w:t>
              <w:br/>
              <w:br/>
              <w:t>With that baseline, could one of you walk us through the process using a recent or representative request, beginning with the business trigger and following it through Archer, FTP submission, Validator review, and completeness confirmation?</w:t>
            </w:r>
          </w:p>
        </w:tc>
      </w:tr>
    </w:tbl>
    <w:p>
      <w:pPr>
        <w:pStyle w:val="Heading1"/>
      </w:pPr>
      <w:r>
        <w:t>6. Facilitate the Walkthrough | Minutes 12–24</w:t>
      </w:r>
    </w:p>
    <w:p>
      <w:pPr>
        <w:pStyle w:val="Heading2"/>
      </w:pPr>
      <w:r>
        <w:t>Listen for these details at every step</w:t>
      </w:r>
    </w:p>
    <w:p>
      <w:pPr>
        <w:pStyle w:val="ListBullet"/>
      </w:pPr>
      <w:r>
        <w:t>Trigger</w:t>
      </w:r>
    </w:p>
    <w:p>
      <w:pPr>
        <w:pStyle w:val="ListBullet"/>
      </w:pPr>
      <w:r>
        <w:t>Role and owner</w:t>
      </w:r>
    </w:p>
    <w:p>
      <w:pPr>
        <w:pStyle w:val="ListBullet"/>
      </w:pPr>
      <w:r>
        <w:t>Required input</w:t>
      </w:r>
    </w:p>
    <w:p>
      <w:pPr>
        <w:pStyle w:val="ListBullet"/>
      </w:pPr>
      <w:r>
        <w:t>System used</w:t>
      </w:r>
    </w:p>
    <w:p>
      <w:pPr>
        <w:pStyle w:val="ListBullet"/>
      </w:pPr>
      <w:r>
        <w:t>Activity performed</w:t>
      </w:r>
    </w:p>
    <w:p>
      <w:pPr>
        <w:pStyle w:val="ListBullet"/>
      </w:pPr>
      <w:r>
        <w:t>Output created or updated</w:t>
      </w:r>
    </w:p>
    <w:p>
      <w:pPr>
        <w:pStyle w:val="ListBullet"/>
      </w:pPr>
      <w:r>
        <w:t>Notification or handoff</w:t>
      </w:r>
    </w:p>
    <w:p>
      <w:pPr>
        <w:pStyle w:val="ListBullet"/>
      </w:pPr>
      <w:r>
        <w:t>Control performed</w:t>
      </w:r>
    </w:p>
    <w:p>
      <w:pPr>
        <w:pStyle w:val="ListBullet"/>
      </w:pPr>
      <w:r>
        <w:t>Evidence retained</w:t>
      </w:r>
    </w:p>
    <w:p>
      <w:pPr>
        <w:pStyle w:val="ListBullet"/>
      </w:pPr>
      <w:r>
        <w:t>Exception or workaround</w:t>
      </w:r>
    </w:p>
    <w:p>
      <w:pPr>
        <w:pStyle w:val="ListBullet"/>
      </w:pPr>
      <w:r>
        <w:t>Pain point or risk</w:t>
      </w:r>
    </w:p>
    <w:p>
      <w:pPr>
        <w:pStyle w:val="ListBullet"/>
      </w:pPr>
      <w:r>
        <w:t>Business rule determining the next step</w:t>
      </w:r>
    </w:p>
    <w:p>
      <w:pPr>
        <w:pStyle w:val="Heading2"/>
      </w:pPr>
      <w:r>
        <w:t>Short intervention prompts</w:t>
      </w:r>
    </w:p>
    <w:tbl>
      <w:tblPr>
        <w:tblStyle w:val="TableGrid"/>
        <w:tblW w:type="auto" w:w="0"/>
        <w:jc w:val="center"/>
        <w:tblLook w:firstColumn="1" w:firstRow="1" w:lastColumn="0" w:lastRow="0" w:noHBand="0" w:noVBand="1" w:val="04A0"/>
      </w:tblPr>
      <w:tblGrid>
        <w:gridCol w:w="5083"/>
        <w:gridCol w:w="5083"/>
      </w:tblGrid>
      <w:tr>
        <w:tc>
          <w:tcPr>
            <w:tcW w:type="dxa" w:w="5083"/>
            <w:shd w:fill="2F5597"/>
            <w:tcMar>
              <w:top w:w="100" w:type="dxa"/>
              <w:start w:w="120" w:type="dxa"/>
              <w:bottom w:w="100" w:type="dxa"/>
              <w:end w:w="120" w:type="dxa"/>
            </w:tcMar>
          </w:tcPr>
          <w:p>
            <w:r>
              <w:rPr>
                <w:b/>
                <w:color w:val="FFFFFF"/>
              </w:rPr>
              <w:t>Situation</w:t>
            </w:r>
          </w:p>
        </w:tc>
        <w:tc>
          <w:tcPr>
            <w:tcW w:type="dxa" w:w="5083"/>
            <w:shd w:fill="2F5597"/>
            <w:tcMar>
              <w:top w:w="100" w:type="dxa"/>
              <w:start w:w="120" w:type="dxa"/>
              <w:bottom w:w="100" w:type="dxa"/>
              <w:end w:w="120" w:type="dxa"/>
            </w:tcMar>
          </w:tcPr>
          <w:p>
            <w:r>
              <w:rPr>
                <w:b/>
                <w:color w:val="FFFFFF"/>
              </w:rPr>
              <w:t>Suggested response</w:t>
            </w:r>
          </w:p>
        </w:tc>
      </w:tr>
      <w:tr>
        <w:tc>
          <w:tcPr>
            <w:tcW w:type="dxa" w:w="5083"/>
            <w:tcMar>
              <w:top w:w="100" w:type="dxa"/>
              <w:start w:w="120" w:type="dxa"/>
              <w:bottom w:w="100" w:type="dxa"/>
              <w:end w:w="120" w:type="dxa"/>
            </w:tcMar>
          </w:tcPr>
          <w:p>
            <w:r>
              <w:t>Role unclear</w:t>
            </w:r>
          </w:p>
        </w:tc>
        <w:tc>
          <w:tcPr>
            <w:tcW w:type="dxa" w:w="5083"/>
            <w:tcMar>
              <w:top w:w="100" w:type="dxa"/>
              <w:start w:w="120" w:type="dxa"/>
              <w:bottom w:w="100" w:type="dxa"/>
              <w:end w:w="120" w:type="dxa"/>
            </w:tcMar>
          </w:tcPr>
          <w:p>
            <w:r>
              <w:t>Just to confirm, which role owns that activity?</w:t>
            </w:r>
          </w:p>
        </w:tc>
      </w:tr>
      <w:tr>
        <w:tc>
          <w:tcPr>
            <w:tcW w:type="dxa" w:w="5083"/>
            <w:tcMar>
              <w:top w:w="100" w:type="dxa"/>
              <w:start w:w="120" w:type="dxa"/>
              <w:bottom w:w="100" w:type="dxa"/>
              <w:end w:w="120" w:type="dxa"/>
            </w:tcMar>
          </w:tcPr>
          <w:p>
            <w:r>
              <w:t>System unclear</w:t>
            </w:r>
          </w:p>
        </w:tc>
        <w:tc>
          <w:tcPr>
            <w:tcW w:type="dxa" w:w="5083"/>
            <w:tcMar>
              <w:top w:w="100" w:type="dxa"/>
              <w:start w:w="120" w:type="dxa"/>
              <w:bottom w:w="100" w:type="dxa"/>
              <w:end w:w="120" w:type="dxa"/>
            </w:tcMar>
          </w:tcPr>
          <w:p>
            <w:r>
              <w:t>Is that action performed in Archer, FTP, the shared drive, email, or manually outside those systems?</w:t>
            </w:r>
          </w:p>
        </w:tc>
      </w:tr>
      <w:tr>
        <w:tc>
          <w:tcPr>
            <w:tcW w:type="dxa" w:w="5083"/>
            <w:tcMar>
              <w:top w:w="100" w:type="dxa"/>
              <w:start w:w="120" w:type="dxa"/>
              <w:bottom w:w="100" w:type="dxa"/>
              <w:end w:w="120" w:type="dxa"/>
            </w:tcMar>
          </w:tcPr>
          <w:p>
            <w:r>
              <w:t>Handoff unclear</w:t>
            </w:r>
          </w:p>
        </w:tc>
        <w:tc>
          <w:tcPr>
            <w:tcW w:type="dxa" w:w="5083"/>
            <w:tcMar>
              <w:top w:w="100" w:type="dxa"/>
              <w:start w:w="120" w:type="dxa"/>
              <w:bottom w:w="100" w:type="dxa"/>
              <w:end w:w="120" w:type="dxa"/>
            </w:tcMar>
          </w:tcPr>
          <w:p>
            <w:r>
              <w:t>What tells the next person that the activity is complete and action is required?</w:t>
            </w:r>
          </w:p>
        </w:tc>
      </w:tr>
      <w:tr>
        <w:tc>
          <w:tcPr>
            <w:tcW w:type="dxa" w:w="5083"/>
            <w:tcMar>
              <w:top w:w="100" w:type="dxa"/>
              <w:start w:w="120" w:type="dxa"/>
              <w:bottom w:w="100" w:type="dxa"/>
              <w:end w:w="120" w:type="dxa"/>
            </w:tcMar>
          </w:tcPr>
          <w:p>
            <w:r>
              <w:t>Business rule unclear</w:t>
            </w:r>
          </w:p>
        </w:tc>
        <w:tc>
          <w:tcPr>
            <w:tcW w:type="dxa" w:w="5083"/>
            <w:tcMar>
              <w:top w:w="100" w:type="dxa"/>
              <w:start w:w="120" w:type="dxa"/>
              <w:bottom w:w="100" w:type="dxa"/>
              <w:end w:w="120" w:type="dxa"/>
            </w:tcMar>
          </w:tcPr>
          <w:p>
            <w:r>
              <w:t>What determines which path the request follows at that point?</w:t>
            </w:r>
          </w:p>
        </w:tc>
      </w:tr>
      <w:tr>
        <w:tc>
          <w:tcPr>
            <w:tcW w:type="dxa" w:w="5083"/>
            <w:tcMar>
              <w:top w:w="100" w:type="dxa"/>
              <w:start w:w="120" w:type="dxa"/>
              <w:bottom w:w="100" w:type="dxa"/>
              <w:end w:w="120" w:type="dxa"/>
            </w:tcMar>
          </w:tcPr>
          <w:p>
            <w:r>
              <w:t>Control mentioned</w:t>
            </w:r>
          </w:p>
        </w:tc>
        <w:tc>
          <w:tcPr>
            <w:tcW w:type="dxa" w:w="5083"/>
            <w:tcMar>
              <w:top w:w="100" w:type="dxa"/>
              <w:start w:w="120" w:type="dxa"/>
              <w:bottom w:w="100" w:type="dxa"/>
              <w:end w:w="120" w:type="dxa"/>
            </w:tcMar>
          </w:tcPr>
          <w:p>
            <w:r>
              <w:t>How is that control applied, and what evidence demonstrates that it occurred?</w:t>
            </w:r>
          </w:p>
        </w:tc>
      </w:tr>
      <w:tr>
        <w:tc>
          <w:tcPr>
            <w:tcW w:type="dxa" w:w="5083"/>
            <w:tcMar>
              <w:top w:w="100" w:type="dxa"/>
              <w:start w:w="120" w:type="dxa"/>
              <w:bottom w:w="100" w:type="dxa"/>
              <w:end w:w="120" w:type="dxa"/>
            </w:tcMar>
          </w:tcPr>
          <w:p>
            <w:r>
              <w:t>Evidence mentioned</w:t>
            </w:r>
          </w:p>
        </w:tc>
        <w:tc>
          <w:tcPr>
            <w:tcW w:type="dxa" w:w="5083"/>
            <w:tcMar>
              <w:top w:w="100" w:type="dxa"/>
              <w:start w:w="120" w:type="dxa"/>
              <w:bottom w:w="100" w:type="dxa"/>
              <w:end w:w="120" w:type="dxa"/>
            </w:tcMar>
          </w:tcPr>
          <w:p>
            <w:r>
              <w:t>Where is that record retained?</w:t>
            </w:r>
          </w:p>
        </w:tc>
      </w:tr>
      <w:tr>
        <w:tc>
          <w:tcPr>
            <w:tcW w:type="dxa" w:w="5083"/>
            <w:tcMar>
              <w:top w:w="100" w:type="dxa"/>
              <w:start w:w="120" w:type="dxa"/>
              <w:bottom w:w="100" w:type="dxa"/>
              <w:end w:w="120" w:type="dxa"/>
            </w:tcMar>
          </w:tcPr>
          <w:p>
            <w:r>
              <w:t>Exception mentioned</w:t>
            </w:r>
          </w:p>
        </w:tc>
        <w:tc>
          <w:tcPr>
            <w:tcW w:type="dxa" w:w="5083"/>
            <w:tcMar>
              <w:top w:w="100" w:type="dxa"/>
              <w:start w:w="120" w:type="dxa"/>
              <w:bottom w:w="100" w:type="dxa"/>
              <w:end w:w="120" w:type="dxa"/>
            </w:tcMar>
          </w:tcPr>
          <w:p>
            <w:r>
              <w:t>What is the standard resolution, and who owns it?</w:t>
            </w:r>
          </w:p>
        </w:tc>
      </w:tr>
      <w:tr>
        <w:tc>
          <w:tcPr>
            <w:tcW w:type="dxa" w:w="5083"/>
            <w:tcMar>
              <w:top w:w="100" w:type="dxa"/>
              <w:start w:w="120" w:type="dxa"/>
              <w:bottom w:w="100" w:type="dxa"/>
              <w:end w:w="120" w:type="dxa"/>
            </w:tcMar>
          </w:tcPr>
          <w:p>
            <w:r>
              <w:t>Future-state discussion</w:t>
            </w:r>
          </w:p>
        </w:tc>
        <w:tc>
          <w:tcPr>
            <w:tcW w:type="dxa" w:w="5083"/>
            <w:tcMar>
              <w:top w:w="100" w:type="dxa"/>
              <w:start w:w="120" w:type="dxa"/>
              <w:bottom w:w="100" w:type="dxa"/>
              <w:end w:w="120" w:type="dxa"/>
            </w:tcMar>
          </w:tcPr>
          <w:p>
            <w:r>
              <w:t>That is a valuable future-state consideration. I will capture it separately. For the current-state baseline, could we first confirm how this is handled today?</w:t>
            </w:r>
          </w:p>
        </w:tc>
      </w:tr>
      <w:tr>
        <w:tc>
          <w:tcPr>
            <w:tcW w:type="dxa" w:w="5083"/>
            <w:tcMar>
              <w:top w:w="100" w:type="dxa"/>
              <w:start w:w="120" w:type="dxa"/>
              <w:bottom w:w="100" w:type="dxa"/>
              <w:end w:w="120" w:type="dxa"/>
            </w:tcMar>
          </w:tcPr>
          <w:p>
            <w:r>
              <w:t>Too much detail</w:t>
            </w:r>
          </w:p>
        </w:tc>
        <w:tc>
          <w:tcPr>
            <w:tcW w:type="dxa" w:w="5083"/>
            <w:tcMar>
              <w:top w:w="100" w:type="dxa"/>
              <w:start w:w="120" w:type="dxa"/>
              <w:bottom w:w="100" w:type="dxa"/>
              <w:end w:w="120" w:type="dxa"/>
            </w:tcMar>
          </w:tcPr>
          <w:p>
            <w:r>
              <w:t>That detail is important for the BRD. Given today’s time, I will record it as a follow-up. For now, could we confirm the activity, owner, system, and output?</w:t>
            </w:r>
          </w:p>
        </w:tc>
      </w:tr>
    </w:tbl>
    <w:p>
      <w:pPr>
        <w:pStyle w:val="Heading1"/>
      </w:pPr>
      <w:r>
        <w:t>7. Priority Questions if Time Is Limited</w:t>
      </w:r>
    </w:p>
    <w:p>
      <w:pPr>
        <w:pStyle w:val="ListNumber"/>
      </w:pPr>
      <w:r>
        <w:t>What is the formal beginning and end of the evidence-submission process?</w:t>
      </w:r>
    </w:p>
    <w:p>
      <w:pPr>
        <w:pStyle w:val="ListNumber"/>
      </w:pPr>
      <w:r>
        <w:t>What determines whether evidence is attached in Archer or uploaded through FTP?</w:t>
      </w:r>
    </w:p>
    <w:p>
      <w:pPr>
        <w:pStyle w:val="ListNumber"/>
      </w:pPr>
      <w:r>
        <w:t>How is the FTP account linked to the correct Model Owner group, Archer request, and submission folder?</w:t>
      </w:r>
    </w:p>
    <w:p>
      <w:pPr>
        <w:pStyle w:val="ListNumber"/>
      </w:pPr>
      <w:r>
        <w:t>After upload, where is the evidence stored, and does any manual copying or movement occur?</w:t>
      </w:r>
    </w:p>
    <w:p>
      <w:pPr>
        <w:pStyle w:val="ListNumber"/>
      </w:pPr>
      <w:r>
        <w:t>Who is notified after an upload, and how does the assigned Validator know evidence is ready?</w:t>
      </w:r>
    </w:p>
    <w:p>
      <w:pPr>
        <w:pStyle w:val="ListNumber"/>
      </w:pPr>
      <w:r>
        <w:t>What criteria determine that a submission is complete?</w:t>
      </w:r>
    </w:p>
    <w:p>
      <w:pPr>
        <w:pStyle w:val="ListNumber"/>
      </w:pPr>
      <w:r>
        <w:t>How are additional and revised submissions differentiated from the original submission?</w:t>
      </w:r>
    </w:p>
    <w:p>
      <w:pPr>
        <w:pStyle w:val="ListNumber"/>
      </w:pPr>
      <w:r>
        <w:t>Can users overwrite or delete previously submitted evidence, and how is prior evidence preserved?</w:t>
      </w:r>
    </w:p>
    <w:p>
      <w:pPr>
        <w:pStyle w:val="ListNumber"/>
      </w:pPr>
      <w:r>
        <w:t>Which system is the official record for the request, evidence, and final completeness decision?</w:t>
      </w:r>
    </w:p>
    <w:p>
      <w:pPr>
        <w:pStyle w:val="ListNumber"/>
      </w:pPr>
      <w:r>
        <w:t>Which additional SMEs are required for Archer, FTP administration, security, retention, and audit?</w:t>
      </w:r>
    </w:p>
    <w:p>
      <w:pPr>
        <w:pStyle w:val="Heading1"/>
      </w:pPr>
      <w:r>
        <w:t>8. Pain Points and Critical Capabilities | Minutes 24–27</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Thank you. I would like to use the remaining time to understand the principal operational concerns and confirm the follow-up required.</w:t>
              <w:br/>
              <w:br/>
              <w:t>From your perspective, what are the three most significant pain points or risks in the current process?</w:t>
              <w:br/>
              <w:br/>
              <w:t>Which current capabilities are business critical and must be preserved in any replacement solution?</w:t>
            </w:r>
          </w:p>
        </w:tc>
      </w:tr>
    </w:tbl>
    <w:p>
      <w:r>
        <w:rPr>
          <w:b/>
        </w:rPr>
        <w:t>Use these prompts only if needed:</w:t>
      </w:r>
    </w:p>
    <w:p>
      <w:pPr>
        <w:pStyle w:val="ListBullet"/>
      </w:pPr>
      <w:r>
        <w:t>Segregated access by Model Owner group</w:t>
      </w:r>
    </w:p>
    <w:p>
      <w:pPr>
        <w:pStyle w:val="ListBullet"/>
      </w:pPr>
      <w:r>
        <w:t>Large-file and high-volume submission</w:t>
      </w:r>
    </w:p>
    <w:p>
      <w:pPr>
        <w:pStyle w:val="ListBullet"/>
      </w:pPr>
      <w:r>
        <w:t>Folder-based uploads</w:t>
      </w:r>
    </w:p>
    <w:p>
      <w:pPr>
        <w:pStyle w:val="ListBullet"/>
      </w:pPr>
      <w:r>
        <w:t>Incremental submissions</w:t>
      </w:r>
    </w:p>
    <w:p>
      <w:pPr>
        <w:pStyle w:val="ListBullet"/>
      </w:pPr>
      <w:r>
        <w:t>Notification of new uploads</w:t>
      </w:r>
    </w:p>
    <w:p>
      <w:pPr>
        <w:pStyle w:val="ListBullet"/>
      </w:pPr>
      <w:r>
        <w:t>Preservation of prior submissions</w:t>
      </w:r>
    </w:p>
    <w:p>
      <w:pPr>
        <w:pStyle w:val="ListBullet"/>
      </w:pPr>
      <w:r>
        <w:t>Restrictions on deletion or overwriting</w:t>
      </w:r>
    </w:p>
    <w:p>
      <w:pPr>
        <w:pStyle w:val="ListBullet"/>
      </w:pPr>
      <w:r>
        <w:t>Audit trail</w:t>
      </w:r>
    </w:p>
    <w:p>
      <w:pPr>
        <w:pStyle w:val="ListBullet"/>
      </w:pPr>
      <w:r>
        <w:t>Retention and retrieval</w:t>
      </w:r>
    </w:p>
    <w:p>
      <w:pPr>
        <w:pStyle w:val="ListBullet"/>
      </w:pPr>
      <w:r>
        <w:t>Linkage to Archer without duplicate entry</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Are these capabilities all mandatory, or should some be classified as desirable rather than essential?</w:t>
            </w:r>
          </w:p>
        </w:tc>
      </w:tr>
    </w:tbl>
    <w:p>
      <w:pPr>
        <w:pStyle w:val="Heading1"/>
      </w:pPr>
      <w:r>
        <w:t>9. Confirm the Follow-Up Session | Minutes 27–28</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Based on today’s discussion, I expect we will need at least one follow-up session for detailed controls, data fields, exceptions, volumes, and any areas we cannot complete today.</w:t>
              <w:br/>
              <w:br/>
              <w:t>Before we close, could we agree on who should attend the second session, whether a separate Archer or FTP administration walkthrough is required, and which dates or times next week are generally suitable?</w:t>
              <w:br/>
              <w:br/>
              <w:t>I will schedule the follow-up based on the availability confirmed today.</w:t>
            </w:r>
          </w:p>
        </w:tc>
      </w:tr>
    </w:tbl>
    <w:p>
      <w:pPr>
        <w:pStyle w:val="Heading1"/>
      </w:pPr>
      <w:r>
        <w:t>10. Closing Recap | Minutes 28–30</w:t>
      </w:r>
    </w:p>
    <w:tbl>
      <w:tblPr>
        <w:tblW w:type="auto" w:w="0"/>
        <w:jc w:val="center"/>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0"/>
            </w:pPr>
            <w:r>
              <w:rPr>
                <w:rFonts w:ascii="Aptos" w:hAnsi="Aptos"/>
                <w:sz w:val="21"/>
              </w:rPr>
              <w:t>Thank you. Let me briefly summarize what I have heard today.</w:t>
              <w:br/>
              <w:br/>
              <w:t>We have confirmed that the process begins with [confirmed trigger]. The request is created and maintained in [confirmed system]. Evidence is submitted through [confirmed channel or channels]. FTP access and folder segregation are managed through [confirmed process]. The Validator receives or locates evidence through [confirmed mechanism]. Incomplete submissions return to the Model Owner for additional evidence. The process concludes when [confirmed completion condition].</w:t>
              <w:br/>
              <w:br/>
              <w:t>The main open items are [open item 1], [open item 2], and [open item 3].</w:t>
              <w:br/>
              <w:br/>
              <w:t>The agreed actions are: I will update the Current-State Diagram and requirements notes; [stakeholder] will provide [document, answer, data, or SME contact]; and I will schedule the second discovery session based on the availability discussed today.</w:t>
              <w:br/>
              <w:br/>
              <w:t>I will distinguish confirmed information from assumptions and open questions in the documentation. Thank you again for the detailed walkthrough. This gives us the foundation needed to develop an accurate Current-State Process and BRD.</w:t>
              <w:br/>
              <w:br/>
              <w:t>I will stop the recording now. Thank you, everyone.</w:t>
            </w:r>
          </w:p>
        </w:tc>
      </w:tr>
    </w:tbl>
    <w:p>
      <w:pPr>
        <w:pStyle w:val="Heading1"/>
      </w:pPr>
      <w:r>
        <w:t>Facilitator Guardrails</w:t>
      </w:r>
    </w:p>
    <w:p>
      <w:pPr>
        <w:pStyle w:val="ListBullet"/>
      </w:pPr>
      <w:r>
        <w:t>Do not read every questionnaire question word for word.</w:t>
      </w:r>
    </w:p>
    <w:p>
      <w:pPr>
        <w:pStyle w:val="ListBullet"/>
      </w:pPr>
      <w:r>
        <w:t>Do not label an observation as a pain point until stakeholders validate it.</w:t>
      </w:r>
    </w:p>
    <w:p>
      <w:pPr>
        <w:pStyle w:val="ListBullet"/>
      </w:pPr>
      <w:r>
        <w:t>Do not design the future solution during the AS-IS walkthrough.</w:t>
      </w:r>
    </w:p>
    <w:p>
      <w:pPr>
        <w:pStyle w:val="ListBullet"/>
      </w:pPr>
      <w:r>
        <w:t>Do not assume Archer, FTP, and the shared drive are technically integrated.</w:t>
      </w:r>
    </w:p>
    <w:p>
      <w:pPr>
        <w:pStyle w:val="ListBullet"/>
      </w:pPr>
      <w:r>
        <w:t>Do not assume email is the formal completion record.</w:t>
      </w:r>
    </w:p>
    <w:p>
      <w:pPr>
        <w:pStyle w:val="ListBullet"/>
      </w:pPr>
      <w:r>
        <w:t>Do not commit to a requirement unless the business validates it.</w:t>
      </w:r>
    </w:p>
    <w:p>
      <w:pPr>
        <w:pStyle w:val="ListBullet"/>
      </w:pPr>
      <w:r>
        <w:t>Do not finish without owners for unanswered questions.</w:t>
      </w:r>
    </w:p>
    <w:p>
      <w:pPr>
        <w:pStyle w:val="Heading1"/>
      </w:pPr>
      <w:r>
        <w:t>Live Note-Taking Template</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130" w:type="dxa"/>
              <w:start w:w="130" w:type="dxa"/>
              <w:bottom w:w="130" w:type="dxa"/>
              <w:end w:w="130" w:type="dxa"/>
            </w:tcMar>
          </w:tcPr>
          <w:p>
            <w:r>
              <w:rPr>
                <w:b/>
              </w:rPr>
              <w:t>Activity</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Trigger</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Performed by</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Input</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System</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Process</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Output</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Notification</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Control</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Evidence retained</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Exception</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Pain point</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Business rule</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Open question</w:t>
            </w:r>
          </w:p>
        </w:tc>
        <w:tc>
          <w:tcPr>
            <w:tcW w:type="dxa" w:w="5083"/>
            <w:tcMar>
              <w:top w:w="130" w:type="dxa"/>
              <w:start w:w="130" w:type="dxa"/>
              <w:bottom w:w="130" w:type="dxa"/>
              <w:end w:w="130" w:type="dxa"/>
            </w:tcMar>
          </w:tcPr>
          <w:p>
            <w:r/>
          </w:p>
        </w:tc>
      </w:tr>
      <w:tr>
        <w:tc>
          <w:tcPr>
            <w:tcW w:type="dxa" w:w="5083"/>
            <w:shd w:fill="D9EAF7"/>
            <w:tcMar>
              <w:top w:w="130" w:type="dxa"/>
              <w:start w:w="130" w:type="dxa"/>
              <w:bottom w:w="130" w:type="dxa"/>
              <w:end w:w="130" w:type="dxa"/>
            </w:tcMar>
          </w:tcPr>
          <w:p>
            <w:r>
              <w:rPr>
                <w:b/>
              </w:rPr>
              <w:t>Follow-up owner</w:t>
            </w:r>
          </w:p>
        </w:tc>
        <w:tc>
          <w:tcPr>
            <w:tcW w:type="dxa" w:w="5083"/>
            <w:tcMar>
              <w:top w:w="130" w:type="dxa"/>
              <w:start w:w="130" w:type="dxa"/>
              <w:bottom w:w="130" w:type="dxa"/>
              <w:end w:w="130" w:type="dxa"/>
            </w:tcMar>
          </w:tcPr>
          <w:p>
            <w:r/>
          </w:p>
        </w:tc>
      </w:tr>
    </w:tbl>
    <w:p>
      <w:pPr>
        <w:pStyle w:val="Heading1"/>
      </w:pPr>
      <w:r>
        <w:t>Maintain Three Separate Lists</w:t>
      </w:r>
    </w:p>
    <w:p>
      <w:r>
        <w:rPr>
          <w:b/>
        </w:rPr>
        <w:t xml:space="preserve">Confirmed AS-IS facts: </w:t>
      </w:r>
      <w:r>
        <w:t>Information explicitly validated by stakeholders.</w:t>
      </w:r>
    </w:p>
    <w:p>
      <w:r>
        <w:rPr>
          <w:b/>
        </w:rPr>
        <w:t xml:space="preserve">Items requiring validation: </w:t>
      </w:r>
      <w:r>
        <w:t>Information that remains unclear or requires another SME.</w:t>
      </w:r>
    </w:p>
    <w:p>
      <w:r>
        <w:rPr>
          <w:b/>
        </w:rPr>
        <w:t xml:space="preserve">Future-state ideas: </w:t>
      </w:r>
      <w:r>
        <w:t>Suggestions to retain without mixing them into the current-state description.</w:t>
      </w:r>
    </w:p>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MRM FTP Replacement | Current-State Discovery Facilitation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Prashanth Patil</dc:creator>
  <keywords/>
  <dc:description>generated by python-docx</dc:description>
  <lastModifiedBy>Prashanth Patil</lastModifiedBy>
  <revision>1</revision>
  <dcterms:created xsi:type="dcterms:W3CDTF">2026-08-28T17:25:03.6670050Z</dcterms:created>
  <dcterms:modified xsi:type="dcterms:W3CDTF">2026-08-28T17:25:03.6670050Z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9aa860-6a65-4942-a19a-0478291725e1_Enabled">
    <vt:lpwstr>true</vt:lpwstr>
  </property>
  <property fmtid="{D5CDD505-2E9C-101B-9397-08002B2CF9AE}" pid="3" name="MSIP_Label_3c9aa860-6a65-4942-a19a-0478291725e1_SetDate">
    <vt:lpwstr>2026-08-28T17:25:06Z</vt:lpwstr>
  </property>
  <property fmtid="{D5CDD505-2E9C-101B-9397-08002B2CF9AE}" pid="4" name="MSIP_Label_3c9aa860-6a65-4942-a19a-0478291725e1_Method">
    <vt:lpwstr>Standard</vt:lpwstr>
  </property>
  <property fmtid="{D5CDD505-2E9C-101B-9397-08002B2CF9AE}" pid="5" name="MSIP_Label_3c9aa860-6a65-4942-a19a-0478291725e1_Name">
    <vt:lpwstr>CONFIDENTIAL</vt:lpwstr>
  </property>
  <property fmtid="{D5CDD505-2E9C-101B-9397-08002B2CF9AE}" pid="6" name="MSIP_Label_3c9aa860-6a65-4942-a19a-0478291725e1_SiteId">
    <vt:lpwstr>5d3e2773-e07f-4432-a630-1a0f68a28a05</vt:lpwstr>
  </property>
  <property fmtid="{D5CDD505-2E9C-101B-9397-08002B2CF9AE}" pid="7" name="MSIP_Label_3c9aa860-6a65-4942-a19a-0478291725e1_ActionId">
    <vt:lpwstr>c38ef79e-a097-447d-90cd-035cd2b5b3b6</vt:lpwstr>
  </property>
  <property fmtid="{D5CDD505-2E9C-101B-9397-08002B2CF9AE}" pid="8" name="MSIP_Label_3c9aa860-6a65-4942-a19a-0478291725e1_ContentBits">
    <vt:lpwstr>0</vt:lpwstr>
  </property>
</Properties>
</file>