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5edcf5e158d49d2" /></Relationships>
</file>

<file path=word/document.xml><?xml version="1.0" encoding="utf-8"?>
<w:document xmlns:w="http://schemas.openxmlformats.org/wordprocessingml/2006/main">
  <w:body>
    <w:p>
      <w:pPr>
        <w:spacing w:after="40"/>
        <w:jc w:val="center"/>
      </w:pPr>
      <w:r>
        <w:rPr>
          <w:rFonts w:ascii="Segoe UI" w:hAnsi="Segoe UI"/>
          <w:b/>
          <w:sz w:val="36"/>
          <w:color w:val="1F4E79"/>
        </w:rPr>
        <w:t xml:space="preserve">Agentic URL Shortener - End-to-End Task List</w:t>
      </w:r>
    </w:p>
    <w:p>
      <w:pPr>
        <w:spacing w:after="220"/>
        <w:jc w:val="center"/>
      </w:pPr>
      <w:r>
        <w:rPr>
          <w:rFonts w:ascii="Segoe UI" w:hAnsi="Segoe UI"/>
          <w:sz w:val="20"/>
          <w:color w:val="595959"/>
        </w:rPr>
        <w:t xml:space="preserve">Every task to deliver the assignment, with a one-line description each</w:t>
      </w:r>
    </w:p>
    <w:p>
      <w:pPr>
        <w:spacing w:before="200" w:after="60"/>
      </w:pPr>
      <w:r>
        <w:rPr>
          <w:rFonts w:ascii="Segoe UI" w:hAnsi="Segoe UI"/>
          <w:b/>
          <w:sz w:val="24"/>
          <w:color w:val="1F4E79"/>
        </w:rPr>
        <w:t xml:space="preserve">1. Product: URL Shortener</w:t>
      </w:r>
    </w:p>
    <w:tbl>
      <w:tblPr>
        <w:tblStyle w:val="TableGrid"/>
        <w:tblW w:w="0" w:type="auto"/>
        <w:tblBorders>
          <w:top w:val="single" w:color="BDD7EE" w:sz="4"/>
          <w:bottom w:val="single" w:color="BDD7EE" w:sz="4"/>
          <w:left w:val="single" w:color="BDD7EE" w:sz="4"/>
          <w:right w:val="single" w:color="BDD7EE" w:sz="4"/>
          <w:insideH w:val="single" w:color="BDD7EE" w:sz="4"/>
          <w:insideV w:val="single" w:color="BDD7EE" w:sz="4"/>
        </w:tblBorders>
      </w:tblPr>
      <w:tr>
        <w:tc>
          <w:tcPr>
            <w:tcW w:w="3200" w:type="dxa"/>
            <w:shd w:val="clear" w:fill="2E75B6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Task</w:t>
            </w:r>
          </w:p>
        </w:tc>
        <w:tc>
          <w:tcPr>
            <w:tcW w:w="6600" w:type="dxa"/>
            <w:shd w:val="clear" w:fill="2E75B6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Description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Domain model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ShortUrl and ClickEvent entities with their core fields.</w:t>
            </w:r>
          </w:p>
        </w:tc>
      </w:tr>
      <w:tr>
        <w:tc>
          <w:tcPr>
            <w:tcW w:w="32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Base62 encoder</w:t>
            </w:r>
          </w:p>
        </w:tc>
        <w:tc>
          <w:tcPr>
            <w:tcW w:w="66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Encode counter values into compact short codes.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Counter code generation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Zookeeper-style range allocator issues collision-free codes with no per-insert check.</w:t>
            </w:r>
          </w:p>
        </w:tc>
      </w:tr>
      <w:tr>
        <w:tc>
          <w:tcPr>
            <w:tcW w:w="32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MongoDB persistence</w:t>
            </w:r>
          </w:p>
        </w:tc>
        <w:tc>
          <w:tcPr>
            <w:tcW w:w="66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Repository, atomic counter document, and startup index creation.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URL validation (SSRF)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Allow only http/https and block private/loopback hosts.</w:t>
            </w:r>
          </w:p>
        </w:tc>
      </w:tr>
      <w:tr>
        <w:tc>
          <w:tcPr>
            <w:tcW w:w="32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Shortening service</w:t>
            </w:r>
          </w:p>
        </w:tc>
        <w:tc>
          <w:tcPr>
            <w:tcW w:w="66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Create, resolve with click recording, stats, list, delete, plus idempotent dedupe.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Web API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REST endpoints, 302 redirect, rate limiting, health, and Swagger.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rFonts w:ascii="Segoe UI" w:hAnsi="Segoe UI"/>
          <w:b/>
          <w:sz w:val="24"/>
          <w:color w:val="1F4E79"/>
        </w:rPr>
        <w:t xml:space="preserve">2. Orchestration Engine (the differentiator)</w:t>
      </w:r>
    </w:p>
    <w:tbl>
      <w:tblPr>
        <w:tblStyle w:val="TableGrid"/>
        <w:tblW w:w="0" w:type="auto"/>
        <w:tblBorders>
          <w:top w:val="single" w:color="BDD7EE" w:sz="4"/>
          <w:bottom w:val="single" w:color="BDD7EE" w:sz="4"/>
          <w:left w:val="single" w:color="BDD7EE" w:sz="4"/>
          <w:right w:val="single" w:color="BDD7EE" w:sz="4"/>
          <w:insideH w:val="single" w:color="BDD7EE" w:sz="4"/>
          <w:insideV w:val="single" w:color="BDD7EE" w:sz="4"/>
        </w:tblBorders>
      </w:tblPr>
      <w:tr>
        <w:tc>
          <w:tcPr>
            <w:tcW w:w="3200" w:type="dxa"/>
            <w:shd w:val="clear" w:fill="2E75B6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Task</w:t>
            </w:r>
          </w:p>
        </w:tc>
        <w:tc>
          <w:tcPr>
            <w:tcW w:w="6600" w:type="dxa"/>
            <w:shd w:val="clear" w:fill="2E75B6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Description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Dependency graph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Validated DAG of stages with a printed topological order.</w:t>
            </w:r>
          </w:p>
        </w:tc>
      </w:tr>
      <w:tr>
        <w:tc>
          <w:tcPr>
            <w:tcW w:w="32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Entry and exit gates</w:t>
            </w:r>
          </w:p>
        </w:tc>
        <w:tc>
          <w:tcPr>
            <w:tcW w:w="66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Decide if a stage may start and verify its output before unlocking downstream.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Policy guardrails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Automated security, compliance, and change-control checks that allow, deny, or escalate.</w:t>
            </w:r>
          </w:p>
        </w:tc>
      </w:tr>
      <w:tr>
        <w:tc>
          <w:tcPr>
            <w:tcW w:w="32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Human approval checkpoints</w:t>
            </w:r>
          </w:p>
        </w:tc>
        <w:tc>
          <w:tcPr>
            <w:tcW w:w="66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Pause high-impact stages for a human sign-off.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Bounded retries and fallback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Retry transient failures within a cap, then try a fallback agent.</w:t>
            </w:r>
          </w:p>
        </w:tc>
      </w:tr>
      <w:tr>
        <w:tc>
          <w:tcPr>
            <w:tcW w:w="32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Rollback and safe-stop</w:t>
            </w:r>
          </w:p>
        </w:tc>
        <w:tc>
          <w:tcPr>
            <w:tcW w:w="66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Unwind completed stages in reverse order and halt safely on denial or failure.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Dynamic re-planning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Invalidate and re-run only the stages affected by an upstream change.</w:t>
            </w:r>
          </w:p>
        </w:tc>
      </w:tr>
      <w:tr>
        <w:tc>
          <w:tcPr>
            <w:tcW w:w="32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Blackboard</w:t>
            </w:r>
          </w:p>
        </w:tc>
        <w:tc>
          <w:tcPr>
            <w:tcW w:w="66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Shared cross-stage context, artifacts, and change-detecting fingerprints.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Audit log and decision lineage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Append-only, correlated record of every event and governance decision.</w:t>
            </w:r>
          </w:p>
        </w:tc>
      </w:tr>
      <w:tr>
        <w:tc>
          <w:tcPr>
            <w:tcW w:w="32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Reliability metrics</w:t>
            </w:r>
          </w:p>
        </w:tc>
        <w:tc>
          <w:tcPr>
            <w:tcW w:w="66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Success rate, retry and rollback frequency, MTTR, and latency.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Parallel execution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Run independent stages together in synchronized waves.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rFonts w:ascii="Segoe UI" w:hAnsi="Segoe UI"/>
          <w:b/>
          <w:sz w:val="24"/>
          <w:color w:val="1F4E79"/>
        </w:rPr>
        <w:t xml:space="preserve">3. Agents (pluggable via IStageAgent)</w:t>
      </w:r>
    </w:p>
    <w:tbl>
      <w:tblPr>
        <w:tblStyle w:val="TableGrid"/>
        <w:tblW w:w="0" w:type="auto"/>
        <w:tblBorders>
          <w:top w:val="single" w:color="BDD7EE" w:sz="4"/>
          <w:bottom w:val="single" w:color="BDD7EE" w:sz="4"/>
          <w:left w:val="single" w:color="BDD7EE" w:sz="4"/>
          <w:right w:val="single" w:color="BDD7EE" w:sz="4"/>
          <w:insideH w:val="single" w:color="BDD7EE" w:sz="4"/>
          <w:insideV w:val="single" w:color="BDD7EE" w:sz="4"/>
        </w:tblBorders>
      </w:tblPr>
      <w:tr>
        <w:tc>
          <w:tcPr>
            <w:tcW w:w="3200" w:type="dxa"/>
            <w:shd w:val="clear" w:fill="2E75B6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Task</w:t>
            </w:r>
          </w:p>
        </w:tc>
        <w:tc>
          <w:tcPr>
            <w:tcW w:w="6600" w:type="dxa"/>
            <w:shd w:val="clear" w:fill="2E75B6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Description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Agent seam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A single IStageAgent interface so any agent plugs into the same governance.</w:t>
            </w:r>
          </w:p>
        </w:tc>
      </w:tr>
      <w:tr>
        <w:tc>
          <w:tcPr>
            <w:tcW w:w="32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Real LLM agents</w:t>
            </w:r>
          </w:p>
        </w:tc>
        <w:tc>
          <w:tcPr>
            <w:tcW w:w="66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Each stage calls a local Ollama model to produce its artifact.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Scaffold agent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Greenfield implementation emits a validated, runnable project scaffold.</w:t>
            </w:r>
          </w:p>
        </w:tc>
      </w:tr>
      <w:tr>
        <w:tc>
          <w:tcPr>
            <w:tcW w:w="32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Transient-fault agent</w:t>
            </w:r>
          </w:p>
        </w:tc>
        <w:tc>
          <w:tcPr>
            <w:tcW w:w="66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Injects one failure in brownfield to demonstrate retry recovery.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rFonts w:ascii="Segoe UI" w:hAnsi="Segoe UI"/>
          <w:b/>
          <w:sz w:val="24"/>
          <w:color w:val="1F4E79"/>
        </w:rPr>
        <w:t xml:space="preserve">4. Scenarios</w:t>
      </w:r>
    </w:p>
    <w:tbl>
      <w:tblPr>
        <w:tblStyle w:val="TableGrid"/>
        <w:tblW w:w="0" w:type="auto"/>
        <w:tblBorders>
          <w:top w:val="single" w:color="BDD7EE" w:sz="4"/>
          <w:bottom w:val="single" w:color="BDD7EE" w:sz="4"/>
          <w:left w:val="single" w:color="BDD7EE" w:sz="4"/>
          <w:right w:val="single" w:color="BDD7EE" w:sz="4"/>
          <w:insideH w:val="single" w:color="BDD7EE" w:sz="4"/>
          <w:insideV w:val="single" w:color="BDD7EE" w:sz="4"/>
        </w:tblBorders>
      </w:tblPr>
      <w:tr>
        <w:tc>
          <w:tcPr>
            <w:tcW w:w="3200" w:type="dxa"/>
            <w:shd w:val="clear" w:fill="2E75B6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Task</w:t>
            </w:r>
          </w:p>
        </w:tc>
        <w:tc>
          <w:tcPr>
            <w:tcW w:w="6600" w:type="dxa"/>
            <w:shd w:val="clear" w:fill="2E75B6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Description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Greenfield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Build the shortener from scratch through the full governed pipeline.</w:t>
            </w:r>
          </w:p>
        </w:tc>
      </w:tr>
      <w:tr>
        <w:tc>
          <w:tcPr>
            <w:tcW w:w="32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Brownfield</w:t>
            </w:r>
          </w:p>
        </w:tc>
        <w:tc>
          <w:tcPr>
            <w:tcW w:w="66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Enhance existing code with impact analysis, migration approval, a retry, and a re-plan.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Ambiguous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Hold an under-specified request, then deny an unsafe release and roll back.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rFonts w:ascii="Segoe UI" w:hAnsi="Segoe UI"/>
          <w:b/>
          <w:sz w:val="24"/>
          <w:color w:val="1F4E79"/>
        </w:rPr>
        <w:t xml:space="preserve">5. Runner and Reporting</w:t>
      </w:r>
    </w:p>
    <w:tbl>
      <w:tblPr>
        <w:tblStyle w:val="TableGrid"/>
        <w:tblW w:w="0" w:type="auto"/>
        <w:tblBorders>
          <w:top w:val="single" w:color="BDD7EE" w:sz="4"/>
          <w:bottom w:val="single" w:color="BDD7EE" w:sz="4"/>
          <w:left w:val="single" w:color="BDD7EE" w:sz="4"/>
          <w:right w:val="single" w:color="BDD7EE" w:sz="4"/>
          <w:insideH w:val="single" w:color="BDD7EE" w:sz="4"/>
          <w:insideV w:val="single" w:color="BDD7EE" w:sz="4"/>
        </w:tblBorders>
      </w:tblPr>
      <w:tr>
        <w:tc>
          <w:tcPr>
            <w:tcW w:w="3200" w:type="dxa"/>
            <w:shd w:val="clear" w:fill="2E75B6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Task</w:t>
            </w:r>
          </w:p>
        </w:tc>
        <w:tc>
          <w:tcPr>
            <w:tcW w:w="6600" w:type="dxa"/>
            <w:shd w:val="clear" w:fill="2E75B6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Description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CLI runner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Run one or all scenarios, with --out to emit the scaffold to a chosen folder.</w:t>
            </w:r>
          </w:p>
        </w:tc>
      </w:tr>
      <w:tr>
        <w:tc>
          <w:tcPr>
            <w:tcW w:w="32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Console report</w:t>
            </w:r>
          </w:p>
        </w:tc>
        <w:tc>
          <w:tcPr>
            <w:tcW w:w="66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Print the audit trail, decision lineage, stage outcomes, and metrics.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Artifact writer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Persist each run's artifacts to an output folder on disk.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rFonts w:ascii="Segoe UI" w:hAnsi="Segoe UI"/>
          <w:b/>
          <w:sz w:val="24"/>
          <w:color w:val="1F4E79"/>
        </w:rPr>
        <w:t xml:space="preserve">6. Testing</w:t>
      </w:r>
    </w:p>
    <w:tbl>
      <w:tblPr>
        <w:tblStyle w:val="TableGrid"/>
        <w:tblW w:w="0" w:type="auto"/>
        <w:tblBorders>
          <w:top w:val="single" w:color="BDD7EE" w:sz="4"/>
          <w:bottom w:val="single" w:color="BDD7EE" w:sz="4"/>
          <w:left w:val="single" w:color="BDD7EE" w:sz="4"/>
          <w:right w:val="single" w:color="BDD7EE" w:sz="4"/>
          <w:insideH w:val="single" w:color="BDD7EE" w:sz="4"/>
          <w:insideV w:val="single" w:color="BDD7EE" w:sz="4"/>
        </w:tblBorders>
      </w:tblPr>
      <w:tr>
        <w:tc>
          <w:tcPr>
            <w:tcW w:w="3200" w:type="dxa"/>
            <w:shd w:val="clear" w:fill="2E75B6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Task</w:t>
            </w:r>
          </w:p>
        </w:tc>
        <w:tc>
          <w:tcPr>
            <w:tcW w:w="6600" w:type="dxa"/>
            <w:shd w:val="clear" w:fill="2E75B6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Description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Core unit tests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Encoding, URL validation, shortening service, and counter allocation.</w:t>
            </w:r>
          </w:p>
        </w:tc>
      </w:tr>
      <w:tr>
        <w:tc>
          <w:tcPr>
            <w:tcW w:w="32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Engine tests</w:t>
            </w:r>
          </w:p>
        </w:tc>
        <w:tc>
          <w:tcPr>
            <w:tcW w:w="66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Graph, gates, retry, rollback, approvals, re-plan, and parallelism.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API integration tests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In-process HTTP tests over the real API and MongoDB.</w:t>
            </w:r>
          </w:p>
        </w:tc>
      </w:tr>
    </w:tbl>
    <w:p>
      <w:pPr>
        <w:spacing w:after="60"/>
      </w:pPr>
    </w:p>
    <w:p>
      <w:pPr>
        <w:spacing w:before="200" w:after="60"/>
      </w:pPr>
      <w:r>
        <w:rPr>
          <w:rFonts w:ascii="Segoe UI" w:hAnsi="Segoe UI"/>
          <w:b/>
          <w:sz w:val="24"/>
          <w:color w:val="1F4E79"/>
        </w:rPr>
        <w:t xml:space="preserve">7. Deliverables and Documentation</w:t>
      </w:r>
    </w:p>
    <w:tbl>
      <w:tblPr>
        <w:tblStyle w:val="TableGrid"/>
        <w:tblW w:w="0" w:type="auto"/>
        <w:tblBorders>
          <w:top w:val="single" w:color="BDD7EE" w:sz="4"/>
          <w:bottom w:val="single" w:color="BDD7EE" w:sz="4"/>
          <w:left w:val="single" w:color="BDD7EE" w:sz="4"/>
          <w:right w:val="single" w:color="BDD7EE" w:sz="4"/>
          <w:insideH w:val="single" w:color="BDD7EE" w:sz="4"/>
          <w:insideV w:val="single" w:color="BDD7EE" w:sz="4"/>
        </w:tblBorders>
      </w:tblPr>
      <w:tr>
        <w:tc>
          <w:tcPr>
            <w:tcW w:w="3200" w:type="dxa"/>
            <w:shd w:val="clear" w:fill="2E75B6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Task</w:t>
            </w:r>
          </w:p>
        </w:tc>
        <w:tc>
          <w:tcPr>
            <w:tcW w:w="6600" w:type="dxa"/>
            <w:shd w:val="clear" w:fill="2E75B6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Description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README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Overview, project layout, setup, API reference, and trade-offs.</w:t>
            </w:r>
          </w:p>
        </w:tc>
      </w:tr>
      <w:tr>
        <w:tc>
          <w:tcPr>
            <w:tcW w:w="32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Architecture doc</w:t>
            </w:r>
          </w:p>
        </w:tc>
        <w:tc>
          <w:tcPr>
            <w:tcW w:w="66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Components, orchestration model, control flow, and key decisions.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Scenarios doc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Walkthrough of the three scenarios with expected results.</w:t>
            </w:r>
          </w:p>
        </w:tc>
      </w:tr>
      <w:tr>
        <w:tc>
          <w:tcPr>
            <w:tcW w:w="32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Setup doc</w:t>
            </w:r>
          </w:p>
        </w:tc>
        <w:tc>
          <w:tcPr>
            <w:tcW w:w="66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Step-by-step prerequisites, build, test, and run instructions.</w:t>
            </w:r>
          </w:p>
        </w:tc>
      </w:tr>
      <w:tr>
        <w:tc>
          <w:tcPr>
            <w:tcW w:w="32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Demo guide</w:t>
            </w:r>
          </w:p>
        </w:tc>
        <w:tc>
          <w:tcPr>
            <w:tcW w:w="6600" w:type="dxa"/>
            <w:shd w:val="clear" w:fill="FFFFFF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Presenter script and validation checklist for the demo.</w:t>
            </w:r>
          </w:p>
        </w:tc>
      </w:tr>
      <w:tr>
        <w:tc>
          <w:tcPr>
            <w:tcW w:w="32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1F4E79"/>
              </w:rPr>
              <w:t xml:space="preserve">Project scaffold (.md)</w:t>
            </w:r>
          </w:p>
        </w:tc>
        <w:tc>
          <w:tcPr>
            <w:tcW w:w="6600" w:type="dxa"/>
            <w:shd w:val="clear" w:fill="F2F7FC"/>
            <w:vAlign w:val="center"/>
            <w:tcMar>
              <w:top w:w="50" w:type="dxa"/>
              <w:bottom w:w="5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Runnable script that regenerates a compiling, tested URL shortener.</w:t>
            </w:r>
          </w:p>
        </w:tc>
      </w:tr>
    </w:tbl>
    <w:p>
      <w:pPr>
        <w:spacing w:after="60"/>
      </w:pPr>
    </w:p>
  </w:body>
</w:document>
</file>