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00"/>
      </w:pPr>
      <w:r>
        <w:rPr>
          <w:rFonts w:ascii="Arial" w:hAnsi="Arial"/>
          <w:b/>
          <w:color w:val="1D7E84"/>
          <w:sz w:val="22"/>
        </w:rPr>
        <w:t>ANNEX A</w:t>
      </w:r>
    </w:p>
    <w:p>
      <w:pPr>
        <w:spacing w:after="100"/>
      </w:pPr>
      <w:r>
        <w:rPr>
          <w:rFonts w:ascii="Arial" w:hAnsi="Arial"/>
          <w:b/>
          <w:color w:val="153452"/>
          <w:sz w:val="48"/>
        </w:rPr>
        <w:t>IMPLEMENTATION ARTIFACTS</w:t>
      </w:r>
    </w:p>
    <w:p>
      <w:pPr>
        <w:spacing w:after="320"/>
      </w:pPr>
      <w:r>
        <w:rPr>
          <w:rFonts w:ascii="Arial" w:hAnsi="Arial"/>
          <w:color w:val="5C6874"/>
          <w:sz w:val="24"/>
        </w:rPr>
        <w:t>Companion to A.L.F.R.E.D. v4 — Final Product Blueprint and Product Requirements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88"/>
        <w:gridCol w:w="7272"/>
      </w:tblGrid>
      <w:tr>
        <w:trPr>
          <w:trHeight w:hRule="auto"/>
          <w:tblHeader w:val="true"/>
        </w:trPr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VALUE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Document type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Additive implementation annex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Issued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2026-08-01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Source authority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A.L.F.R.E.D. v4, by section and literal FR/NFR ID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Conservation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201 capability rows • 179 requirement families • 181 literal IDs • 29 numbered sections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Mutation status</w:t>
            </w:r>
          </w:p>
        </w:tc>
        <w:tc>
          <w:tcPr>
            <w:tcW w:type="dxa" w:w="72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v4 unchanged</w:t>
            </w:r>
          </w:p>
        </w:tc>
      </w:tr>
    </w:tbl>
    <w:p>
      <w:pPr>
        <w:shd w:fill="E7F4F3"/>
        <w:spacing w:before="100" w:after="140" w:line="259" w:lineRule="auto"/>
        <w:ind w:left="115" w:right="115"/>
      </w:pPr>
      <w:r>
        <w:rPr>
          <w:rFonts w:ascii="Arial" w:hAnsi="Arial"/>
          <w:b/>
          <w:color w:val="1D7E84"/>
          <w:sz w:val="16"/>
        </w:rPr>
        <w:t>SCOPE RULE</w:t>
        <w:br/>
      </w:r>
      <w:r>
        <w:rPr>
          <w:rFonts w:ascii="Arial" w:hAnsi="Arial"/>
          <w:color w:val="14202E"/>
          <w:sz w:val="18"/>
        </w:rPr>
        <w:t>This annex adds implementation artifacts only. It does not rewrite, reorganize, renumber, combine, or supersede v4. Any missing source fact is marked BLOCKED rather than invented.</w:t>
      </w:r>
    </w:p>
    <w:p>
      <w:r>
        <w:br w:type="page"/>
      </w:r>
    </w:p>
    <w:p>
      <w:pPr>
        <w:pStyle w:val="Heading1"/>
      </w:pPr>
      <w:r>
        <w:t>Contents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080"/>
        <w:gridCol w:w="3240"/>
        <w:gridCol w:w="5040"/>
      </w:tblGrid>
      <w:tr>
        <w:trPr>
          <w:trHeight w:hRule="auto"/>
          <w:tblHeader w:val="true"/>
        </w:trPr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Ref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50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Scope</w:t>
            </w:r>
          </w:p>
        </w:tc>
      </w:tr>
      <w:tr>
        <w:trPr>
          <w:trHeight w:hRule="auto"/>
        </w:trPr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Part 1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Coverage Index</w:t>
            </w:r>
          </w:p>
        </w:tc>
        <w:tc>
          <w:tcPr>
            <w:tcW w:type="dxa" w:w="50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v4 location / NEW / BLOCKED routing</w:t>
            </w:r>
          </w:p>
        </w:tc>
      </w:tr>
      <w:tr>
        <w:trPr>
          <w:trHeight w:hRule="auto"/>
        </w:trPr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A1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Version history</w:t>
            </w:r>
          </w:p>
        </w:tc>
        <w:tc>
          <w:tcPr>
            <w:tcW w:type="dxa" w:w="50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v2 → v3 → v4</w:t>
            </w:r>
          </w:p>
        </w:tc>
      </w:tr>
      <w:tr>
        <w:trPr>
          <w:trHeight w:hRule="auto"/>
        </w:trPr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A2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Entity relationship model</w:t>
            </w:r>
          </w:p>
        </w:tc>
        <w:tc>
          <w:tcPr>
            <w:tcW w:type="dxa" w:w="50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Mermaid; semantic cardinality</w:t>
            </w:r>
          </w:p>
        </w:tc>
      </w:tr>
      <w:tr>
        <w:trPr>
          <w:trHeight w:hRule="auto"/>
        </w:trPr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A3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System architecture</w:t>
            </w:r>
          </w:p>
        </w:tc>
        <w:tc>
          <w:tcPr>
            <w:tcW w:type="dxa" w:w="50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Mermaid</w:t>
            </w:r>
          </w:p>
        </w:tc>
      </w:tr>
      <w:tr>
        <w:trPr>
          <w:trHeight w:hRule="auto"/>
        </w:trPr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A4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Lifecycle state machines</w:t>
            </w:r>
          </w:p>
        </w:tc>
        <w:tc>
          <w:tcPr>
            <w:tcW w:type="dxa" w:w="50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Six Mermaid diagrams</w:t>
            </w:r>
          </w:p>
        </w:tc>
      </w:tr>
      <w:tr>
        <w:trPr>
          <w:trHeight w:hRule="auto"/>
        </w:trPr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A5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Use cases</w:t>
            </w:r>
          </w:p>
        </w:tc>
        <w:tc>
          <w:tcPr>
            <w:tcW w:type="dxa" w:w="50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Actors × UJ-01…09</w:t>
            </w:r>
          </w:p>
        </w:tc>
      </w:tr>
      <w:tr>
        <w:trPr>
          <w:trHeight w:hRule="auto"/>
        </w:trPr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A6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Edge cases</w:t>
            </w:r>
          </w:p>
        </w:tc>
        <w:tc>
          <w:tcPr>
            <w:tcW w:type="dxa" w:w="50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Consolidated enforcement catalogue</w:t>
            </w:r>
          </w:p>
        </w:tc>
      </w:tr>
      <w:tr>
        <w:trPr>
          <w:trHeight w:hRule="auto"/>
        </w:trPr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A7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Error handling</w:t>
            </w:r>
          </w:p>
        </w:tc>
        <w:tc>
          <w:tcPr>
            <w:tcW w:type="dxa" w:w="50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Stable-class taxonomy</w:t>
            </w:r>
          </w:p>
        </w:tc>
      </w:tr>
      <w:tr>
        <w:trPr>
          <w:trHeight w:hRule="auto"/>
        </w:trPr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A8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Requirements traceability</w:t>
            </w:r>
          </w:p>
        </w:tc>
        <w:tc>
          <w:tcPr>
            <w:tcW w:type="dxa" w:w="50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All 181 literal IDs</w:t>
            </w:r>
          </w:p>
        </w:tc>
      </w:tr>
      <w:tr>
        <w:trPr>
          <w:trHeight w:hRule="auto"/>
        </w:trPr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A9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Core data dictionary</w:t>
            </w:r>
          </w:p>
        </w:tc>
        <w:tc>
          <w:tcPr>
            <w:tcW w:type="dxa" w:w="50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Eight specified objects only</w:t>
            </w:r>
          </w:p>
        </w:tc>
      </w:tr>
      <w:tr>
        <w:trPr>
          <w:trHeight w:hRule="auto"/>
        </w:trPr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A10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Layout specifications</w:t>
            </w:r>
          </w:p>
        </w:tc>
        <w:tc>
          <w:tcPr>
            <w:tcW w:type="dxa" w:w="50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Three surfaces + seven cockpit tabs</w:t>
            </w:r>
          </w:p>
        </w:tc>
      </w:tr>
      <w:tr>
        <w:trPr>
          <w:trHeight w:hRule="auto"/>
        </w:trPr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A11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Component inventory</w:t>
            </w:r>
          </w:p>
        </w:tc>
        <w:tc>
          <w:tcPr>
            <w:tcW w:type="dxa" w:w="50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Names/behavior only</w:t>
            </w:r>
          </w:p>
        </w:tc>
      </w:tr>
      <w:tr>
        <w:trPr>
          <w:trHeight w:hRule="auto"/>
        </w:trPr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A12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Hypothesis user profiles</w:t>
            </w:r>
          </w:p>
        </w:tc>
        <w:tc>
          <w:tcPr>
            <w:tcW w:type="dxa" w:w="50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UNVALIDATED</w:t>
            </w:r>
          </w:p>
        </w:tc>
      </w:tr>
      <w:tr>
        <w:trPr>
          <w:trHeight w:hRule="auto"/>
        </w:trPr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Part 3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Blocked artifacts</w:t>
            </w:r>
          </w:p>
        </w:tc>
        <w:tc>
          <w:tcPr>
            <w:tcW w:type="dxa" w:w="50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7"/>
              </w:rPr>
              <w:t>Reasons and unblock conditions</w:t>
            </w:r>
          </w:p>
        </w:tc>
      </w:tr>
    </w:tbl>
    <w:p>
      <w:pPr>
        <w:spacing w:after="0"/>
      </w:pPr>
    </w:p>
    <w:p>
      <w:pPr>
        <w:shd w:fill="F3F5F7"/>
        <w:spacing w:before="100" w:after="140" w:line="259" w:lineRule="auto"/>
        <w:ind w:left="115" w:right="115"/>
      </w:pPr>
      <w:r>
        <w:rPr>
          <w:rFonts w:ascii="Arial" w:hAnsi="Arial"/>
          <w:b/>
          <w:color w:val="1D7E84"/>
          <w:sz w:val="16"/>
        </w:rPr>
        <w:t>NOTATION</w:t>
        <w:br/>
      </w:r>
      <w:r>
        <w:rPr>
          <w:rFonts w:ascii="Arial" w:hAnsi="Arial"/>
          <w:color w:val="14202E"/>
          <w:sz w:val="18"/>
        </w:rPr>
        <w:t>[I] means immutable once the stated lifecycle boundary is reached. BLOCKED means v4 does not supply the fact needed to complete that portion.</w:t>
      </w:r>
    </w:p>
    <w:p>
      <w:r>
        <w:br w:type="page"/>
      </w:r>
    </w:p>
    <w:p>
      <w:pPr>
        <w:pStyle w:val="Heading1"/>
      </w:pPr>
      <w:r>
        <w:t>PART 1 — COVERAGE INDEX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520"/>
        <w:gridCol w:w="1655"/>
        <w:gridCol w:w="5184"/>
      </w:tblGrid>
      <w:tr>
        <w:trPr>
          <w:trHeight w:hRule="auto"/>
          <w:tblHeader w:val="true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Requested item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Coverage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v4 location or annex disposition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Version History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NEW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A1; derived from v4 front matter, §2, and the unnumbered C1–C10 audit-history appendix.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Executive Summary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IN v4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§1 and §26.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Success Metrics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IN v4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§24, including the corrected supersession metrics.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Core Objectives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IN v4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§12.2 (G-01…G-10).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Stakeholder Directory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BLOCKED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Part 3; §28 is not supplied.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User Personas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NEW / LIMITED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A12 converts §12.3 only into UNVALIDATED hypothesis profiles; no validated personas are claimed.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Epics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IN v4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§5 capability pillars and §16 Work Packs are the existing scope groupings; no parallel epic hierarchy is introduced.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User Stories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IN v4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§12.4 jobs-to-be-done and §13 UJ-01…09.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Acceptance Criteria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IN v4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§13 journey acceptance, §16.2 pack acceptance, FR acceptance/evaluation IDs, and §22.2–22.3.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User Journey Flowcharts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IN v4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§3.3 universal execution flow plus §13 stepwise journeys.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Use Case Diagrams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NEW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A5.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Feature Matrix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IN v4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§5, 201 rows including the explicit Reject row.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Edge Cases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NEW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A6.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Error Handling Logic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NEW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A7; endpoint-level codes remain blocked.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ERD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NEW / PARTIAL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A2; semantic relationships shown, unspecified physical cardinalities marked BLOCKED.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Data Dictionary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NEW / PARTIAL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A9; logical fields only, unspecified physical storage types marked BLOCKED.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System Architecture Diagram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NEW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A3.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Technology Stack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IN v4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§10.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API Specifications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PARTIAL / BLOCKED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§19.5 gives contract principles; full endpoints are blocked in Part 3.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Third-Party Integrations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IN v4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§20.1–20.2.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State Machine Diagrams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NEW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A4.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Wireframes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NEW / TEXT ONLY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A10 supplies structured layout specifications, not image wireframes.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Component Library Reference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NEW / NAMES ONLY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A11; no UI library selection or code.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Design Links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BLOCKED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Part 3.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UI Assets Checklist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BLOCKED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Part 3.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Prototype Links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BLOCKED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Part 3.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Security Standards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IN v4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§18; NFR-SEC-001…006, NFR-PRV-001…003; §22.3.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Authentication Methods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PARTIAL IN v4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NFR-SEC-003 and FR-SAA-005/009 name password/session/MFA/recovery and API-key/service-account controls; protocols are not selected.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Performance Benchmarks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IN v4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NFR-PERF-001…006.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Scalability Targets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PARTIAL / BLOCKED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NFR-REL-001…006; targets beyond these require load data (Part 3).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Compliance &amp; Regulations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PARTIAL / BLOCKED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§12.6, §18.1 A5, NFR-PRV; HIPAA is excluded/blocked in Part 3.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Localization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IN v4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NFR-UX-004…005.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Browser Compatibility Matrix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IN v4</w:t>
            </w:r>
          </w:p>
        </w:tc>
        <w:tc>
          <w:tcPr>
            <w:tcW w:type="dxa" w:w="51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NFR-UX-002 (current and previous major Chrome, Edge, Firefox, Safari releases).</w:t>
            </w:r>
          </w:p>
        </w:tc>
      </w:tr>
    </w:tbl>
    <w:p>
      <w:pPr>
        <w:spacing w:after="0"/>
      </w:pPr>
    </w:p>
    <w:p>
      <w:pPr>
        <w:pStyle w:val="SourceNote"/>
      </w:pPr>
      <w:r>
        <w:t>Source: v4 §§1, 3, 5, 10, 12–13, 16–24, 27–28; applicable literal IDs cited above.</w:t>
      </w:r>
    </w:p>
    <w:p>
      <w:pPr>
        <w:pStyle w:val="Heading1"/>
      </w:pPr>
      <w:r>
        <w:t>A1 — VERSION HISTORY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36"/>
        <w:gridCol w:w="3096"/>
        <w:gridCol w:w="3671"/>
        <w:gridCol w:w="1655"/>
      </w:tblGrid>
      <w:tr>
        <w:trPr>
          <w:trHeight w:hRule="auto"/>
          <w:tblHeader w:val="true"/>
        </w:trPr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Version</w:t>
            </w:r>
          </w:p>
        </w:tc>
        <w:tc>
          <w:tcPr>
            <w:tcW w:type="dxa" w:w="30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What changed</w:t>
            </w:r>
          </w:p>
        </w:tc>
        <w:tc>
          <w:tcPr>
            <w:tcW w:type="dxa" w:w="36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What it superseded / retained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Source</w:t>
            </w:r>
          </w:p>
        </w:tc>
      </w:tr>
      <w:tr>
        <w:trPr>
          <w:trHeight w:hRule="auto"/>
        </w:trPr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v2</w:t>
            </w:r>
          </w:p>
        </w:tc>
        <w:tc>
          <w:tcPr>
            <w:tcW w:type="dxa" w:w="30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Governed multi-model execution blueprint tied closely to the verified modular-monolith repository; creative/voice were provider-routed and deferred rather than product identity.</w:t>
            </w:r>
          </w:p>
        </w:tc>
        <w:tc>
          <w:tcPr>
            <w:tcW w:type="dxa" w:w="36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Its product-direction portions and the conflicting lightweight SQLite/t3.micro document set are superseded. The verified repository remains implementation evidence.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v4 front matter; §2.1, §2.8, §4</w:t>
            </w:r>
          </w:p>
        </w:tc>
      </w:tr>
      <w:tr>
        <w:trPr>
          <w:trHeight w:hRule="auto"/>
        </w:trPr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v3</w:t>
            </w:r>
          </w:p>
        </w:tc>
        <w:tc>
          <w:tcPr>
            <w:tcW w:type="dxa" w:w="30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Reframed the product as a Governed Universal AI Work OS with an Autonomous AI Company, 17 capability pillars, the PRD, journeys, release plan, and 138 FR families plus 41 NFR families.</w:t>
            </w:r>
          </w:p>
        </w:tc>
        <w:tc>
          <w:tcPr>
            <w:tcW w:type="dxa" w:w="36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Superseded by v4 for product scope, semantics, requirements, and acceptance; retained as historical record only.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v4 front matter; §1–§26</w:t>
            </w:r>
          </w:p>
        </w:tc>
      </w:tr>
      <w:tr>
        <w:trPr>
          <w:trHeight w:hRule="auto"/>
        </w:trPr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v4</w:t>
            </w:r>
          </w:p>
        </w:tc>
        <w:tc>
          <w:tcPr>
            <w:tcW w:type="dxa" w:w="30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Applied C1–C10 and post-audit constraints: bounded Authority Grants, durable Effects, one executable FlowVersion, explicit lineage, honest replay language, unvalidated buyer status, permanent NLE boundary, governed-BYOK cost, successor Runs, and validated ArtifactVersion carry-forward.</w:t>
            </w:r>
          </w:p>
        </w:tc>
        <w:tc>
          <w:tcPr>
            <w:tcW w:type="dxa" w:w="36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Current product source of truth. Final conservation: 201 capability rows; 179 requirement families / 181 literal IDs; 29 numbered sections.</w:t>
            </w:r>
          </w:p>
        </w:tc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v4 front matter; §§0, 3, 14, 18–19, 22–24, 27–28; audit-history appendix</w:t>
            </w:r>
          </w:p>
        </w:tc>
      </w:tr>
    </w:tbl>
    <w:p>
      <w:pPr>
        <w:spacing w:after="0"/>
      </w:pPr>
    </w:p>
    <w:p>
      <w:pPr>
        <w:shd w:fill="F3F5F7"/>
        <w:spacing w:before="100" w:after="140" w:line="259" w:lineRule="auto"/>
        <w:ind w:left="115" w:right="115"/>
      </w:pPr>
      <w:r>
        <w:rPr>
          <w:rFonts w:ascii="Arial" w:hAnsi="Arial"/>
          <w:b/>
          <w:color w:val="1D7E84"/>
          <w:sz w:val="16"/>
        </w:rPr>
        <w:t>SUPERSESSION BOUNDARY</w:t>
        <w:br/>
      </w:r>
      <w:r>
        <w:rPr>
          <w:rFonts w:ascii="Arial" w:hAnsi="Arial"/>
          <w:color w:val="14202E"/>
          <w:sz w:val="18"/>
        </w:rPr>
        <w:t>This history describes document authority only. Executable repository evidence continues to override any unsupported Built claim, exactly as v4’s decision hierarchy requires.</w:t>
      </w:r>
    </w:p>
    <w:p>
      <w:pPr>
        <w:pStyle w:val="Heading1"/>
      </w:pPr>
      <w:r>
        <w:t>A2 — ERD (MERMAID)</w:t>
      </w:r>
    </w:p>
    <w:p>
      <w:pPr>
        <w:shd w:fill="FFF1E6"/>
        <w:spacing w:before="100" w:after="140" w:line="259" w:lineRule="auto"/>
        <w:ind w:left="115" w:right="115"/>
      </w:pPr>
      <w:r>
        <w:rPr>
          <w:rFonts w:ascii="Arial" w:hAnsi="Arial"/>
          <w:b/>
          <w:color w:val="1D7E84"/>
          <w:sz w:val="16"/>
        </w:rPr>
        <w:t>DERIVATION BOUNDARY</w:t>
        <w:br/>
      </w:r>
      <w:r>
        <w:rPr>
          <w:rFonts w:ascii="Arial" w:hAnsi="Arial"/>
          <w:color w:val="14202E"/>
          <w:sz w:val="18"/>
        </w:rPr>
        <w:t>The three Mermaid views are one semantic ERD split for legibility. Every named entity is a §19.1 durable object or typed ArtifactVersion record. Only cardinalities implied by v4 are asserted. Physical foreign keys, delete rules, and several peripheral cardinalities are BLOCKED until the Phase 1 kernel schema is implemented.</w:t>
      </w:r>
    </w:p>
    <w:p>
      <w:pPr>
        <w:pStyle w:val="Heading2"/>
      </w:pPr>
      <w:r>
        <w:t>A2.1 Core lineage, authority, and successor execution</w:t>
      </w:r>
    </w:p>
    <w:p>
      <w:pPr>
        <w:shd w:fill="F1F3F5"/>
        <w:spacing w:before="60" w:after="100" w:lineRule="exact" w:line="170"/>
        <w:ind w:left="115" w:right="115"/>
      </w:pPr>
      <w:r>
        <w:rPr>
          <w:rFonts w:ascii="Liberation Mono" w:hAnsi="Liberation Mono"/>
          <w:color w:val="14202E"/>
          <w:sz w:val="14"/>
        </w:rPr>
        <w:t>erDiagram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WORKSPACE ||--o{ MISSION : "contains"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MISSION ||--o{ RUN : "execution attempts"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MISSION ||--o{ ARTIFACT : "owns inputs and outputs"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ARTIFACT ||--|{ ARTIFACT_VERSION : "has immutable versions [I]"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ARTIFACT_VERSION ||--o| WORK_CONTRACT : "typed as"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ARTIFACT_VERSION ||--o| PLAN_PROJECTION : "typed as"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ARTIFACT_VERSION ||--o| ASSUMPTION : "typed as"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ARTIFACT_VERSION ||--o| RISK : "typed as"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ARTIFACT_VERSION ||--o| DECISION : "typed as"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ARTIFACT_VERSION ||--o| EVIDENCE : "typed as"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ARTIFACT_VERSION ||--o| EVALUATION_RESULT : "typed as"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ARTIFACT_VERSION ||--o| MEMORY_RECORD : "typed as"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ARTIFACT_VERSION ||--o| MEDIA_ASSET : "typed as"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FLOW_VERSION ||--o{ RUN : "exact snapshot [I at Run start]"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WORK_CONTRACT ||--o{ RUN : "approved start or overlay version [I]"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RUN o|--o| RUN : "predecessor / successor link [I once set]"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RUN }o--o{ ARTIFACT_VERSION : "declared inputs and produced outputs"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RUN ||--o{ EFFECT : "origin causal path [I]"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RUN }o--o{ EFFECT : "successor references existing Effect identity [I]"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AUTHORITY_GRANT }o--o{ RUN : "frozen effective references [I]"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AUTHORITY_GRANT ||--o{ EFFECT : "authorizes exact action identity [I]"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MISSION ||--o{ MISSION_CHANGE_PROPOSAL : "governed changes"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RUN ||--o{ MISSION_CHANGE_PROPOSAL : "originating Run"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MISSION_CHANGE_PROPOSAL o|--o| RUN : "approved restrictive successor"</w:t>
      </w:r>
      <w:r>
        <w:br/>
      </w:r>
      <w:r>
        <w:rPr>
          <w:rFonts w:ascii="Liberation Mono" w:hAnsi="Liberation Mono"/>
          <w:color w:val="14202E"/>
          <w:sz w:val="14"/>
        </w:rPr>
      </w:r>
      <w:r>
        <w:br/>
      </w:r>
      <w:r>
        <w:rPr>
          <w:rFonts w:ascii="Liberation Mono" w:hAnsi="Liberation Mono"/>
          <w:color w:val="14202E"/>
          <w:sz w:val="14"/>
        </w:rPr>
        <w:t xml:space="preserve">  MISSION {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id mission_id PK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id workspace_id FK "[I]"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}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WORK_CONTRACT {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id artifact_version_id PK "typed ArtifactVersion [I]"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id mission_id FK "[I]"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}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FLOW_VERSION {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id flow_version_id PK "published/run referenced [I]"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}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RUN {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id run_id PK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id mission_id FK "[I]"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id flow_version_id FK "[I]"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id predecessor_run_id FK "optional [I]"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}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ARTIFACT_VERSION {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id artifact_version_id PK "[I]"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id artifact_id FK "[I]"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}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AUTHORITY_GRANT {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id authority_grant_id PK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string bounded_action_identity "[I once issued]"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}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EFFECT {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id effect_id PK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string idempotency_identity "[I once prepared]"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}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MISSION_CHANGE_PROPOSAL {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id proposal_id PK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string materiality_path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}</w:t>
      </w:r>
    </w:p>
    <w:p>
      <w:pPr>
        <w:pStyle w:val="SourceNote"/>
      </w:pPr>
      <w:r>
        <w:t>Source: v4 §§3.2, 18.2–18.3, 19.1–19.4; FR-MIS-005/006b/006c, FR-RUN-001/004/005, FR-PLN-008.</w:t>
      </w:r>
    </w:p>
    <w:p>
      <w:pPr>
        <w:pStyle w:val="Heading2"/>
      </w:pPr>
      <w:r>
        <w:t>A2.2 Identity, definitions, deployment, and accountability</w:t>
      </w:r>
    </w:p>
    <w:p>
      <w:pPr>
        <w:shd w:fill="F1F3F5"/>
        <w:spacing w:before="60" w:after="100" w:lineRule="exact" w:line="170"/>
        <w:ind w:left="115" w:right="115"/>
      </w:pPr>
      <w:r>
        <w:rPr>
          <w:rFonts w:ascii="Liberation Mono" w:hAnsi="Liberation Mono"/>
          <w:color w:val="14202E"/>
          <w:sz w:val="14"/>
        </w:rPr>
        <w:t>erDiagram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WORKSPACE ||--o{ PRINCIPAL : "tenant-scoped identities"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PRINCIPAL ||--o{ MEMBERSHIP : "membership records"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WORKSPACE ||--o{ MEMBERSHIP : "membership records"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MEMBERSHIP ||--o{ ROLE_BINDING : "role bindings"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PRINCIPAL ||--o{ SESSION : "sessions"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FLOW_VERSION }o--o{ AGENT_VERSION : "references exact version [I]"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FLOW_VERSION }o--o{ SKILL_VERSION : "references exact version [I]"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FLOW_VERSION }o--o{ TOOL_DEFINITION_VERSION : "references exact version [I]"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WORK_PACK_VERSION }o--|| FLOW_VERSION : "compiles draft template into"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ORGANIZATION_TEMPLATE_VERSION ||--o{ MISSION_ORGANIZATION_VERSION : "proposal basis"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MISSION_ORGANIZATION_VERSION }o--|| FLOW_VERSION : "governance bindings over [I at Run]"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MISSION_ORGANIZATION_VERSION ||--o{ ASSIGNMENT : "accountability bindings"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ASSIGNMENT ||--o{ HANDOFF : "typed handoffs"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ASSIGNMENT ||--o{ ESCALATION : "escalations"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POLICY_VERSION }o--o{ FLOW_VERSION : "frozen policy references [I]"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TOOL_CONNECTION }o--o{ TOOL_DEFINITION_VERSION : "connects capability"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DEPLOYMENT }o--|| FLOW_VERSION : "binds immutable executable version [I]"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APPROVAL_REQUEST o|--o| AUTHORITY_GRANT : "approval creates; denial creates none"</w:t>
      </w:r>
      <w:r>
        <w:br/>
      </w:r>
      <w:r>
        <w:rPr>
          <w:rFonts w:ascii="Liberation Mono" w:hAnsi="Liberation Mono"/>
          <w:color w:val="14202E"/>
          <w:sz w:val="14"/>
        </w:rPr>
      </w:r>
      <w:r>
        <w:br/>
      </w:r>
      <w:r>
        <w:rPr>
          <w:rFonts w:ascii="Liberation Mono" w:hAnsi="Liberation Mono"/>
          <w:color w:val="14202E"/>
          <w:sz w:val="14"/>
        </w:rPr>
        <w:t xml:space="preserve">  PRINCIPAL {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id principal_id PK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string kind "User ServiceAccount deployed-AI"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}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FLOW_VERSION {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id flow_version_id PK "sole executable definition"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}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AGENT_VERSION { id agent_version_id PK }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SKILL_VERSION { id skill_version_id PK }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TOOL_DEFINITION_VERSION { id tool_definition_version_id PK }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WORK_PACK_VERSION { id work_pack_version_id PK }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ORGANIZATION_TEMPLATE_VERSION { id organization_template_version_id PK }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MISSION_ORGANIZATION_VERSION { id mission_organization_version_id PK }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POLICY_VERSION { id policy_version_id PK }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DEPLOYMENT { id deployment_id PK }</w:t>
      </w:r>
    </w:p>
    <w:p>
      <w:pPr>
        <w:pStyle w:val="SourceNote"/>
      </w:pPr>
      <w:r>
        <w:t>Source: v4 §§3.2, 15.2, 18.3, 19.1; FR-PLN-003, FR-AGT-005, FR-FLW-002/009, FR-CMP-004/010, FR-AUT-001.</w:t>
      </w:r>
    </w:p>
    <w:p>
      <w:pPr>
        <w:pStyle w:val="Heading2"/>
      </w:pPr>
      <w:r>
        <w:t>A2.3 Execution support, retrieval, and operations</w:t>
      </w:r>
    </w:p>
    <w:p>
      <w:pPr>
        <w:shd w:fill="F1F3F5"/>
        <w:spacing w:before="60" w:after="100" w:lineRule="exact" w:line="170"/>
        <w:ind w:left="115" w:right="115"/>
      </w:pPr>
      <w:r>
        <w:rPr>
          <w:rFonts w:ascii="Liberation Mono" w:hAnsi="Liberation Mono"/>
          <w:color w:val="14202E"/>
          <w:sz w:val="14"/>
        </w:rPr>
        <w:t>erDiagram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RUN ||--o{ RUN_SNAPSHOT : "durable snapshots"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RUN ||--o{ NODE_EXECUTION : "node attempts"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RUN ||--|{ RUN_EVENT : "ordered canonical events"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RUN ||--o{ LEASE : "worker leases"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RUN ||--o{ HUMAN_INPUT_REQUEST : "waiting input"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SCHEDULE ||--o{ TRIGGER_EVENT : "emits"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TRIGGER_EVENT o|--o| RUN : "starts at most one deduplicated Run"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KNOWLEDGE_BASE ||--o{ SOURCE_ARTIFACT_VERSION : "authorized sources"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SOURCE_ARTIFACT_VERSION ||--o{ INGESTION_JOB : "ingested by"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INGESTION_JOB ||--o{ CHUNK_INDEX_REFERENCE : "creates references"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KNOWLEDGE_BASE ||--o{ RETRIEVAL_EVENT : "records retrieval"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BUDGET ||--o{ RESERVATION : "atomic reservations"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RUN ||--o{ USAGE_EVENT : "usage records"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PRICING_SNAPSHOT ||--o{ USAGE_EVENT : "prices usage [I]"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WORKSPACE ||--o{ INVOICE_ENTITLEMENT : "commercial records"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WORKSPACE ||--o{ NOTIFICATION : "notifications"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WORKSPACE ||--o{ AUDIT_EVENT : "append-only audit"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WORKSPACE ||--o{ INCIDENT : "incidents"</w:t>
      </w:r>
      <w:r>
        <w:br/>
      </w:r>
      <w:r>
        <w:rPr>
          <w:rFonts w:ascii="Liberation Mono" w:hAnsi="Liberation Mono"/>
          <w:color w:val="14202E"/>
          <w:sz w:val="14"/>
        </w:rPr>
      </w:r>
      <w:r>
        <w:br/>
      </w:r>
      <w:r>
        <w:rPr>
          <w:rFonts w:ascii="Liberation Mono" w:hAnsi="Liberation Mono"/>
          <w:color w:val="14202E"/>
          <w:sz w:val="14"/>
        </w:rPr>
        <w:t xml:space="preserve">  RUN_EVENT {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int sequence "ordered [I]"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id workspace_id FK "[I]"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id principal_id FK "[I]"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}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SOURCE_ARTIFACT_VERSION { id artifact_version_id FK "immutable source" }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CHUNK_INDEX_REFERENCE { id index_reference_id PK }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PRICING_SNAPSHOT { id pricing_snapshot_id PK "[I]" }</w:t>
      </w:r>
    </w:p>
    <w:p>
      <w:pPr>
        <w:pStyle w:val="SourceNote"/>
      </w:pPr>
      <w:r>
        <w:t>Source: v4 §19.1 and §19.4; FR-RUN-007/009/010, FR-KNW-001–010, FR-AUT-002–004, NFR-CST-002/003, NFR-OBS-001.</w:t>
      </w:r>
    </w:p>
    <w:p>
      <w:pPr>
        <w:shd w:fill="FFF1E6"/>
        <w:spacing w:before="100" w:after="140" w:line="259" w:lineRule="auto"/>
        <w:ind w:left="115" w:right="115"/>
      </w:pPr>
      <w:r>
        <w:rPr>
          <w:rFonts w:ascii="Arial" w:hAnsi="Arial"/>
          <w:b/>
          <w:color w:val="1D7E84"/>
          <w:sz w:val="16"/>
        </w:rPr>
        <w:t>BLOCKED — PHYSICAL MODEL</w:t>
        <w:br/>
      </w:r>
      <w:r>
        <w:rPr>
          <w:rFonts w:ascii="Arial" w:hAnsi="Arial"/>
          <w:color w:val="14202E"/>
          <w:sz w:val="18"/>
        </w:rPr>
        <w:t>v4 does not specify database scalar types, required indexes, ownership keys for every peripheral record, whether all self-links are one-to-one chains, or complete cascade behavior. A2 must not be used as a migration schema until those Phase 1 decisions exist.</w:t>
      </w:r>
    </w:p>
    <w:p>
      <w:pPr>
        <w:pStyle w:val="Heading1"/>
      </w:pPr>
      <w:r>
        <w:t>A3 — SYSTEM ARCHITECTURE (MERMAID)</w:t>
      </w:r>
    </w:p>
    <w:p>
      <w:pPr>
        <w:shd w:fill="F1F3F5"/>
        <w:spacing w:before="60" w:after="100" w:lineRule="exact" w:line="170"/>
        <w:ind w:left="115" w:right="115"/>
      </w:pPr>
      <w:r>
        <w:rPr>
          <w:rFonts w:ascii="Liberation Mono" w:hAnsi="Liberation Mono"/>
          <w:color w:val="14202E"/>
          <w:sz w:val="14"/>
        </w:rPr>
        <w:t>flowchart TB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subgraph MONO["One repository • modular monolith"]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WEB["Web deployable role\nNext.js UX"]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subgraph API["API deployable role\nNestJS / Fastify control plane"]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  ORG["Organization Orchestrator\ninside the monolith"]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  CTRL["Auth • CRUD • orchestration APIs"]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end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subgraph WORKERS["Workers deployable role"]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  WF["Workflow • tool • knowledge • evaluation queues"]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  CODE["Isolated code workers"]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  BROWSER["Isolated browser workers"]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  RENDER["Isolated render/media workers"]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end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end</w:t>
      </w:r>
      <w:r>
        <w:br/>
      </w:r>
      <w:r>
        <w:rPr>
          <w:rFonts w:ascii="Liberation Mono" w:hAnsi="Liberation Mono"/>
          <w:color w:val="14202E"/>
          <w:sz w:val="14"/>
        </w:rPr>
      </w:r>
      <w:r>
        <w:br/>
      </w:r>
      <w:r>
        <w:rPr>
          <w:rFonts w:ascii="Liberation Mono" w:hAnsi="Liberation Mono"/>
          <w:color w:val="14202E"/>
          <w:sz w:val="14"/>
        </w:rPr>
        <w:t xml:space="preserve">  WEB --&gt; CTRL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CTRL &lt;--&gt; ORG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ORG --&gt; WF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CTRL --&gt; MONGO[(MongoDB\ndurable state)]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CTRL --&gt; BULL[(Redis + BullMQ\nqueues • leases • cache)]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CTRL --&gt; STREAMS[(Redis Streams\nevent backplane)]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WF --&gt; BULL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WF --&gt; STREAMS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WF --&gt; OBJECT[(S3-compatible object storage)]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WF --&gt; VECTOR[(Atlas Vector Search or Qdrant\nretrieval interface)]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WF --&gt; ADAPTERS["Capability-specific provider adapters"]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CODE --&gt; ADAPTERS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BROWSER --&gt; ADAPTERS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RENDER --&gt; ADAPTERS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ADAPTERS --&gt; PROVIDERS["External LLM • retrieval • image • video • speech • music • publishing providers"]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CTRL -. telemetry .-&gt; OTEL["OpenTelemetry observability"]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WORKERS -. telemetry .-&gt; OTEL</w:t>
      </w:r>
    </w:p>
    <w:p>
      <w:pPr>
        <w:pStyle w:val="SourceNote"/>
      </w:pPr>
      <w:r>
        <w:t>Source: v4 §10; provider boundaries in §20.2; worker isolation in NFR-SEC-005. The Organization Orchestrator is intentionally drawn inside the API/modular-monolith boundary.</w:t>
      </w:r>
    </w:p>
    <w:p>
      <w:pPr>
        <w:pStyle w:val="Heading1"/>
      </w:pPr>
      <w:r>
        <w:t>A4 — STATE MACHINES (MERMAID)</w:t>
      </w:r>
    </w:p>
    <w:p>
      <w:pPr>
        <w:pStyle w:val="Heading2"/>
      </w:pPr>
      <w:r>
        <w:t>A4.1 Mission</w:t>
      </w:r>
    </w:p>
    <w:p>
      <w:pPr>
        <w:shd w:fill="F1F3F5"/>
        <w:spacing w:before="60" w:after="100" w:lineRule="exact" w:line="170"/>
        <w:ind w:left="115" w:right="115"/>
      </w:pPr>
      <w:r>
        <w:rPr>
          <w:rFonts w:ascii="Liberation Mono" w:hAnsi="Liberation Mono"/>
          <w:color w:val="14202E"/>
          <w:sz w:val="14"/>
        </w:rPr>
        <w:t>stateDiagram-v2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[*] --&gt; Draft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Draft --&gt; Contracting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Contracting --&gt; Planned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Planned --&gt; AwaitingApproval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AwaitingApproval --&gt; Running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Running --&gt; WaitingForInput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Running --&gt; Blocked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Running --&gt; Paused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WaitingForInput --&gt; Running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Blocked --&gt; Running: unchanged resume + reauthorization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Paused --&gt; Running: unchanged resume + reauthorization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Running --&gt; Evaluating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Evaluating --&gt; AwaitingAcceptance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AwaitingAcceptance --&gt; Completed: declared gates pass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Running --&gt; Failed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Running --&gt; Cancelled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Failed --&gt; Archived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Cancelled --&gt; Archived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Completed --&gt; Archived</w:t>
      </w:r>
    </w:p>
    <w:p>
      <w:pPr>
        <w:pStyle w:val="SourceNote"/>
      </w:pPr>
      <w:r>
        <w:t>Source: v4 §19.2; FR-MIS-012.</w:t>
      </w:r>
    </w:p>
    <w:p>
      <w:pPr>
        <w:pStyle w:val="Heading2"/>
      </w:pPr>
      <w:r>
        <w:t>A4.2 Run, supersession, and successor linkage</w:t>
      </w:r>
    </w:p>
    <w:p>
      <w:pPr>
        <w:shd w:fill="F1F3F5"/>
        <w:spacing w:before="60" w:after="100" w:lineRule="exact" w:line="170"/>
        <w:ind w:left="115" w:right="115"/>
      </w:pPr>
      <w:r>
        <w:rPr>
          <w:rFonts w:ascii="Liberation Mono" w:hAnsi="Liberation Mono"/>
          <w:color w:val="14202E"/>
          <w:sz w:val="14"/>
        </w:rPr>
        <w:t>stateDiagram-v2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[*] --&gt; Running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Running --&gt; Waiting: approval / input / event / schedule / backoff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Waiting --&gt; Running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Running --&gt; Paused: pause command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Running --&gt; Blocked: policy / dependency / authority / budget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Paused --&gt; Running: unchanged checkpoint + command/Effect reauthorization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Blocked --&gt; Running: unchanged checkpoint + command/Effect reauthorization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Running --&gt; Completed: gates permitted by contract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Running --&gt; Failed: terminal execution failure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Running --&gt; Cancelled: stop or supersession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Failed --&gt; SuccessorRun: repair changes contract / FlowVersion / actors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Cancelled --&gt; SuccessorRun: termination_reason = superseded_by_change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Running --&gt; Running: approved strictly permissive overlay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state SuccessorRun {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[*] --&gt; RunningSuccessor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}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note right of SuccessorRun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predecessor_run_id is fixed once linked [I]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only validated ArtifactVersions and existing Effect identity carry forward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NodeExecution state never copies across FlowVersions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end note</w:t>
      </w:r>
    </w:p>
    <w:p>
      <w:pPr>
        <w:pStyle w:val="SourceNote"/>
      </w:pPr>
      <w:r>
        <w:t>Source: v4 §§19.2, 19.4; FR-MIS-006b/006c, FR-RUN-004/007/012, NFR-REL-002.</w:t>
      </w:r>
    </w:p>
    <w:p>
      <w:pPr>
        <w:pStyle w:val="Heading2"/>
      </w:pPr>
      <w:r>
        <w:t>A4.3 Assignment</w:t>
      </w:r>
    </w:p>
    <w:p>
      <w:pPr>
        <w:shd w:fill="F1F3F5"/>
        <w:spacing w:before="60" w:after="100" w:lineRule="exact" w:line="170"/>
        <w:ind w:left="115" w:right="115"/>
      </w:pPr>
      <w:r>
        <w:rPr>
          <w:rFonts w:ascii="Liberation Mono" w:hAnsi="Liberation Mono"/>
          <w:color w:val="14202E"/>
          <w:sz w:val="14"/>
        </w:rPr>
        <w:t>stateDiagram-v2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[*] --&gt; Proposed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Proposed --&gt; Ready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Ready --&gt; InProgress: accountable owner mandatory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InProgress --&gt; InReview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InReview --&gt; Accepted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InProgress --&gt; Blocked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InProgress --&gt; NeedsInput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InReview --&gt; Rework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Blocked --&gt; InProgress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NeedsInput --&gt; InProgress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Rework --&gt; InProgress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InProgress --&gt; Failed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InProgress --&gt; Cancelled</w:t>
      </w:r>
    </w:p>
    <w:p>
      <w:pPr>
        <w:pStyle w:val="SourceNote"/>
      </w:pPr>
      <w:r>
        <w:t>Source: v4 §19.3; FR-CMP-004/010.</w:t>
      </w:r>
    </w:p>
    <w:p>
      <w:pPr>
        <w:pStyle w:val="Heading2"/>
      </w:pPr>
      <w:r>
        <w:t>A4.4 Effect — seven states</w:t>
      </w:r>
    </w:p>
    <w:p>
      <w:pPr>
        <w:shd w:fill="F1F3F5"/>
        <w:spacing w:before="60" w:after="100" w:lineRule="exact" w:line="170"/>
        <w:ind w:left="115" w:right="115"/>
      </w:pPr>
      <w:r>
        <w:rPr>
          <w:rFonts w:ascii="Liberation Mono" w:hAnsi="Liberation Mono"/>
          <w:color w:val="14202E"/>
          <w:sz w:val="14"/>
        </w:rPr>
        <w:t>stateDiagram-v2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[*] --&gt; prepared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prepared --&gt; authorized: exact effective Authority Grant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authorized --&gt; attempted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attempted --&gt; confirmed: external outcome confirmed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attempted --&gt; uncertain: outcome cannot be proven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uncertain --&gt; reconciled: target state checked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confirmed --&gt; compensated: optional compensation succeeds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reconciled --&gt; compensated: optional compensation succeeds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note right of uncertain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overlapping retry and successor dispatch are blocked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until reconciliation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end note</w:t>
      </w:r>
    </w:p>
    <w:p>
      <w:pPr>
        <w:pStyle w:val="SourceNote"/>
      </w:pPr>
      <w:r>
        <w:t>Source: FR-RUN-005; FR-AUT-010; NFR-REL-003.</w:t>
      </w:r>
    </w:p>
    <w:p>
      <w:pPr>
        <w:pStyle w:val="Heading2"/>
      </w:pPr>
      <w:r>
        <w:t>A4.5 Authority Grant lifecycle</w:t>
      </w:r>
    </w:p>
    <w:p>
      <w:pPr>
        <w:shd w:fill="F1F3F5"/>
        <w:spacing w:before="60" w:after="100" w:lineRule="exact" w:line="170"/>
        <w:ind w:left="115" w:right="115"/>
      </w:pPr>
      <w:r>
        <w:rPr>
          <w:rFonts w:ascii="Liberation Mono" w:hAnsi="Liberation Mono"/>
          <w:color w:val="14202E"/>
          <w:sz w:val="14"/>
        </w:rPr>
        <w:t>stateDiagram-v2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[*] --&gt; ApprovalRequest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ApprovalRequest --&gt; NoGrant: denied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ApprovalRequest --&gt; ActiveBoundedGrant: approved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ActiveBoundedGrant --&gt; Expired: expiry reached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ActiveBoundedGrant --&gt; Revoked: explicit revoke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ActiveBoundedGrant --&gt; Exhausted: execution count used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ActiveBoundedGrant --&gt; Invalidated: actor / target / action / payload digest changes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Expired --&gt; NoFutureAuthorization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Revoked --&gt; NoFutureAuthorization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Exhausted --&gt; NoFutureAuthorization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Invalidated --&gt; NoFutureAuthorization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note right of NoFutureAuthorization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confirmed Effects remain historical facts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no prior Grant is inherited on resume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end note</w:t>
      </w:r>
    </w:p>
    <w:p>
      <w:pPr>
        <w:pStyle w:val="SourceNote"/>
      </w:pPr>
      <w:r>
        <w:t>Source: v4 §§18.2–18.3; FR-GOV-007/008/009.</w:t>
      </w:r>
    </w:p>
    <w:p>
      <w:pPr>
        <w:pStyle w:val="Heading2"/>
      </w:pPr>
      <w:r>
        <w:t>A4.6 MissionChangeProposal — restrictive and permissive paths</w:t>
      </w:r>
    </w:p>
    <w:p>
      <w:pPr>
        <w:shd w:fill="F1F3F5"/>
        <w:spacing w:before="60" w:after="100" w:lineRule="exact" w:line="170"/>
        <w:ind w:left="115" w:right="115"/>
      </w:pPr>
      <w:r>
        <w:rPr>
          <w:rFonts w:ascii="Liberation Mono" w:hAnsi="Liberation Mono"/>
          <w:color w:val="14202E"/>
          <w:sz w:val="14"/>
        </w:rPr>
        <w:t>stateDiagram-v2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[*] --&gt; Proposed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Proposed --&gt; MaterialityComputed: normalized fields + frozen policy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MaterialityComputed --&gt; RestrictiveOrSignatureChange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MaterialityComputed --&gt; StrictlyPermissive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RestrictiveOrSignatureChange --&gt; AwaitingApproval: pause at safe checkpoint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StrictlyPermissive --&gt; AwaitingApproval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AwaitingApproval --&gt; NoChange: not approved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AwaitingApproval --&gt; OldRunCancelled: approved restrictive path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OldRunCancelled --&gt; SuccessorVersionsPublished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SuccessorVersionsPublished --&gt; PredecessorLinkedSuccessorRun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AwaitingApproval --&gt; ApprovedOverlay: approved permissive path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ApprovedOverlay --&gt; SameRunContinues: FlowVersion unchanged</w:t>
      </w:r>
    </w:p>
    <w:p>
      <w:pPr>
        <w:pStyle w:val="SourceNote"/>
      </w:pPr>
      <w:r>
        <w:t>Source: FR-MIS-006a/006b/006c; v4 §19.4.</w:t>
      </w:r>
    </w:p>
    <w:p>
      <w:pPr>
        <w:shd w:fill="F3F5F7"/>
        <w:spacing w:before="100" w:after="140" w:line="259" w:lineRule="auto"/>
        <w:ind w:left="115" w:right="115"/>
      </w:pPr>
      <w:r>
        <w:rPr>
          <w:rFonts w:ascii="Arial" w:hAnsi="Arial"/>
          <w:b/>
          <w:color w:val="1D7E84"/>
          <w:sz w:val="16"/>
        </w:rPr>
        <w:t>STATE-NAME BOUNDARY</w:t>
        <w:br/>
      </w:r>
      <w:r>
        <w:rPr>
          <w:rFonts w:ascii="Arial" w:hAnsi="Arial"/>
          <w:color w:val="14202E"/>
          <w:sz w:val="18"/>
        </w:rPr>
        <w:t>Mission, Assignment, and Effect state names are explicit in v4. The Run diagram uses only states/conditions referenced by v4, but v4 does not publish a complete stored Run enum. Authority Grant and MissionChangeProposal use descriptive lifecycle conditions because their stored enum names are also not supplied.</w:t>
      </w:r>
    </w:p>
    <w:p>
      <w:pPr>
        <w:pStyle w:val="Heading1"/>
      </w:pPr>
      <w:r>
        <w:t>A5 — USE CASE DIAGRAM (MERMAID)</w:t>
      </w:r>
    </w:p>
    <w:p>
      <w:pPr>
        <w:shd w:fill="F1F3F5"/>
        <w:spacing w:before="60" w:after="100" w:lineRule="exact" w:line="170"/>
        <w:ind w:left="115" w:right="115"/>
      </w:pPr>
      <w:r>
        <w:rPr>
          <w:rFonts w:ascii="Liberation Mono" w:hAnsi="Liberation Mono"/>
          <w:color w:val="14202E"/>
          <w:sz w:val="14"/>
        </w:rPr>
        <w:t>flowchart TB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subgraph ACTORS["Actors"]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HO["Human Owner"]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BU["Builder"]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OP["Operator"]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AD["Admin"]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AI["AI Agent"]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SA["Service Account"]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end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subgraph CASES["Use cases derived from §13"]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U1(["UJ-01 Create and complete a Mission"])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U2(["UJ-02 Form and operate an AI company"])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U3(["UJ-03 Create and deploy a persistent Agent"])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U4(["UJ-04 Build a drag-and-drop agentic Flow"])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U5(["UJ-05 Create a recurring automation / AI employee"])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U6(["UJ-06 Idea to product or coding project"])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U7(["UJ-07 YouTube video or Instagram Reel"])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U8(["UJ-08 Novel or long-form writing"])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  U9(["UJ-09 Operate and audit the platform"])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end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HO --&gt; U1 &amp; U2 &amp; U3 &amp; U4 &amp; U5 &amp; U6 &amp; U7 &amp; U8 &amp; U9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BU --&gt; U3 &amp; U4 &amp; U5 &amp; U6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OP --&gt; U5 &amp; U9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AD --&gt; U9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AI --&gt; U1 &amp; U2 &amp; U3 &amp; U4 &amp; U5 &amp; U6 &amp; U7 &amp; U8</w:t>
      </w:r>
      <w:r>
        <w:br/>
      </w:r>
      <w:r>
        <w:rPr>
          <w:rFonts w:ascii="Liberation Mono" w:hAnsi="Liberation Mono"/>
          <w:color w:val="14202E"/>
          <w:sz w:val="14"/>
        </w:rPr>
        <w:t xml:space="preserve">  SA --&gt; U5 &amp; U9</w:t>
      </w:r>
    </w:p>
    <w:p>
      <w:pPr>
        <w:pStyle w:val="SourceNote"/>
      </w:pPr>
      <w:r>
        <w:t>Source: v4 §13 UJ-01…UJ-09; actor types/roles from §19.1 Principal and FR-SAA-002/005. Links mean participation or initiation, not authority inheritance.</w:t>
      </w:r>
    </w:p>
    <w:p>
      <w:pPr>
        <w:pStyle w:val="Heading1"/>
      </w:pPr>
      <w:r>
        <w:t>A6 — EDGE CASE CATALOGUE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800"/>
        <w:gridCol w:w="3671"/>
        <w:gridCol w:w="2376"/>
        <w:gridCol w:w="1512"/>
      </w:tblGrid>
      <w:tr>
        <w:trPr>
          <w:trHeight w:hRule="auto"/>
          <w:tblHeader w:val="true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36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Expected behavior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Enforcing source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Control mode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Crash mid-Effect</w:t>
            </w:r>
          </w:p>
        </w:tc>
        <w:tc>
          <w:tcPr>
            <w:tcW w:type="dxa" w:w="36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Recover from checkpoint; treat an unproven external outcome as uncertain; reconcile before any overlapping retry.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FR-RUN-005/009; NFR-REL-002/003/004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Structural + recovery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Provider timeout; outcome unknown</w:t>
            </w:r>
          </w:p>
        </w:tc>
        <w:tc>
          <w:tcPr>
            <w:tcW w:type="dxa" w:w="36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Do not classify as an ordinary failed call. Preserve the Effect as uncertain and reconcile target state before retry or successor dispatch.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FR-RUN-005; FR-AUT-010; NFR-REL-003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After fact, bounded structurally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Authority Grant expires mid-Run</w:t>
            </w:r>
          </w:p>
        </w:tc>
        <w:tc>
          <w:tcPr>
            <w:tcW w:type="dxa" w:w="36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Block future authorization at API/worker/pre-Effect boundaries. Do not erase already confirmed Effects.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FR-GOV-009; §18.3; NFR-SEC-006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Structural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Payload digest changes after approval</w:t>
            </w:r>
          </w:p>
        </w:tc>
        <w:tc>
          <w:tcPr>
            <w:tcW w:type="dxa" w:w="36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Invalidate the prior bounded Grant; the Effect cannot enter or remain authorized until a new exact approval/Grant exists.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FR-GOV-007/009; FR-TOL-009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Structural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Requirement change during uncancellable action</w:t>
            </w:r>
          </w:p>
        </w:tc>
        <w:tc>
          <w:tcPr>
            <w:tcW w:type="dxa" w:w="36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Pause new dispatch at the next safe checkpoint; allow non-cancellable work to settle; block overlap while its Effect is uncertain; use the successor path for restrictive/signature change.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FR-MIS-006b; §19.4; NFR-REL-002/003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Structural + settlement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Concurrent MissionChangeProposals</w:t>
            </w:r>
          </w:p>
        </w:tc>
        <w:tc>
          <w:tcPr>
            <w:tcW w:type="dxa" w:w="36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Use optimistic version checks; never silently merge normalized execution-signature changes. Exact winner/merge policy is BLOCKED because v4 does not define it.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FR-MIS-005/006a/006b; §19.5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Structural; policy detail BLOCKED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Missed scheduled Run</w:t>
            </w:r>
          </w:p>
        </w:tc>
        <w:tc>
          <w:tcPr>
            <w:tcW w:type="dxa" w:w="36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Reconciler applies the stored missed-run and concurrency policies; eligible backfill/re-run remains deduplicated and Effect-safe.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FR-RUN-009; FR-AUT-003/004/006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After fact, policy-bound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Revoked connector with active deployment</w:t>
            </w:r>
          </w:p>
        </w:tc>
        <w:tc>
          <w:tcPr>
            <w:tcW w:type="dxa" w:w="36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Stop future connector work, visibly block the dependent deployment, and suspend it when credentials/policy make execution invalid.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FR-TOL-010; FR-AUT-009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Structural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Budget exhaustion mid-Run</w:t>
            </w:r>
          </w:p>
        </w:tc>
        <w:tc>
          <w:tcPr>
            <w:tcW w:type="dxa" w:w="36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Prevent the next material call/action without an atomic reservation; show the block and lower-cost option; continue only after a compliant cheaper plan or approved budget change.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NFR-CST-003/004; FR-MIS-006b/006c; §22.4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Structural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Successor Run; no ArtifactVersion reusable</w:t>
            </w:r>
          </w:p>
        </w:tc>
        <w:tc>
          <w:tcPr>
            <w:tcW w:type="dxa" w:w="36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Carry forward nothing that fails schema/contract/evaluation/authority/provenance checks. Keep invalidated outputs traceable and execute required work anew.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FR-PLN-008; FR-RUN-004; §19.4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Structural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Tenant-boundary access attempt</w:t>
            </w:r>
          </w:p>
        </w:tc>
        <w:tc>
          <w:tcPr>
            <w:tcW w:type="dxa" w:w="36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Deny without exposing unrelated tenant content; treat any exposure defect as release-blocking across API, repository, search, and object storage.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NFR-SEC-001; FR-KNW-005; FR-SAA-008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Structural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Duplicate webhook or trigger delivery</w:t>
            </w:r>
          </w:p>
        </w:tc>
        <w:tc>
          <w:tcPr>
            <w:tcW w:type="dxa" w:w="36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Deduplicate the Trigger/Run and reuse durable Effect identity so external side effects do not duplicate.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FR-AUT-004; FR-RUN-005; NFR-REL-003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Structural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User stops while provider cannot cancel</w:t>
            </w:r>
          </w:p>
        </w:tc>
        <w:tc>
          <w:tcPr>
            <w:tcW w:type="dxa" w:w="36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Prevent new work immediately; cancel only where safe; preserve/settle the in-flight outcome and reconcile if uncertain.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FR-RUN-006; FR-MIS-006b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Structural + settlement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Grant revoked after Effect confirmed</w:t>
            </w:r>
          </w:p>
        </w:tc>
        <w:tc>
          <w:tcPr>
            <w:tcW w:type="dxa" w:w="36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Block all future authorizations while retaining the confirmed Effect as an immutable historical fact.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§18.3; FR-GOV-009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Structural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Mandatory evaluation fails</w:t>
            </w:r>
          </w:p>
        </w:tc>
        <w:tc>
          <w:tcPr>
            <w:tcW w:type="dxa" w:w="36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Block publish/deploy; repair or create a candidate version and rerun gates; only a bounded authorized exception may bypass.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FR-EVL-006/009; §22.3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Structural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Node requests ambient undeclared input</w:t>
            </w:r>
          </w:p>
        </w:tc>
        <w:tc>
          <w:tcPr>
            <w:tcW w:type="dxa" w:w="36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Block compile/publish or data mapping; every input must resolve to a declared versioned reference.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FR-PLN-003; FR-RUN-003; FR-FLW-004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Structural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Deletion leaves index/share residue</w:t>
            </w:r>
          </w:p>
        </w:tc>
        <w:tc>
          <w:tcPr>
            <w:tcW w:type="dxa" w:w="36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Use retention-aware tombstone/cascade and remove accessible orphaned indexes or grants.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§19.4; FR-KNW-010; FR-AST-006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Structural + asynchronous cleanup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Provider outage</w:t>
            </w:r>
          </w:p>
        </w:tc>
        <w:tc>
          <w:tcPr>
            <w:tcW w:type="dxa" w:w="36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Degrade only the dependent capability; retain recoverable Mission state and use policy-compliant fallback only when allowed.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NFR-REL-006; FR-MOD-004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Structural + recovery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DST/ambiguous local schedule</w:t>
            </w:r>
          </w:p>
        </w:tc>
        <w:tc>
          <w:tcPr>
            <w:tcW w:type="dxa" w:w="36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Use stored timezone and explicit DST/missed-run policy; test the behavior before deployment.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FR-AUT-003; NFR-UX-004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Structural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Retrieved content contains tool instructions</w:t>
            </w:r>
          </w:p>
        </w:tc>
        <w:tc>
          <w:tcPr>
            <w:tcW w:type="dxa" w:w="36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Preserve trust labels, treat content as untrusted instructions, and cover injection/exfiltration in adversarial tests.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FR-KNW-004; NFR-AIQ-004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Structural</w:t>
            </w:r>
          </w:p>
        </w:tc>
      </w:tr>
    </w:tbl>
    <w:p>
      <w:pPr>
        <w:spacing w:after="0"/>
      </w:pPr>
    </w:p>
    <w:p>
      <w:pPr>
        <w:pStyle w:val="SourceNote"/>
      </w:pPr>
      <w:r>
        <w:t>Source: Consolidated from v4 §§18–22 and the cited literal requirements; no new requirement is created.</w:t>
      </w:r>
    </w:p>
    <w:p>
      <w:pPr>
        <w:pStyle w:val="Heading1"/>
      </w:pPr>
      <w:r>
        <w:t>A7 — ERROR HANDLING LOGIC</w:t>
      </w:r>
    </w:p>
    <w:p>
      <w:pPr>
        <w:shd w:fill="FFF1E6"/>
        <w:spacing w:before="100" w:after="140" w:line="259" w:lineRule="auto"/>
        <w:ind w:left="115" w:right="115"/>
      </w:pPr>
      <w:r>
        <w:rPr>
          <w:rFonts w:ascii="Arial" w:hAnsi="Arial"/>
          <w:b/>
          <w:color w:val="1D7E84"/>
          <w:sz w:val="16"/>
        </w:rPr>
        <w:t>TAXONOMY STATUS</w:t>
        <w:br/>
      </w:r>
      <w:r>
        <w:rPr>
          <w:rFonts w:ascii="Arial" w:hAnsi="Arial"/>
          <w:color w:val="14202E"/>
          <w:sz w:val="18"/>
        </w:rPr>
        <w:t>The labels below are stable error classes for design and observability, not final API error codes. Exact endpoint codes are BLOCKED until the Phase 1 vertical slice and §19.5 resource contracts are implemented.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655"/>
        <w:gridCol w:w="1080"/>
        <w:gridCol w:w="2520"/>
        <w:gridCol w:w="2520"/>
        <w:gridCol w:w="1584"/>
      </w:tblGrid>
      <w:tr>
        <w:trPr>
          <w:trHeight w:hRule="auto"/>
          <w:tblHeader w:val="true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Class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Retryability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User-facing behavior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Recovery path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Governing source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Validation / contract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No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Safe message plus field details; identify blocking question or invalid graph field.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Correct input/contract/graph and resubmit.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FR-MIS-003/004; FR-FLW-008; §19.5; NFR-OBS-004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Authorization / tenant policy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No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Permission-denied state; disclose no unrelated tenant content; show required scope where safe.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Obtain valid membership/policy/Grant or use an authorized resource.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FR-TOL-003; NFR-SEC-001; NFR-OBS-004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Approval / Grant missing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No automatic retry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Waiting or denied state with exact actor/action/target/digest/expiry bounds.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Request or renew bounded approval; changed payload requires a new Grant.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FR-GOV-007–009; §18.2–18.3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Budget / reservation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Conditional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Budget-blocked state with estimate, gap, and lower-cost compliant option.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Reserve funds, approve revised budget, or accept a cheaper compliant plan.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NFR-CST-001/003/004; §22.4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Optimistic-version conflict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After refetch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Explain that a concurrent mutation won; show safe diff, not a silent overwrite.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Refetch current version; reconcile and resubmit.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FR-MIS-005/006a; §19.5; NFR-OBS-004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Provider transient / unavailable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Yes, bounded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Provider-failed state separates queue, platform, and provider time; preserve partial success.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Backoff; use policy-compliant fallback; otherwise wait or reroute.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FR-MOD-004/006; NFR-REL-004/006; NFR-PERF-006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Unknown external outcome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No ordinary retry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Show uncertain Effect and reconciliation status with correlation ID.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Reconcile target state before retry, successor dispatch, or compensation.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FR-RUN-005/009; FR-AUT-010; NFR-REL-003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Typed Tool failure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Type-dependent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User-safe typed error states whether runtime may retry, route, compensate, or escalate.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Follow declared Tool contract and failure route.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FR-TOL-001/008; NFR-OBS-004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Connector/auth revoked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No until fixed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Dependent deployment visibly blocked/suspended; no future tool action.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Reconnect with separated scopes or replace the Tool connection.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FR-TOL-007/010; FR-AUT-009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Worker / lease / process failure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Yes, bounded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Keep durable progress visible; no claim of tool success without evidence.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Checkpoint resume, lease recovery, reconciler, then DLQ/terminal state if exhausted.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FR-RUN-004/009; NFR-REL-002/004; NFR-AIQ-003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Queue retries exhausted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Operator-controlled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Terminal/DLQ state with correlation and replay eligibility.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Inspect cause; replay through the operator path after correction.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NFR-REL-004; NFR-OBS-002/004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Evaluation / acceptance gate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Not unchanged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Show failed rubric/gate and blocked publish/deploy.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Repair output or candidate version; rerun; bounded exception only if authorized.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FR-EVL-006/009; FR-MIS-012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Sandbox / security policy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No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Block action; redact secrets; expose only safe reason and correlation ID.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Change unsafe input/configuration; security review or incident response when required.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FR-TOL-004/006; NFR-SEC-004/005/006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Lineage / provenance rejection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After correction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Reject material ArtifactVersion/Effect write and identify missing causal reference safely.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Supply exact Workspace/Principal/Mission/contract/Run-step/source path.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§19.4; FR-AST-001; NFR-OBS-001/004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Unsafe file / parser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No for same payload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Quarantine/block downstream use; do not expose scanner internals or content.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Replace/sanitize file; rerun isolated parsing/scanning.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FR-AST-005; NFR-SEC-005</w:t>
            </w:r>
          </w:p>
        </w:tc>
      </w:tr>
    </w:tbl>
    <w:p>
      <w:pPr>
        <w:spacing w:after="0"/>
      </w:pPr>
    </w:p>
    <w:p>
      <w:pPr>
        <w:pStyle w:val="SourceNote"/>
      </w:pPr>
      <w:r>
        <w:t>Source: NFR-OBS-004 stable-category contract; FR-TOL-008 typed Tool errors; §19.5 error envelope principles.</w:t>
      </w:r>
    </w:p>
    <w:p>
      <w:pPr>
        <w:sectPr>
          <w:headerReference w:type="default" r:id="rId9"/>
          <w:footerReference w:type="default" r:id="rId10"/>
          <w:pgSz w:w="12240" w:h="15840"/>
          <w:pgMar w:top="1080" w:right="1440" w:bottom="1008" w:left="1440" w:header="432" w:footer="432" w:gutter="0"/>
          <w:cols w:space="720"/>
          <w:docGrid w:linePitch="360"/>
        </w:sectPr>
      </w:pPr>
    </w:p>
    <w:p>
      <w:pPr>
        <w:pStyle w:val="Heading1"/>
      </w:pPr>
      <w:r>
        <w:t>A8 — REQUIREMENTS TRACEABILITY MATRIX</w:t>
      </w:r>
    </w:p>
    <w:p>
      <w:pPr>
        <w:shd w:fill="E7F4F3"/>
        <w:spacing w:before="100" w:after="140" w:line="259" w:lineRule="auto"/>
        <w:ind w:left="115" w:right="115"/>
      </w:pPr>
      <w:r>
        <w:rPr>
          <w:rFonts w:ascii="Arial" w:hAnsi="Arial"/>
          <w:b/>
          <w:color w:val="1D7E84"/>
          <w:sz w:val="16"/>
        </w:rPr>
        <w:t>MAPPING RULE</w:t>
        <w:br/>
      </w:r>
      <w:r>
        <w:rPr>
          <w:rFonts w:ascii="Arial" w:hAnsi="Arial"/>
          <w:color w:val="14202E"/>
          <w:sz w:val="18"/>
        </w:rPr>
        <w:t>Each row maps one literal ID to its dominant §5 pillar, earliest containing §22 release, earliest dependency phase from §11, direct §13 journey(s), and the applicable §11/§22 verification gate. “+” means the requirement continues through later releases. These are implementation trace links, not new requirements.</w:t>
      </w:r>
    </w:p>
    <w:tbl>
      <w:tblPr>
        <w:tblW w:type="dxa" w:w="129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655"/>
        <w:gridCol w:w="2664"/>
        <w:gridCol w:w="1080"/>
        <w:gridCol w:w="1080"/>
        <w:gridCol w:w="1512"/>
        <w:gridCol w:w="4968"/>
      </w:tblGrid>
      <w:tr>
        <w:trPr>
          <w:trHeight w:hRule="auto"/>
          <w:tblHeader w:val="true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Requirement ID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Dominant pillar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Release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Journey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Verifying gate / evaluation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FR-MIS-001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Universal Work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FR-MIS-002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Universal Work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FR-MIS-003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Universal Work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FR-MIS-004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P2 Contract &amp; planning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FR-MIS-005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P2 Contract &amp; planning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FR-MIS-006a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P2 Contract &amp; planning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FR-MIS-006b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P2 Contract &amp; planning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FR-MIS-006c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P2 Contract &amp; planning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FR-MIS-007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P2 Contract &amp; planning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FR-MIS-008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Universal Work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FR-MIS-009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Universal Work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FR-MIS-010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Universal Work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FR-MIS-011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Universal Work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FR-MIS-012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Universal Work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FR-PLN-001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P2 Contract &amp; planning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FR-PLN-002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P2 Contract &amp; planning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FR-PLN-003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P2 Contract &amp; planning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FR-PLN-004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P2 Contract &amp; planning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FR-PLN-005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P2 Contract &amp; planning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FR-PLN-006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P2 Contract &amp; planning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FR-PLN-007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P2 Contract &amp; planning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FR-PLN-008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P2 Contract &amp; planning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FR-RUN-001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P5 Flow Builder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FR-RUN-002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P5 Flow Builder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2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P2 canvas-runtime parity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FR-RUN-003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P5 Flow Builder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2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P2 canvas-runtime parity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FR-RUN-004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FR-RUN-005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R0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P0 truth/Authority/Effect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FR-RUN-006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R0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P0 truth/Authority/Effect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FR-RUN-007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FR-RUN-008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FR-RUN-009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R0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P0 truth/Authority/Effect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FR-RUN-010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R0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P0 truth/Authority/Effect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FR-RUN-011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P5 Flow Builder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2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P2 canvas-runtime parity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FR-RUN-012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FR-MOD-001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P3 Provider intelligence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R0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P0 truth/Authority/Effect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FR-MOD-002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P3 Provider intelligence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FR-MOD-003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P3 Provider intelligence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FR-MOD-004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P3 Provider intelligence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FR-MOD-005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P3 Provider intelligence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FR-MOD-006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P3 Provider intelligence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FR-MOD-007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P3 Provider intelligence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R0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P0 truth/Authority/Effect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FR-MOD-008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P3 Provider intelligence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FR-AGT-001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Agent Builder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UJ-03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§22.3 evaluation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FR-AGT-002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Agent Builder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UJ-03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§22.3 evaluation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FR-AGT-003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Agent Builder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UJ-03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§22.3 evaluation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FR-AGT-004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Agent Builder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UJ-03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§22.3 evaluation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FR-AGT-005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Agent Builder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UJ-03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§22.3 evaluation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FR-AGT-006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Agent Builder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UJ-03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§22.3 evaluation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FR-AGT-007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Agent Builder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UJ-03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§22.3 evaluation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FR-AGT-008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Agent Builder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UJ-03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§22.3 evaluation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FR-AGT-009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Agent Builder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UJ-03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§22.3 evaluation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FR-AGT-010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Agent Builder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UJ-03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§22.3 evaluation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FR-FLW-001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P5 Flow Builder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2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UJ-04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P2 canvas-runtime parity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FR-FLW-002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P5 Flow Builder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2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UJ-04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P2 canvas-runtime parity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FR-FLW-003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P5 Flow Builder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2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UJ-04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P2 canvas-runtime parity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FR-FLW-004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P5 Flow Builder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2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UJ-04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P2 canvas-runtime parity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FR-FLW-005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P5 Flow Builder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2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UJ-04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P2 canvas-runtime parity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FR-FLW-006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P5 Flow Builder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2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UJ-04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P2 canvas-runtime parity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FR-FLW-007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P5 Flow Builder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2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UJ-04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P2 canvas-runtime parity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FR-FLW-008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P5 Flow Builder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2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UJ-04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P2 canvas-runtime parity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FR-FLW-009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P5 Flow Builder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2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UJ-04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P2 canvas-runtime parity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FR-FLW-010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P5 Flow Builder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2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UJ-04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P2 canvas-runtime parity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FR-KNW-001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P8 Knowledge &amp; memory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3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UJ-01,06–08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P3 traceable cited/safe-action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FR-KNW-002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P8 Knowledge &amp; memory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3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UJ-01,06–08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P3 traceable cited/safe-action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FR-KNW-003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P8 Knowledge &amp; memory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3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UJ-01,06–08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P3 traceable cited/safe-action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FR-KNW-004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P8 Knowledge &amp; memory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3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UJ-01,06–08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P3 traceable cited/safe-action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FR-KNW-005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P8 Knowledge &amp; memory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3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UJ-01,06–08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P3 traceable cited/safe-action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FR-KNW-006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P8 Knowledge &amp; memory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3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UJ-01,06–08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P3 traceable cited/safe-action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FR-KNW-007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P8 Knowledge &amp; memory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3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UJ-01,06–08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P3 traceable cited/safe-action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FR-KNW-008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P8 Knowledge &amp; memory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3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UJ-01,06–08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P3 traceable cited/safe-action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FR-KNW-009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P8 Knowledge &amp; memory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3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UJ-01,06–08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P3 traceable cited/safe-action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FR-KNW-010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P8 Knowledge &amp; memory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3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UJ-01,06–08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P3 traceable cited/safe-action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FR-TOL-001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P9 Tools &amp; safe action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3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P3 traceable cited/safe-action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FR-TOL-002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P9 Tools &amp; safe action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3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P3 traceable cited/safe-action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FR-TOL-003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P9 Tools &amp; safe action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R0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P0 truth/Authority/Effect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FR-TOL-004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P9 Tools &amp; safe action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3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P3 traceable cited/safe-action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FR-TOL-005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P9 Tools &amp; safe action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3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P3 traceable cited/safe-action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FR-TOL-006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P9 Tools &amp; safe action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3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P3 traceable cited/safe-action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FR-TOL-007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P9 Tools &amp; safe action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R0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P0 truth/Authority/Effect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FR-TOL-008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P9 Tools &amp; safe action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3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P3 traceable cited/safe-action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FR-TOL-009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P9 Tools &amp; safe action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R0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P0 truth/Authority/Effect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FR-TOL-010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P9 Tools &amp; safe action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3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P3 traceable cited/safe-action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FR-GOV-001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P6 Governance &amp; evidence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kernel/successor/carry-forward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FR-GOV-002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P6 Governance &amp; evidence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FR-GOV-003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P6 Governance &amp; evidence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FR-GOV-004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P6 Governance &amp; evidence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FR-GOV-005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P6 Governance &amp; evidence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FR-GOV-006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P6 Governance &amp; evidence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FR-GOV-007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P6 Governance &amp; evidence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R0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P0 truth/Authority/Effect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FR-GOV-008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P6 Governance &amp; evidence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R0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P0 truth/Authority/Effect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FR-GOV-009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P6 Governance &amp; evidence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R0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P0 truth/Authority/Effect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FR-GOV-010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P6 Governance &amp; evidence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R0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P0 truth/Authority/Effect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FR-EVL-001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P7 Evaluations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§22.3 evaluation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FR-EVL-002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P7 Evaluations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§22.3 evaluation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FR-EVL-003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P7 Evaluations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§22.3 evaluation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FR-EVL-004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P7 Evaluations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§22.3 evaluation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FR-EVL-005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P7 Evaluations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§22.3 evaluation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FR-EVL-006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P7 Evaluations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§22.3 evaluation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FR-EVL-007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P7 Evaluations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§22.3 evaluation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FR-EVL-008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P7 Evaluations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§22.3 evaluation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FR-EVL-009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P7 Evaluations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§22.3 evaluation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FR-EVL-010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P7 Evaluations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§22.3 evaluation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FR-AST-001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P15 Assets &amp; versions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3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UJ-01,06–08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P3 traceable cited/safe-action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FR-AST-002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P15 Assets &amp; versions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3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UJ-01,06–08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P3 traceable cited/safe-action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FR-AST-003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P15 Assets &amp; versions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3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UJ-01,06–08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P3 traceable cited/safe-action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FR-AST-004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P15 Assets &amp; versions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R4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5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UJ-01,06–08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P5 creator continuity/rights/render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FR-AST-005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P15 Assets &amp; versions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3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UJ-01,06–08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P3 traceable cited/safe-action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FR-AST-006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P15 Assets &amp; versions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3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UJ-01,06–08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P3 traceable cited/safe-action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FR-AST-007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P15 Assets &amp; versions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3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UJ-01,06–08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P3 traceable cited/safe-action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FR-AST-008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P15 Assets &amp; versions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3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UJ-01,06–08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P3 traceable cited/safe-action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FR-AUT-001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P10 AI Company &amp; teams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R5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6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UJ-05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P6 missed-run/no-duplicate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FR-AUT-002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P10 AI Company &amp; teams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R5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6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UJ-05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P6 missed-run/no-duplicate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FR-AUT-003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P10 AI Company &amp; teams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R5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6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UJ-05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P6 missed-run/no-duplicate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FR-AUT-004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P10 AI Company &amp; teams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R5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6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UJ-05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P6 missed-run/no-duplicate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FR-AUT-005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P10 AI Company &amp; teams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R5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6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UJ-05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P6 missed-run/no-duplicate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FR-AUT-006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P10 AI Company &amp; teams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R5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6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UJ-05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P6 missed-run/no-duplicate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FR-AUT-007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P10 AI Company &amp; teams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R5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6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UJ-05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P6 missed-run/no-duplicate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FR-AUT-008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P10 AI Company &amp; teams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R5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6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UJ-05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P6 missed-run/no-duplicate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FR-AUT-009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P10 AI Company &amp; teams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R5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6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UJ-05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P6 missed-run/no-duplicate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FR-AUT-010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P10 AI Company &amp; teams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R5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6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UJ-05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P6 missed-run/no-duplicate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FR-SAA-001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P17 SaaS/collaboration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R5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GA security/SLO/DR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FR-SAA-002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P17 SaaS/collaboration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R5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GA security/SLO/DR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FR-SAA-003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P17 SaaS/collaboration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R5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GA security/SLO/DR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FR-SAA-004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P17 SaaS/collaboration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R5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GA security/SLO/DR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FR-SAA-005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P17 SaaS/collaboration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R5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GA security/SLO/DR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FR-SAA-006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P17 SaaS/collaboration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R5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GA security/SLO/DR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FR-SAA-007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P17 SaaS/collaboration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R5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GA security/SLO/DR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FR-SAA-008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P17 SaaS/collaboration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R5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GA security/SLO/DR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FR-SAA-009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P17 SaaS/collaboration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R5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GA security/SLO/DR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FR-SAA-010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P17 SaaS/collaboration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R5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GA security/SLO/DR gate; applicable §22.2 DoD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FR-CMP-001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P10 AI Company &amp; teams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UJ-02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§22.3 evaluation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FR-CMP-002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P10 AI Company &amp; teams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UJ-02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§22.3 evaluation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FR-CMP-003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P10 AI Company &amp; teams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UJ-02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§22.3 evaluation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FR-CMP-004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P10 AI Company &amp; teams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UJ-02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§22.3 evaluation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FR-CMP-005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P10 AI Company &amp; teams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UJ-02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§22.3 evaluation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FR-CMP-006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P10 AI Company &amp; teams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UJ-02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§22.3 evaluation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FR-CMP-007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P10 AI Company &amp; teams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UJ-02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§22.3 evaluation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FR-CMP-008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P10 AI Company &amp; teams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UJ-02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§22.3 evaluation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FR-CMP-009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P10 AI Company &amp; teams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UJ-02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§22.3 evaluation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FR-CMP-010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P10 AI Company &amp; teams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UJ-02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P4 Work Pack + organization eval gate; §22.3 evaluation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NFR-PERF-001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R0+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0–7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§22.2(8); §22.3 performance regression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NFR-PERF-002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R0+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0–7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§22.2(8); §22.3 performance regression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NFR-PERF-003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R0+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0–7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§22.2(8); §22.3 performance regression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NFR-PERF-004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R0+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0–7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§22.2(8); §22.3 performance regression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NFR-PERF-005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§22.2(8); §22.3 performance regression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NFR-PERF-006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R0+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0–7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§22.2(8); §22.3 performance regression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NFR-REL-001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R5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UJ-01,05,09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crash/restore/replay; phase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NFR-REL-002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R0+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0–7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UJ-01,05,09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crash/restore/replay; phase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NFR-REL-003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R0+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0–7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UJ-01,05,09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crash/restore/replay; phase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NFR-REL-004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R0+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0–7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UJ-01,05,09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crash/restore/replay; phase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NFR-REL-005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R5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UJ-01,05,09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crash/restore/replay; phase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NFR-REL-006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R0+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0–7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UJ-01,05,09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crash/restore/replay; phase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NFR-SEC-001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R0+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0–7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security blocker; threat/privacy tests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NFR-SEC-002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R0+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0–7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security blocker; threat/privacy tests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NFR-SEC-003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R0+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0–7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security blocker; threat/privacy tests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NFR-SEC-004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R0+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0–7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security blocker; threat/privacy tests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NFR-SEC-005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3–7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security blocker; threat/privacy tests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NFR-SEC-006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R0+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0–7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security blocker; threat/privacy tests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NFR-PRV-001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3–7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security blocker; threat/privacy tests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NFR-PRV-002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3–7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security blocker; threat/privacy tests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NFR-PRV-003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R2+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3–7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security blocker; threat/privacy tests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NFR-AIQ-001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P7 Evaluations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UJ-01,06–08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required evaluations; Work Pack baseline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NFR-AIQ-002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P7 Evaluations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UJ-01,06–08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required evaluations; Work Pack baseline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NFR-AIQ-003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P7 Evaluations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UJ-01,06–08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required evaluations; Work Pack baseline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NFR-AIQ-004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P7 Evaluations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UJ-01,06–08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required evaluations; Work Pack baseline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NFR-AIQ-005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P7 Evaluations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UJ-01,06–08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required evaluations; Work Pack baseline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NFR-AIQ-006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P7 Evaluations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UJ-01,06–08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required evaluations; Work Pack baseline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NFR-CST-001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budget/cost attribution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NFR-CST-002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R0+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0–7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budget/cost attribution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NFR-CST-003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budget/cost attribution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NFR-CST-004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budget/cost attribution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NFR-CST-005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R3+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4–7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§22.3 budget/cost attribution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NFR-UX-001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Universal Work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§22.2(5,8); accessibility/performance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NFR-UX-002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Universal Work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§22.2(5,8); accessibility/performance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NFR-UX-003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Universal Work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§22.2(5,8); accessibility/performance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NFR-UX-004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Universal Work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§22.2(5,8); accessibility/performance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NFR-UX-005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 Universal Work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R1+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1–7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UJ-01,09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§22.2(5,8); accessibility/performance gate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NFR-OBS-001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R0–R5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0–7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§22.2(7); §22.3 runbook/operator recovery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NFR-OBS-002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R0–R5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0–7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§22.2(7); §22.3 runbook/operator recovery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NFR-OBS-003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R0–R5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0–7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§22.2(7); §22.3 runbook/operator recovery</w:t>
            </w:r>
          </w:p>
        </w:tc>
      </w:tr>
      <w:tr>
        <w:trPr>
          <w:trHeight w:hRule="auto"/>
        </w:trPr>
        <w:tc>
          <w:tcPr>
            <w:tcW w:type="dxa" w:w="165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NFR-OBS-004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P16 Reliability/security/cost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R0–R5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0–7</w:t>
            </w:r>
          </w:p>
        </w:tc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UJ-09</w:t>
            </w:r>
          </w:p>
        </w:tc>
        <w:tc>
          <w:tcPr>
            <w:tcW w:type="dxa" w:w="49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§22.2(7); §22.3 runbook/operator recovery</w:t>
            </w:r>
          </w:p>
        </w:tc>
      </w:tr>
    </w:tbl>
    <w:p>
      <w:pPr>
        <w:spacing w:after="0"/>
      </w:pPr>
    </w:p>
    <w:p>
      <w:pPr>
        <w:pStyle w:val="SourceNote"/>
      </w:pPr>
      <w:r>
        <w:t>Source: v4 §5, §11 phases 0–7, §13 UJ-01…09, §14 literal FR registry, §21 literal NFR registry, §22.1–22.3. Count: 140 FR + 41 NFR = 181 literal IDs.</w:t>
      </w:r>
    </w:p>
    <w:p>
      <w:pPr>
        <w:pStyle w:val="Heading1"/>
      </w:pPr>
      <w:r>
        <w:t>A9 — CORE DATA DICTIONARY</w:t>
      </w:r>
    </w:p>
    <w:p>
      <w:pPr>
        <w:shd w:fill="FFF1E6"/>
        <w:spacing w:before="100" w:after="140" w:line="259" w:lineRule="auto"/>
        <w:ind w:left="115" w:right="115"/>
      </w:pPr>
      <w:r>
        <w:rPr>
          <w:rFonts w:ascii="Arial" w:hAnsi="Arial"/>
          <w:b/>
          <w:color w:val="1D7E84"/>
          <w:sz w:val="16"/>
        </w:rPr>
        <w:t>TYPE RULE</w:t>
        <w:br/>
      </w:r>
      <w:r>
        <w:rPr>
          <w:rFonts w:ascii="Arial" w:hAnsi="Arial"/>
          <w:color w:val="14202E"/>
          <w:sz w:val="18"/>
        </w:rPr>
        <w:t>Types are logical contract types, not MongoDB/BSON or API scalar commitments. Where v4 does not fix a scalar, the logical type is retained and the physical type remains BLOCKED. Only the eight objects requested are included.</w:t>
      </w:r>
    </w:p>
    <w:p>
      <w:pPr>
        <w:pStyle w:val="Heading2"/>
        <w:spacing w:before="100" w:after="40"/>
      </w:pPr>
      <w:r>
        <w:t>Mission</w:t>
      </w:r>
    </w:p>
    <w:tbl>
      <w:tblPr>
        <w:tblW w:type="dxa" w:w="129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376"/>
        <w:gridCol w:w="2088"/>
        <w:gridCol w:w="1080"/>
        <w:gridCol w:w="1800"/>
        <w:gridCol w:w="3816"/>
        <w:gridCol w:w="1800"/>
      </w:tblGrid>
      <w:tr>
        <w:trPr>
          <w:trHeight w:hRule="auto"/>
          <w:tblHeader w:val="true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Logical type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Required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Immutable after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Purpose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Source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mission_id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Identifier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Creation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Stable outcome-container identity.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§3.2; §19.2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workspace_id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Identifier/ref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Creation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Tenant boundary and causal lineage anchor.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§19.4; NFR-SEC-001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original_request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Content/ref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Creation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Immutable originating text/file/URL/transcribed voice request.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FR-MIS-001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input_modality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Enum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Creation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Identifies the supported intake form.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FR-MIS-001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outcome_domain_risk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Structured classification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 after intake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Versioned change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Drives Work Pack recommendation and risk profile.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FR-MIS-002; FR-GOV-001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selected_work_pack_version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Version ref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Conditional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Run start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Compiler package selected or overridden by user.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FR-MIS-002; §7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lifecycle_status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Enum projection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Mutable projection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Rebuildable Mission state from accepted events.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§19.1–19.2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current_contract_version_ref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Version ref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After contracting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Append/change by version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Points to the applicable typed Work Contract ArtifactVersion.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§19.1; FR-MIS-005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acceptance_gate_refs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List of refs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Before completion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Approved contract version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Prevents completion from equaling last model response.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FR-MIS-007/012; §19.2</w:t>
            </w:r>
          </w:p>
        </w:tc>
      </w:tr>
    </w:tbl>
    <w:p>
      <w:pPr>
        <w:spacing w:after="0" w:lineRule="exact" w:line="40"/>
      </w:pPr>
    </w:p>
    <w:p>
      <w:pPr>
        <w:pStyle w:val="Heading2"/>
        <w:spacing w:before="100" w:after="40"/>
      </w:pPr>
      <w:r>
        <w:t>WorkContract</w:t>
      </w:r>
    </w:p>
    <w:tbl>
      <w:tblPr>
        <w:tblW w:type="dxa" w:w="129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376"/>
        <w:gridCol w:w="2088"/>
        <w:gridCol w:w="1080"/>
        <w:gridCol w:w="1800"/>
        <w:gridCol w:w="3816"/>
        <w:gridCol w:w="1800"/>
      </w:tblGrid>
      <w:tr>
        <w:trPr>
          <w:trHeight w:hRule="auto"/>
          <w:tblHeader w:val="true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Logical type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Required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Immutable after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Purpose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Source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artifact_version_id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Identifier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Publication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Identity as a typed immutable ArtifactVersion.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§19.1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mission_id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Identifier/ref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Publication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Binds the contract version to its Mission.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§3.2; §19.4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goal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Structured text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Publication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Locked intended outcome.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FR-MIS-004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audience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Structured text/ref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Publication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Intended recipient/user of the outcome.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FR-MIS-004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deliverables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Typed list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Publication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Required outputs/actions.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FR-MIS-004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constraints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Structured list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Publication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Limits executable work.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FR-MIS-004/006b/006c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exclusions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Structured list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Publication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Explicitly out-of-scope work.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FR-MIS-004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assumptions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Structured list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Publication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Declared assumptions retained with the contract.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FR-MIS-004; FR-PLN-004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acceptance_criteria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Typed criteria/rubric refs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Publication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Manual/deterministic/evaluation gates.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FR-MIS-004/007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budget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Amount/range policy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Publication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Approved cost constraint; may narrow, not grant authority.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FR-MIS-004; NFR-CST-001/003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deadline_priority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Time/priority structure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Publication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Scheduling and planning constraint.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FR-MIS-004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requested_data_tool_authority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Scope request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Publication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Requested or narrowed authority; never a Grant.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FR-MIS-004; §18.3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approval_policy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Policy ref/structure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Publication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Required human/policy approval rules.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FR-MIS-004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version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Version label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Publication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Supports diff and exact Run snapshots/overlays.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FR-MIS-005</w:t>
            </w:r>
          </w:p>
        </w:tc>
      </w:tr>
    </w:tbl>
    <w:p>
      <w:pPr>
        <w:spacing w:after="0" w:lineRule="exact" w:line="40"/>
      </w:pPr>
    </w:p>
    <w:p>
      <w:pPr>
        <w:pStyle w:val="Heading2"/>
        <w:spacing w:before="100" w:after="40"/>
      </w:pPr>
      <w:r>
        <w:t>FlowVersion</w:t>
      </w:r>
    </w:p>
    <w:tbl>
      <w:tblPr>
        <w:tblW w:type="dxa" w:w="129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376"/>
        <w:gridCol w:w="2088"/>
        <w:gridCol w:w="1080"/>
        <w:gridCol w:w="1800"/>
        <w:gridCol w:w="3816"/>
        <w:gridCol w:w="1800"/>
      </w:tblGrid>
      <w:tr>
        <w:trPr>
          <w:trHeight w:hRule="auto"/>
          <w:tblHeader w:val="true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Logical type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Required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Immutable after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Purpose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Source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flow_version_id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Identifier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Publication / Run ref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Identity of the sole executable definition.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§3.2; FR-FLW-002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typed_dependency_graph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Graph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Publication / Run ref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Executable dependency and control structure.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FR-PLN-003; FR-RUN-001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node_definitions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Typed list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Publication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Executable nodes and declared behavior.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FR-FLW-003; FR-RUN-003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edge_control_flow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Typed list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Publication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Routing, split/join, loops, and failure paths.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FR-RUN-002; FR-FLW-005/006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actor_bindings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Version-ref map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Publication / Run ref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Exact Agent/human/deployed identity bindings.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FR-PLN-003; FR-RUN-001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tool_bindings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Version-ref map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Conditional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Publication / Run ref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Exact Tool definitions/connections used by nodes.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FR-PLN-003; FR-RUN-001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input_output_schemas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Schema map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Publication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Typed mapping and compatibility contract.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FR-RUN-003; FR-FLW-004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assignment_bindings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Reference list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Conditional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Run ref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Accountability view compiled over nodes/steps.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FR-PLN-003; §19.3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artifact_contracts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Typed refs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Publication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Declared outputs and versioned inputs.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FR-PLN-003; FR-RUN-003/008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evaluation_refs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Version refs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Conditional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Publication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Mandatory/optional quality gates.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FR-PLN-003; FR-EVL-001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approval_points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Typed refs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Conditional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Publication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Places requiring bounded approval/Grant.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FR-PLN-003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bounds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Typed limits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 where loops/work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Publication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Iteration/time/cost and no-progress limits.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FR-FLW-006; FR-GOV-004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failure_routes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Typed routes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Publication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Retry/fallback/compensation/escalation behavior.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FR-PLN-003; FR-TOL-008</w:t>
            </w:r>
          </w:p>
        </w:tc>
      </w:tr>
    </w:tbl>
    <w:p>
      <w:pPr>
        <w:spacing w:after="0" w:lineRule="exact" w:line="40"/>
      </w:pPr>
    </w:p>
    <w:p>
      <w:pPr>
        <w:pStyle w:val="Heading2"/>
        <w:spacing w:before="100" w:after="40"/>
      </w:pPr>
      <w:r>
        <w:t>Run</w:t>
      </w:r>
    </w:p>
    <w:tbl>
      <w:tblPr>
        <w:tblW w:type="dxa" w:w="129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376"/>
        <w:gridCol w:w="2088"/>
        <w:gridCol w:w="1080"/>
        <w:gridCol w:w="1800"/>
        <w:gridCol w:w="3816"/>
        <w:gridCol w:w="1800"/>
      </w:tblGrid>
      <w:tr>
        <w:trPr>
          <w:trHeight w:hRule="auto"/>
          <w:tblHeader w:val="true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Logical type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Required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Immutable after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Purpose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Source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run_id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Identifier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Creation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One execution-attempt identity.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§3.2; §19.2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mission_id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Identifier/ref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Creation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Stable parent Mission.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§19.2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flow_version_id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Version ref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Run start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Exact immutable executable snapshot.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FR-RUN-001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starting_contract_version_id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Version ref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Run start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Exact approved starting contract.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FR-MIS-005; FR-RUN-001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organization_actor_binding_refs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Version refs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Run start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Exact organization/actor snapshot.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FR-RUN-001; FR-CMP-010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agent_tool_definition_refs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Version refs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Conditional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Run start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Exact definitions used by execution.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FR-RUN-001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policy_version_refs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Version refs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Run start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Frozen policy for materiality, authority, and execution.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FR-RUN-001; §19.4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authority_grant_refs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Grant refs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Conditional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Run start/reference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Effective bounded authority references; expiry/revocation still enforced.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FR-RUN-001; §18.3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pricing_snapshot_refs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Version refs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Conditional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Run start/use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Cost attribution baseline.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FR-RUN-001; FR-MOD-007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status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Enum projection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Mutable projection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Live Run state rebuilt from ordered events.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§19.1; FR-RUN-010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predecessor_run_id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Identifier/ref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Conditional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Once linked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Repair/recovery/supersession chain.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§19.2/19.4; FR-MIS-006b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termination_reason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Typed reason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Terminal Runs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Terminal transition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Distinguishes supersession from failure/cancel.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FR-MIS-006b; §24 [REVISED—C9]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approved_overlay_version_refs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Version refs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Conditional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Append-only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Strictly permissive contract/Grant overlay without Flow mutation.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FR-MIS-006c; §19.2/19.4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event_sequence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Ordered event refs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Append-only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Canonical accepted transitions and replayable trace.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§19.4; FR-RUN-010</w:t>
            </w:r>
          </w:p>
        </w:tc>
      </w:tr>
    </w:tbl>
    <w:p>
      <w:pPr>
        <w:spacing w:after="0" w:lineRule="exact" w:line="40"/>
      </w:pPr>
    </w:p>
    <w:p>
      <w:pPr>
        <w:pStyle w:val="Heading2"/>
        <w:spacing w:before="100" w:after="40"/>
      </w:pPr>
      <w:r>
        <w:t>ArtifactVersion</w:t>
      </w:r>
    </w:p>
    <w:tbl>
      <w:tblPr>
        <w:tblW w:type="dxa" w:w="129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376"/>
        <w:gridCol w:w="2088"/>
        <w:gridCol w:w="1080"/>
        <w:gridCol w:w="1800"/>
        <w:gridCol w:w="3816"/>
        <w:gridCol w:w="1800"/>
      </w:tblGrid>
      <w:tr>
        <w:trPr>
          <w:trHeight w:hRule="auto"/>
          <w:tblHeader w:val="true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Logical type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Required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Immutable after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Purpose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Source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artifact_version_id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Identifier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Write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Immutable version identity.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§19.1; FR-AST-001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artifact_id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Identifier/ref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Write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Parent Artifact family.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§19.1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type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Enum/discriminator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Write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Document/code/data/media/plan/evidence/evaluation/etc.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§19.1; FR-AST-001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owner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Principal/ref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Write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Accountable artifact owner.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FR-AST-001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workspace_id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Identifier/ref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Write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Tenant lineage.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§19.4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mission_id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Identifier/ref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 for material output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Write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Mission causal lineage.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FR-AST-001; §19.4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contract_version_id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Version ref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 for material output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Write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Exact governing Work Contract version.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§19.4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run_id_run_step_id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Identifier refs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 for generated output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Write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Exact execution step that produced the version.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§19.4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declared_source_input_refs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Version-ref list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Write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Declared inputs; no ambient source.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FR-RUN-008; §19.4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dependency_manifest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Structured manifest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Write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Every declared input/versioned reference used.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FR-RUN-008; FR-AST-001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checksum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Digest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Write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Integrity and export verification.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FR-AST-001/007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content_or_storage_ref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Typed payload/ref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Write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Versioned material content or object-store pointer.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§19.1; FR-AST-002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causal_lineage_provenance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Structured refs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Write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Mandatory provenance and trace.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FR-AST-001; §19.4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rights_consent_retention_derivatives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Structured metadata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When applicable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Write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Asset-specific rights, likeness, retention, and derivative chain.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FR-AST-004</w:t>
            </w:r>
          </w:p>
        </w:tc>
      </w:tr>
    </w:tbl>
    <w:p>
      <w:pPr>
        <w:spacing w:after="0" w:lineRule="exact" w:line="40"/>
      </w:pPr>
    </w:p>
    <w:p>
      <w:pPr>
        <w:pStyle w:val="Heading2"/>
        <w:spacing w:before="100" w:after="40"/>
      </w:pPr>
      <w:r>
        <w:t>AuthorityGrant</w:t>
      </w:r>
    </w:p>
    <w:tbl>
      <w:tblPr>
        <w:tblW w:type="dxa" w:w="129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376"/>
        <w:gridCol w:w="2088"/>
        <w:gridCol w:w="1080"/>
        <w:gridCol w:w="1800"/>
        <w:gridCol w:w="3816"/>
        <w:gridCol w:w="1800"/>
      </w:tblGrid>
      <w:tr>
        <w:trPr>
          <w:trHeight w:hRule="auto"/>
          <w:tblHeader w:val="true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Logical type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Required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Immutable after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Purpose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Source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authority_grant_id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Identifier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Issuance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Bounded permission identity.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§3.2; §18.3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issuer_or_policy_ref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Principal/policy ref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Issuance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Eligible human or policy source of authority.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§3.2; §18.3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actor_version_ref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Principal/version ref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Issuance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Exact authorized actor/version.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§18.2; FR-GOV-007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action_class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Enum A0–A5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Issuance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Risk/control class.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§18.1–18.2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exact_action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Typed action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Issuance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Specific permitted operation.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FR-GOV-007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target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Typed target ref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Issuance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Exact action target.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§18.2; FR-GOV-007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payload_digest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Digest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 where payload exists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Issuance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Binds permission to exact content.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§18.2; FR-GOV-007/009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constraints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Structured bounds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Issuance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Scope, consequence, data/tool, or other limits.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§18.2; FR-GOV-007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amount_budget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Amount/range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When applicable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Issuance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Spend/cost bound.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§18.2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expiry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Timestamp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Issuance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Future authorization cutoff.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§18.2–18.3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execution_count_limit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Issuance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One-time or explicitly bounded use count.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§18.2; FR-GOV-008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execution_count_used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Integer projection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Mutable counter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Exhaustion enforcement.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§18.3; FR-GOV-009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revocation_status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State projection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Mutable state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Stops future authorization without erasing confirmed Effects.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§18.3</w:t>
            </w:r>
          </w:p>
        </w:tc>
      </w:tr>
    </w:tbl>
    <w:p>
      <w:pPr>
        <w:spacing w:after="0" w:lineRule="exact" w:line="40"/>
      </w:pPr>
    </w:p>
    <w:p>
      <w:pPr>
        <w:pStyle w:val="Heading2"/>
        <w:spacing w:before="100" w:after="40"/>
      </w:pPr>
      <w:r>
        <w:t>Effect</w:t>
      </w:r>
    </w:p>
    <w:tbl>
      <w:tblPr>
        <w:tblW w:type="dxa" w:w="129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376"/>
        <w:gridCol w:w="2088"/>
        <w:gridCol w:w="1080"/>
        <w:gridCol w:w="1800"/>
        <w:gridCol w:w="3816"/>
        <w:gridCol w:w="1800"/>
      </w:tblGrid>
      <w:tr>
        <w:trPr>
          <w:trHeight w:hRule="auto"/>
          <w:tblHeader w:val="true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Logical type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Required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Immutable after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Purpose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Source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effect_id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Identifier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Prepared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One durable external side-effect intent.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§3.2; FR-RUN-005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workspace_principal_mission_refs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Identifier refs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Prepared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Tenant, actor, and Mission causal path.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§19.4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contract_version_id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Version ref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Prepared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Exact governing contract.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§19.4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run_id_run_step_id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Identifier refs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Prepared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Originating execution step.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§19.4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intent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Typed action intent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Prepared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What external change is intended.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FR-RUN-005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target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Typed target ref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Prepared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External action target.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FR-RUN-005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payload_digest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Digest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Prepared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Exact payload identity.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FR-RUN-005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idempotency_identity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Stable identifier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Prepared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Prevents duplicate semantic external actions, including successor reuse.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FR-RUN-005; §19.4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effective_authority_grant_id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Grant ref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 before authorization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Authorized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Exact bounded permission used.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FR-RUN-005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state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Enum: 7 values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Append via transitions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prepared/authorized/attempted/confirmed/uncertain/reconciled/compensated.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FR-RUN-005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provider_tool_result_refs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Typed refs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Conditional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Append-only evidence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Evidence used to confirm or reconcile outcome.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FR-MOD-007; FR-TOL-005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reconciliation_result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Typed result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If uncertain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Reconciled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Actual target-state determination.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FR-RUN-009; FR-AUT-010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compensation_result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Typed result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If compensated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Compensated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Evidence of optional compensation behavior.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FR-TOL-001/008</w:t>
            </w:r>
          </w:p>
        </w:tc>
      </w:tr>
    </w:tbl>
    <w:p>
      <w:pPr>
        <w:spacing w:after="0" w:lineRule="exact" w:line="40"/>
      </w:pPr>
    </w:p>
    <w:p>
      <w:pPr>
        <w:pStyle w:val="Heading2"/>
        <w:spacing w:before="100" w:after="40"/>
      </w:pPr>
      <w:r>
        <w:t>MissionChangeProposal</w:t>
      </w:r>
    </w:p>
    <w:tbl>
      <w:tblPr>
        <w:tblW w:type="dxa" w:w="129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376"/>
        <w:gridCol w:w="2088"/>
        <w:gridCol w:w="1080"/>
        <w:gridCol w:w="1800"/>
        <w:gridCol w:w="3816"/>
        <w:gridCol w:w="1800"/>
      </w:tblGrid>
      <w:tr>
        <w:trPr>
          <w:trHeight w:hRule="auto"/>
          <w:tblHeader w:val="true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Logical type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Required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Immutable after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Purpose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Source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proposal_id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Identifier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Creation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Typed change-governance record.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FR-MIS-006b; §19.1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mission_id_origin_run_id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Identifier refs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 during Run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Creation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Affected Mission and current Run.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FR-MIS-006b; §19.4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policy_version_ref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Version ref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Creation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Exact materiality policy used.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FR-MIS-006a; §19.4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normalized_field_delta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Structured diff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Proposal submission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Change computed from structured fields, not prose.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FR-MIS-006a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execution_signature_before_after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Digest pair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Proposal submission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Determines whether executable work changes.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FR-MIS-006a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materiality_path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Enum logical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Proposal submission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Restrictive/signature-changing versus strictly permissive path.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FR-MIS-006b/006c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cost_time_risk_impact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Structured impact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Restrictive/signature path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Proposal submission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Required approval context.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FR-MIS-006b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successor_contract_org_flow_refs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Version refs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Restrictive/signature path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Approval/publish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Versions required by the successor Run.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FR-MIS-006b; §19.4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successor_run_id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Identifier/ref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Approved restrictive path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Once linked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Predecessor-linked replacement execution.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FR-MIS-006b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permissive_overlay_version_refs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Version refs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Approved permissive path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Approval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Same-Run contract/Grant overlay with unchanged FlowVersion.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FR-MIS-006c; §19.4</w:t>
            </w:r>
          </w:p>
        </w:tc>
      </w:tr>
      <w:tr>
        <w:trPr>
          <w:trHeight w:hRule="auto"/>
        </w:trPr>
        <w:tc>
          <w:tcPr>
            <w:tcW w:type="dxa" w:w="237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approval_disposition</w:t>
            </w:r>
          </w:p>
        </w:tc>
        <w:tc>
          <w:tcPr>
            <w:tcW w:type="dxa" w:w="2088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State/result</w:t>
            </w:r>
          </w:p>
        </w:tc>
        <w:tc>
          <w:tcPr>
            <w:tcW w:type="dxa" w:w="108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Yes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Append-only decision</w:t>
            </w:r>
          </w:p>
        </w:tc>
        <w:tc>
          <w:tcPr>
            <w:tcW w:type="dxa" w:w="3816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Approved/rejected/deferred outcome and rationale; stored enum names are BLOCKED.</w:t>
            </w:r>
          </w:p>
        </w:tc>
        <w:tc>
          <w:tcPr>
            <w:tcW w:type="dxa" w:w="180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FR-MIS-006b/006c; §19.4</w:t>
            </w:r>
          </w:p>
        </w:tc>
      </w:tr>
    </w:tbl>
    <w:p>
      <w:pPr>
        <w:spacing w:after="0" w:lineRule="exact" w:line="40"/>
      </w:pPr>
    </w:p>
    <w:p>
      <w:pPr>
        <w:sectPr>
          <w:pgSz w:w="15840" w:h="12240" w:orient="landscape"/>
          <w:pgMar w:top="1080" w:right="1440" w:bottom="1008" w:left="1440" w:header="432" w:footer="432" w:gutter="0"/>
          <w:cols w:space="720"/>
          <w:docGrid w:linePitch="360"/>
        </w:sectPr>
      </w:pPr>
    </w:p>
    <w:p>
      <w:pPr>
        <w:pStyle w:val="Heading1"/>
      </w:pPr>
      <w:r>
        <w:t>A10 — LAYOUT SPECIFICATIONS (STRUCTURED TEXT)</w:t>
      </w:r>
    </w:p>
    <w:p>
      <w:pPr>
        <w:shd w:fill="E7F4F3"/>
        <w:spacing w:before="100" w:after="140" w:line="259" w:lineRule="auto"/>
        <w:ind w:left="115" w:right="115"/>
      </w:pPr>
      <w:r>
        <w:rPr>
          <w:rFonts w:ascii="Arial" w:hAnsi="Arial"/>
          <w:b/>
          <w:color w:val="1D7E84"/>
          <w:sz w:val="16"/>
        </w:rPr>
        <w:t>LAYOUT BOUNDARY</w:t>
        <w:br/>
      </w:r>
      <w:r>
        <w:rPr>
          <w:rFonts w:ascii="Arial" w:hAnsi="Arial"/>
          <w:color w:val="14202E"/>
          <w:sz w:val="18"/>
        </w:rPr>
        <w:t>These specifications define regions, content, states, and actions. They do not select a visual library, produce wireframe images, or introduce a fourth surface. Desktop uses the v4 12-column responsive layout; mobile is limited to the v4 PWA review/approval/status/light-edit scope.</w:t>
      </w:r>
    </w:p>
    <w:p>
      <w:pPr>
        <w:pStyle w:val="Heading2"/>
      </w:pPr>
      <w:r>
        <w:t>A10.1 Three primary surfaces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36"/>
        <w:gridCol w:w="2520"/>
        <w:gridCol w:w="2448"/>
        <w:gridCol w:w="2448"/>
        <w:gridCol w:w="1007"/>
      </w:tblGrid>
      <w:tr>
        <w:trPr>
          <w:trHeight w:hRule="auto"/>
          <w:tblHeader w:val="true"/>
        </w:trPr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Surface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Regions</w:t>
            </w:r>
          </w:p>
        </w:tc>
        <w:tc>
          <w:tcPr>
            <w:tcW w:type="dxa" w:w="24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Content</w:t>
            </w:r>
          </w:p>
        </w:tc>
        <w:tc>
          <w:tcPr>
            <w:tcW w:type="dxa" w:w="24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Primary actions</w:t>
            </w:r>
          </w:p>
        </w:tc>
        <w:tc>
          <w:tcPr>
            <w:tcW w:type="dxa" w:w="100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Source</w:t>
            </w:r>
          </w:p>
        </w:tc>
      </w:tr>
      <w:tr>
        <w:trPr>
          <w:trHeight w:hRule="auto"/>
        </w:trPr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Work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Persistent primary navigation; outcome composer/header; contract/plan preview region; live execution/intervention region; artifacts/result region; optional advanced inspector.</w:t>
            </w:r>
          </w:p>
        </w:tc>
        <w:tc>
          <w:tcPr>
            <w:tcW w:type="dxa" w:w="24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Outcome request, Work Contract, stages, team/Assignments, authority/cost preview, progress, issues, inputs, evaluations, artifacts.</w:t>
            </w:r>
          </w:p>
        </w:tc>
        <w:tc>
          <w:tcPr>
            <w:tcW w:type="dxa" w:w="24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Create Mission; edit/approve/reject/defer proposal; start/pause/stop/resume; provide input/take over; review/accept/export/publish/deploy when authorized.</w:t>
            </w:r>
          </w:p>
        </w:tc>
        <w:tc>
          <w:tcPr>
            <w:tcW w:type="dxa" w:w="100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§3.1; §§8, 13 UJ-01; FR-MIS-008–012</w:t>
            </w:r>
          </w:p>
        </w:tc>
      </w:tr>
      <w:tr>
        <w:trPr>
          <w:trHeight w:hRule="auto"/>
        </w:trPr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Build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Builder navigation; resource list/library region; primary editor/canvas/configuration region; validation/test panel; version/publish/deployment panel; exact-reference inspector.</w:t>
            </w:r>
          </w:p>
        </w:tc>
        <w:tc>
          <w:tcPr>
            <w:tcW w:type="dxa" w:w="24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Agents, Flows, Work Packs, Organizations &amp; Teams, Skills, Tools, Knowledge, Assets, policies, schemas, evaluations, versions.</w:t>
            </w:r>
          </w:p>
        </w:tc>
        <w:tc>
          <w:tcPr>
            <w:tcW w:type="dxa" w:w="24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Create/configure; generate; validate; dry-run/test; inspect references; publish immutable version; deploy/rollback through gates.</w:t>
            </w:r>
          </w:p>
        </w:tc>
        <w:tc>
          <w:tcPr>
            <w:tcW w:type="dxa" w:w="100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§3.1; §8 Builder mode; UJ-03/04; FR-AGT/FLW</w:t>
            </w:r>
          </w:p>
        </w:tc>
      </w:tr>
      <w:tr>
        <w:trPr>
          <w:trHeight w:hRule="auto"/>
        </w:trPr>
        <w:tc>
          <w:tcPr>
            <w:tcW w:type="dxa" w:w="9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Operate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Observe navigation; status/filter summary; queue/run list; trace/evidence detail; approval/input/recovery actions; cost/deployment/audit panels.</w:t>
            </w:r>
          </w:p>
        </w:tc>
        <w:tc>
          <w:tcPr>
            <w:tcW w:type="dxa" w:w="24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Runs, approvals, evaluations, evidence, usage/cost, deployments, analytics, audit, provider/queue health.</w:t>
            </w:r>
          </w:p>
        </w:tc>
        <w:tc>
          <w:tcPr>
            <w:tcW w:type="dxa" w:w="24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Filter/inspect; approve/deny; provide input; safe retry/recover/reconcile; pause/suspend; compare expected vs actual; export audit package.</w:t>
            </w:r>
          </w:p>
        </w:tc>
        <w:tc>
          <w:tcPr>
            <w:tcW w:type="dxa" w:w="100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§3.1; §8 Observe/Admin; UJ-09; NFR-OBS-001–004</w:t>
            </w:r>
          </w:p>
        </w:tc>
      </w:tr>
    </w:tbl>
    <w:p>
      <w:pPr>
        <w:spacing w:after="0"/>
      </w:pPr>
    </w:p>
    <w:p>
      <w:pPr>
        <w:pStyle w:val="Heading2"/>
      </w:pPr>
      <w:r>
        <w:t>A10.2 Seven-tab Mission cockpit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080"/>
        <w:gridCol w:w="2015"/>
        <w:gridCol w:w="2160"/>
        <w:gridCol w:w="2232"/>
        <w:gridCol w:w="1872"/>
      </w:tblGrid>
      <w:tr>
        <w:trPr>
          <w:trHeight w:hRule="auto"/>
          <w:tblHeader w:val="true"/>
        </w:trPr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Tab</w:t>
            </w:r>
          </w:p>
        </w:tc>
        <w:tc>
          <w:tcPr>
            <w:tcW w:type="dxa" w:w="20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Regions</w:t>
            </w:r>
          </w:p>
        </w:tc>
        <w:tc>
          <w:tcPr>
            <w:tcW w:type="dxa" w:w="2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Content</w:t>
            </w:r>
          </w:p>
        </w:tc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Primary actions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Source</w:t>
            </w:r>
          </w:p>
        </w:tc>
      </w:tr>
      <w:tr>
        <w:trPr>
          <w:trHeight w:hRule="auto"/>
        </w:trPr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Overview</w:t>
            </w:r>
          </w:p>
        </w:tc>
        <w:tc>
          <w:tcPr>
            <w:tcW w:type="dxa" w:w="20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Mission header; next-action band; status/progress; risk summary; latest artifact; executive summary.</w:t>
            </w:r>
          </w:p>
        </w:tc>
        <w:tc>
          <w:tcPr>
            <w:tcW w:type="dxa" w:w="2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Outcome, current state, owner, next action, risks, latest result.</w:t>
            </w:r>
          </w:p>
        </w:tc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Open next action; pause/stop/resume; open latest artifact.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§17.2; FR-MIS-010/011</w:t>
            </w:r>
          </w:p>
        </w:tc>
      </w:tr>
      <w:tr>
        <w:trPr>
          <w:trHeight w:hRule="auto"/>
        </w:trPr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Plan</w:t>
            </w:r>
          </w:p>
        </w:tc>
        <w:tc>
          <w:tcPr>
            <w:tcW w:type="dxa" w:w="20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Contract summary/editor; stages/dependencies; estimates; change-proposal panel.</w:t>
            </w:r>
          </w:p>
        </w:tc>
        <w:tc>
          <w:tcPr>
            <w:tcW w:type="dxa" w:w="2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Exact Work Contract version, plan projection, dependency/estimate changes, proposals.</w:t>
            </w:r>
          </w:p>
        </w:tc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Edit draft; approve/reject/defer; compare versions; request bounded replan.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§17.2; FR-MIS-005/006a–c/009</w:t>
            </w:r>
          </w:p>
        </w:tc>
      </w:tr>
      <w:tr>
        <w:trPr>
          <w:trHeight w:hRule="auto"/>
        </w:trPr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Team</w:t>
            </w:r>
          </w:p>
        </w:tc>
        <w:tc>
          <w:tcPr>
            <w:tcW w:type="dxa" w:w="20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Org chart; Employee Passports; RACI/Assignment view; workload; escalation.</w:t>
            </w:r>
          </w:p>
        </w:tc>
        <w:tc>
          <w:tcPr>
            <w:tcW w:type="dxa" w:w="2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Selected actors, rationale, authority eligibility, ownership, reviews, handoffs.</w:t>
            </w:r>
          </w:p>
        </w:tc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Inspect; replace/occupy/supervise role through governed proposal; escalate.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§17.2; UJ-02; FR-CMP-002–009</w:t>
            </w:r>
          </w:p>
        </w:tc>
      </w:tr>
      <w:tr>
        <w:trPr>
          <w:trHeight w:hRule="auto"/>
        </w:trPr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Work</w:t>
            </w:r>
          </w:p>
        </w:tc>
        <w:tc>
          <w:tcPr>
            <w:tcW w:type="dxa" w:w="20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Live stage/Assignment lane; event/progress timeline; input/blocker/handoff panels.</w:t>
            </w:r>
          </w:p>
        </w:tc>
        <w:tc>
          <w:tcPr>
            <w:tcW w:type="dxa" w:w="2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Current execution, messages, typed inputs, blockers, handoffs, waiting reason.</w:t>
            </w:r>
          </w:p>
        </w:tc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Provide input; take over; pause/stop/resume; open trace; act on handoff.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§17.2; FR-MIS-010/011; FR-RUN-007/010</w:t>
            </w:r>
          </w:p>
        </w:tc>
      </w:tr>
      <w:tr>
        <w:trPr>
          <w:trHeight w:hRule="auto"/>
        </w:trPr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Artifacts</w:t>
            </w:r>
          </w:p>
        </w:tc>
        <w:tc>
          <w:tcPr>
            <w:tcW w:type="dxa" w:w="20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Artifact list; preview; lineage/version panel; compare/comments/approval rail.</w:t>
            </w:r>
          </w:p>
        </w:tc>
        <w:tc>
          <w:tcPr>
            <w:tcW w:type="dxa" w:w="2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Files/assets, type, owner, Mission/Run lineage, versions, status, rights where applicable.</w:t>
            </w:r>
          </w:p>
        </w:tc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Preview/download; compare; comment; approve; branch/rollback/export/share if authorized.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§17.2; FR-AST-001–007</w:t>
            </w:r>
          </w:p>
        </w:tc>
      </w:tr>
      <w:tr>
        <w:trPr>
          <w:trHeight w:hRule="auto"/>
        </w:trPr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Decisions</w:t>
            </w:r>
          </w:p>
        </w:tc>
        <w:tc>
          <w:tcPr>
            <w:tcW w:type="dxa" w:w="20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Assumption/evidence ledger; disagreement list; approval/exception history; rationale detail.</w:t>
            </w:r>
          </w:p>
        </w:tc>
        <w:tc>
          <w:tcPr>
            <w:tcW w:type="dxa" w:w="2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Assumptions, claims/evidence, unresolved uncertainty, approvals, exceptions, rejected options.</w:t>
            </w:r>
          </w:p>
        </w:tc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Inspect sources; resolve disagreement; approve/deny bounded request; export evidence/audit.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§17.2; FR-GOV-003/005–010</w:t>
            </w:r>
          </w:p>
        </w:tc>
      </w:tr>
      <w:tr>
        <w:trPr>
          <w:trHeight w:hRule="auto"/>
        </w:trPr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Cost</w:t>
            </w:r>
          </w:p>
        </w:tc>
        <w:tc>
          <w:tcPr>
            <w:tcW w:type="dxa" w:w="20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Estimate/reservation/actual/forecast summary; cost-by-stage/Assignment/provider; alerts and alternatives.</w:t>
            </w:r>
          </w:p>
        </w:tc>
        <w:tc>
          <w:tcPr>
            <w:tcW w:type="dxa" w:w="2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Assumptions/range, price versions, reserved/actual spend, thresholds, provider/platform split.</w:t>
            </w:r>
          </w:p>
        </w:tc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Adjust draft plan/budget; choose compliant lower-cost option; approve budget revision where authorized.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§17.2; NFR-CST-001–005; §22.4</w:t>
            </w:r>
          </w:p>
        </w:tc>
      </w:tr>
    </w:tbl>
    <w:p>
      <w:pPr>
        <w:spacing w:after="0"/>
      </w:pPr>
    </w:p>
    <w:p>
      <w:pPr>
        <w:pStyle w:val="Heading2"/>
      </w:pPr>
      <w:r>
        <w:t>A10.3 Required shared states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512"/>
        <w:gridCol w:w="4752"/>
        <w:gridCol w:w="3096"/>
      </w:tblGrid>
      <w:tr>
        <w:trPr>
          <w:trHeight w:hRule="auto"/>
          <w:tblHeader w:val="true"/>
        </w:trPr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State</w:t>
            </w:r>
          </w:p>
        </w:tc>
        <w:tc>
          <w:tcPr>
            <w:tcW w:type="dxa" w:w="475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Required content</w:t>
            </w:r>
          </w:p>
        </w:tc>
        <w:tc>
          <w:tcPr>
            <w:tcW w:type="dxa" w:w="30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Permitted primary action</w:t>
            </w:r>
          </w:p>
        </w:tc>
      </w:tr>
      <w:tr>
        <w:trPr>
          <w:trHeight w:hRule="auto"/>
        </w:trPr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Empty</w:t>
            </w:r>
          </w:p>
        </w:tc>
        <w:tc>
          <w:tcPr>
            <w:tcW w:type="dxa" w:w="475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Explain what is absent and why it matters; distinguish not-created from no-results filter.</w:t>
            </w:r>
          </w:p>
        </w:tc>
        <w:tc>
          <w:tcPr>
            <w:tcW w:type="dxa" w:w="30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One context-appropriate creation/import/filter-reset action; never show live-looking demo data.</w:t>
            </w:r>
          </w:p>
        </w:tc>
      </w:tr>
      <w:tr>
        <w:trPr>
          <w:trHeight w:hRule="auto"/>
        </w:trPr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Loading</w:t>
            </w:r>
          </w:p>
        </w:tc>
        <w:tc>
          <w:tcPr>
            <w:tcW w:type="dxa" w:w="475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Immediate acknowledgement; skeleton/progress; retain navigation; disclose queue/platform/provider timing for long work.</w:t>
            </w:r>
          </w:p>
        </w:tc>
        <w:tc>
          <w:tcPr>
            <w:tcW w:type="dxa" w:w="30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Cancel only where supported; navigate away without state loss.</w:t>
            </w:r>
          </w:p>
        </w:tc>
      </w:tr>
      <w:tr>
        <w:trPr>
          <w:trHeight w:hRule="auto"/>
        </w:trPr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Waiting</w:t>
            </w:r>
          </w:p>
        </w:tc>
        <w:tc>
          <w:tcPr>
            <w:tcW w:type="dxa" w:w="475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Name the awaited approval/input/event/schedule/backoff, owner, and next allowed action.</w:t>
            </w:r>
          </w:p>
        </w:tc>
        <w:tc>
          <w:tcPr>
            <w:tcW w:type="dxa" w:w="30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Provide input, act on approval, or leave safely; no worker occupancy implied.</w:t>
            </w:r>
          </w:p>
        </w:tc>
      </w:tr>
      <w:tr>
        <w:trPr>
          <w:trHeight w:hRule="auto"/>
        </w:trPr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Permission denied</w:t>
            </w:r>
          </w:p>
        </w:tc>
        <w:tc>
          <w:tcPr>
            <w:tcW w:type="dxa" w:w="475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State the denied action/resource safely; do not reveal unrelated tenant content; show required scope/owner when policy permits.</w:t>
            </w:r>
          </w:p>
        </w:tc>
        <w:tc>
          <w:tcPr>
            <w:tcW w:type="dxa" w:w="30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Request access/Grant or return to an authorized scope.</w:t>
            </w:r>
          </w:p>
        </w:tc>
      </w:tr>
      <w:tr>
        <w:trPr>
          <w:trHeight w:hRule="auto"/>
        </w:trPr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Provider failed</w:t>
            </w:r>
          </w:p>
        </w:tc>
        <w:tc>
          <w:tcPr>
            <w:tcW w:type="dxa" w:w="475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Separate provider failure from platform/queue time; preserve partial artifacts; include stable category and correlation ID.</w:t>
            </w:r>
          </w:p>
        </w:tc>
        <w:tc>
          <w:tcPr>
            <w:tcW w:type="dxa" w:w="30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Retry with bounded backoff, choose allowed fallback, wait, or escalate.</w:t>
            </w:r>
          </w:p>
        </w:tc>
      </w:tr>
      <w:tr>
        <w:trPr>
          <w:trHeight w:hRule="auto"/>
        </w:trPr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Budget blocked</w:t>
            </w:r>
          </w:p>
        </w:tc>
        <w:tc>
          <w:tcPr>
            <w:tcW w:type="dxa" w:w="475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Show estimate/reservation/current spend/gap and why compliant execution cannot continue.</w:t>
            </w:r>
          </w:p>
        </w:tc>
        <w:tc>
          <w:tcPr>
            <w:tcW w:type="dxa" w:w="30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5"/>
              </w:rPr>
              <w:t>Select a cheaper compliant plan or submit an explicit budget revision.</w:t>
            </w:r>
          </w:p>
        </w:tc>
      </w:tr>
    </w:tbl>
    <w:p>
      <w:pPr>
        <w:spacing w:after="0"/>
      </w:pPr>
    </w:p>
    <w:p>
      <w:pPr>
        <w:pStyle w:val="SourceNote"/>
      </w:pPr>
      <w:r>
        <w:t>Source: v4 §§17.3–17.4; NFR-PERF-002/006, NFR-CST-004, NFR-OBS-004, NFR-UX-001/003.</w:t>
      </w:r>
    </w:p>
    <w:p>
      <w:pPr>
        <w:pStyle w:val="Heading1"/>
      </w:pPr>
      <w:r>
        <w:t>A11 — COMPONENT INVENTORY</w:t>
      </w:r>
    </w:p>
    <w:p>
      <w:pPr>
        <w:shd w:fill="F3F5F7"/>
        <w:spacing w:before="100" w:after="140" w:line="259" w:lineRule="auto"/>
        <w:ind w:left="115" w:right="115"/>
      </w:pPr>
      <w:r>
        <w:rPr>
          <w:rFonts w:ascii="Arial" w:hAnsi="Arial"/>
          <w:b/>
          <w:color w:val="1D7E84"/>
          <w:sz w:val="16"/>
        </w:rPr>
        <w:t>SELECTION BOUNDARY</w:t>
        <w:br/>
      </w:r>
      <w:r>
        <w:rPr>
          <w:rFonts w:ascii="Arial" w:hAnsi="Arial"/>
          <w:color w:val="14202E"/>
          <w:sz w:val="18"/>
        </w:rPr>
        <w:t>This is a behavior inventory, not a component-library decision and not code. Every interactive component inherits NFR-UX-001: keyboard operation, visible focus, semantic labeling, and a non-color state cue.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800"/>
        <w:gridCol w:w="2376"/>
        <w:gridCol w:w="1584"/>
        <w:gridCol w:w="1728"/>
        <w:gridCol w:w="1872"/>
      </w:tblGrid>
      <w:tr>
        <w:trPr>
          <w:trHeight w:hRule="auto"/>
          <w:tblHeader w:val="true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States</w:t>
            </w:r>
          </w:p>
        </w:tc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Where used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Accessibility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PrimaryNavigation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Expose Simple-mode Home, Work, Automations, Library, Inbox, Settings.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Default; active; collapsed/mobile; unavailable item.</w:t>
            </w:r>
          </w:p>
        </w:tc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All surfaces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NFR-UX-001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ModeNavigationAdditions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Add Builder/Admin destinations without duplicating Simple routes.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Simple; Builder; Admin; permission-filtered.</w:t>
            </w:r>
          </w:p>
        </w:tc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Global shell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NFR-UX-001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StudioNavigationGroup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Group Agents, Flows, Work Packs, Organizations &amp; Teams, Skills, Tools.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Collapsed; expanded; active child; empty permitted list.</w:t>
            </w:r>
          </w:p>
        </w:tc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Build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NFR-UX-001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ObserveNavigationGroup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Group Runs, Evaluations, Evidence, Usage, Deployments.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Collapsed; expanded; active child; alert count.</w:t>
            </w:r>
          </w:p>
        </w:tc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Operate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NFR-UX-001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MissionCockpitTabs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Provide the seven consistent Mission tabs.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Active; inactive; disabled by permission; badge/attention.</w:t>
            </w:r>
          </w:p>
        </w:tc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Work / Mission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NFR-UX-001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CommandPalette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Keyboard-first cross-Mission search and navigation/action discovery.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Closed; open; searching; no results; permission-filtered.</w:t>
            </w:r>
          </w:p>
        </w:tc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Global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NFR-UX-001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ThemeControl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Switch dark/light theme without changing semantic status meaning.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Light; dark; system/default if implemented.</w:t>
            </w:r>
          </w:p>
        </w:tc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Global settings/shell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NFR-UX-001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ResponsiveGrid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Apply the stable 12-column desktop and compact mobile structure.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Desktop; compact; mobile review layout.</w:t>
            </w:r>
          </w:p>
        </w:tc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All surfaces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NFR-UX-001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StatusIndicator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Represent healthy/running/waiting/warning/failed/blocked/approved consistently.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Named semantic states; icon/text plus color.</w:t>
            </w:r>
          </w:p>
        </w:tc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Cards, rows, cockpit, Observe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NFR-UX-001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IconAction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Perform a compact named action with coherent iconography.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Default; hover; focus; disabled; loading; dangerous.</w:t>
            </w:r>
          </w:p>
        </w:tc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Toolbars and cards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NFR-UX-001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TooltipOrLabel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Explain non-universal icons and locked constraints.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Hidden; hover/focus visible; persistent label where needed.</w:t>
            </w:r>
          </w:p>
        </w:tc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Global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NFR-UX-001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AccessibleChart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Show units, labels, baselines, and text alternative.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Loading; populated; empty; partial; error.</w:t>
            </w:r>
          </w:p>
        </w:tc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Cost, usage, evaluations, analytics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NFR-UX-001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DataRealityLabel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Prevent mock/demo data from appearing live.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Live; demo/mock; estimated; unavailable.</w:t>
            </w:r>
          </w:p>
        </w:tc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All data surfaces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NFR-UX-001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InboxQueue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Unify approval and audit work for Simple mode.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Empty; loading; waiting; action required; failure.</w:t>
            </w:r>
          </w:p>
        </w:tc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Inbox / Work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NFR-UX-001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SurfaceStatePanel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Render required empty/loading/waiting/permission/provider/budget/recovery states.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Six required states plus recovery.</w:t>
            </w:r>
          </w:p>
        </w:tc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All surfaces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NFR-UX-001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MobileMissionReview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Support status, approval, input, artifact review, messaging, and light edits.</w:t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Read; approve/deny; input; offline/reconnect if supported.</w:t>
            </w:r>
          </w:p>
        </w:tc>
        <w:tc>
          <w:tcPr>
            <w:tcW w:type="dxa" w:w="17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Mobile/PWA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NFR-UX-001</w:t>
            </w:r>
          </w:p>
        </w:tc>
      </w:tr>
    </w:tbl>
    <w:p>
      <w:pPr>
        <w:spacing w:after="0"/>
      </w:pPr>
    </w:p>
    <w:p>
      <w:pPr>
        <w:pStyle w:val="SourceNote"/>
      </w:pPr>
      <w:r>
        <w:t>Source: v4 §8 and §17.4; Mission tab consistency from §8/§17.2; NFR-UX-001.</w:t>
      </w:r>
    </w:p>
    <w:p>
      <w:pPr>
        <w:pStyle w:val="Heading1"/>
      </w:pPr>
      <w:r>
        <w:t>A12 — UNVALIDATED HYPOTHESIS USER PROFILES</w:t>
      </w:r>
    </w:p>
    <w:p>
      <w:pPr>
        <w:shd w:fill="FFF1E6"/>
        <w:spacing w:before="100" w:after="140" w:line="259" w:lineRule="auto"/>
        <w:ind w:left="115" w:right="115"/>
      </w:pPr>
      <w:r>
        <w:rPr>
          <w:rFonts w:ascii="Arial" w:hAnsi="Arial"/>
          <w:b/>
          <w:color w:val="1D7E84"/>
          <w:sz w:val="16"/>
        </w:rPr>
        <w:t>UNVALIDATED — NOT PERSONAS</w:t>
        <w:br/>
      </w:r>
      <w:r>
        <w:rPr>
          <w:rFonts w:ascii="Arial" w:hAnsi="Arial"/>
          <w:color w:val="14202E"/>
          <w:sz w:val="18"/>
        </w:rPr>
        <w:t>These are buyer hypotheses derived only from §12.3. No demographics, names, quotes, or additional pain points are asserted. D5’s specification score does not validate any buyer; §27 D2 remains 3.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800"/>
        <w:gridCol w:w="2592"/>
        <w:gridCol w:w="2592"/>
        <w:gridCol w:w="2376"/>
      </w:tblGrid>
      <w:tr>
        <w:trPr>
          <w:trHeight w:hRule="auto"/>
          <w:tblHeader w:val="true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Segment as written</w:t>
            </w:r>
          </w:p>
        </w:tc>
        <w:tc>
          <w:tcPr>
            <w:tcW w:type="dxa" w:w="25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Stated primary need</w:t>
            </w:r>
          </w:p>
        </w:tc>
        <w:tc>
          <w:tcPr>
            <w:tcW w:type="dxa" w:w="25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What must be true for the right buyer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Evidence required to confirm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Primary — Solo builders, technical founders and product owners</w:t>
            </w:r>
          </w:p>
        </w:tc>
        <w:tc>
          <w:tcPr>
            <w:tcW w:type="dxa" w:w="25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Turn an idea into a planned, built, tested and deployable product using a temporary AI company.</w:t>
            </w:r>
          </w:p>
        </w:tc>
        <w:tc>
          <w:tcPr>
            <w:tcW w:type="dxa" w:w="25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They repeatedly buy an end-to-end governed product-delivery Mission and accept the proposed authority/review workflow at a viable price.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§27 D2: fixed-scope offer to ≥10 prospects in the segment; paid deposits or signed commitments; record actual buyer, trigger, rejected alternatives, acceptable price and review overhead. §27 D7: paid-buyer evidence that governed work is valued and its approval overhead accepted.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Primary — Creators and content teams</w:t>
            </w:r>
          </w:p>
        </w:tc>
        <w:tc>
          <w:tcPr>
            <w:tcW w:type="dxa" w:w="25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Produce repeatable, reviewed YouTube, Reel, writing and research pipelines without coordinating many tools manually.</w:t>
            </w:r>
          </w:p>
        </w:tc>
        <w:tc>
          <w:tcPr>
            <w:tcW w:type="dxa" w:w="25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They pay for the reviewed multi-tool pipeline and accept rights, evidence, budget, and publish gates as useful rather than obstructive.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§27 D2: fixed-scope offer to ≥10 prospects in the segment; paid deposits or signed commitments; record actual buyer, trigger, rejected alternatives, acceptable price and review overhead. §27 D7: paid-buyer evidence that governed work is valued and its approval overhead accepted.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Primary — AI automation builders and agencies</w:t>
            </w:r>
          </w:p>
        </w:tc>
        <w:tc>
          <w:tcPr>
            <w:tcW w:type="dxa" w:w="25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Design, test, deploy and operate governed agents/workflows for themselves or clients.</w:t>
            </w:r>
          </w:p>
        </w:tc>
        <w:tc>
          <w:tcPr>
            <w:tcW w:type="dxa" w:w="25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They choose A.L.F.R.E.D. over simpler builders because trace, authority, recovery, and evaluation reduce client-delivery risk enough to justify price/overhead.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§27 D2: fixed-scope offer to ≥10 prospects in the segment; paid deposits or signed commitments; record actual buyer, trigger, rejected alternatives, acceptable price and review overhead. §27 D7: paid-buyer evidence that governed work is valued and its approval overhead accepted.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Secondary — Software, product, research and operations teams</w:t>
            </w:r>
          </w:p>
        </w:tc>
        <w:tc>
          <w:tcPr>
            <w:tcW w:type="dxa" w:w="25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Add persistent AI employees and department workflows while retaining human authority and auditability.</w:t>
            </w:r>
          </w:p>
        </w:tc>
        <w:tc>
          <w:tcPr>
            <w:tcW w:type="dxa" w:w="25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 budget owner funds a governed deployment and the team uses persistent roles/workflows with accepted approval and audit overhead.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§27 D2: fixed-scope offer to ≥10 prospects in the segment; paid deposits or signed commitments; record actual buyer, trigger, rejected alternatives, acceptable price and review overhead. §27 D7: paid-buyer evidence that governed work is valued and its approval overhead accepted.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Later — Enterprise platform, security and compliance teams</w:t>
            </w:r>
          </w:p>
        </w:tc>
        <w:tc>
          <w:tcPr>
            <w:tcW w:type="dxa" w:w="25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Govern models, connectors, data, deployments, identities and evidence across an organization.</w:t>
            </w:r>
          </w:p>
        </w:tc>
        <w:tc>
          <w:tcPr>
            <w:tcW w:type="dxa" w:w="25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A qualified enterprise buyer funds the required controls after R5-level team/security/operability evidence exists; later enterprise requirements remain separately gated.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3"/>
              </w:rPr>
              <w:t>§27 D2: fixed-scope offer to ≥10 prospects in the segment; paid deposits or signed commitments; record actual buyer, trigger, rejected alternatives, acceptable price and review overhead. §27 D7: paid-buyer evidence that governed work is valued and its approval overhead accepted.</w:t>
            </w:r>
          </w:p>
        </w:tc>
      </w:tr>
    </w:tbl>
    <w:p>
      <w:pPr>
        <w:spacing w:after="0"/>
      </w:pPr>
    </w:p>
    <w:p>
      <w:pPr>
        <w:pStyle w:val="SourceNote"/>
      </w:pPr>
      <w:r>
        <w:t>Source: v4 §12.3; §27 Confidence Register D2 and D7. No external persona evidence supplied.</w:t>
      </w:r>
    </w:p>
    <w:p>
      <w:pPr>
        <w:pStyle w:val="Heading1"/>
      </w:pPr>
      <w:r>
        <w:t>PART 3 — BLOCKED, WITH REASONS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160"/>
        <w:gridCol w:w="3744"/>
        <w:gridCol w:w="3456"/>
      </w:tblGrid>
      <w:tr>
        <w:trPr>
          <w:trHeight w:hRule="auto"/>
          <w:tblHeader w:val="true"/>
        </w:trPr>
        <w:tc>
          <w:tcPr>
            <w:tcW w:type="dxa" w:w="2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Blocked artifact</w:t>
            </w:r>
          </w:p>
        </w:tc>
        <w:tc>
          <w:tcPr>
            <w:tcW w:type="dxa" w:w="37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Why blocked</w:t>
            </w:r>
          </w:p>
        </w:tc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73A5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What unblocks it</w:t>
            </w:r>
          </w:p>
        </w:tc>
      </w:tr>
      <w:tr>
        <w:trPr>
          <w:trHeight w:hRule="auto"/>
        </w:trPr>
        <w:tc>
          <w:tcPr>
            <w:tcW w:type="dxa" w:w="2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Stakeholder directory</w:t>
            </w:r>
          </w:p>
        </w:tc>
        <w:tc>
          <w:tcPr>
            <w:tcW w:type="dxa" w:w="37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§28 is BLOCKED—NOT SUPPLIED and contains no accountable implementation roster. Names, responsibilities, decision rights, and contacts cannot be inferred.</w:t>
            </w:r>
          </w:p>
        </w:tc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Complete §28 and supply the actual product, engineering, security, operations, finance, design, and approval owners needed by the governed delivery plan.</w:t>
            </w:r>
          </w:p>
        </w:tc>
      </w:tr>
      <w:tr>
        <w:trPr>
          <w:trHeight w:hRule="auto"/>
        </w:trPr>
        <w:tc>
          <w:tcPr>
            <w:tcW w:type="dxa" w:w="2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Figma/design links and clickable prototype links</w:t>
            </w:r>
          </w:p>
        </w:tc>
        <w:tc>
          <w:tcPr>
            <w:tcW w:type="dxa" w:w="37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A document cannot truthfully create real design-tool resources or clickable prototype URLs. v4 supplies requirements, not a human-approved design file.</w:t>
            </w:r>
          </w:p>
        </w:tc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A human designer must choose a real design tool, create the files/prototype, and provide stable links and access permissions.</w:t>
            </w:r>
          </w:p>
        </w:tc>
      </w:tr>
      <w:tr>
        <w:trPr>
          <w:trHeight w:hRule="auto"/>
        </w:trPr>
        <w:tc>
          <w:tcPr>
            <w:tcW w:type="dxa" w:w="2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UI assets checklist</w:t>
            </w:r>
          </w:p>
        </w:tc>
        <w:tc>
          <w:tcPr>
            <w:tcW w:type="dxa" w:w="37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The icon/illustration/typography/brand asset set depends on a design-system decision that v4 has deliberately not made.</w:t>
            </w:r>
          </w:p>
        </w:tc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Approve the design system, icon system, typography/brand rules, themes, asset licensing, and component ownership; then inventory required files/states.</w:t>
            </w:r>
          </w:p>
        </w:tc>
      </w:tr>
      <w:tr>
        <w:trPr>
          <w:trHeight w:hRule="auto"/>
        </w:trPr>
        <w:tc>
          <w:tcPr>
            <w:tcW w:type="dxa" w:w="2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Full API endpoint specifications</w:t>
            </w:r>
          </w:p>
        </w:tc>
        <w:tc>
          <w:tcPr>
            <w:tcW w:type="dxa" w:w="37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§19.5 intentionally fixes resource/event principles, not endpoint paths or payload schemas. Freezing them now would repeat the premature durable-object commitment behind §27 D8 = 6.</w:t>
            </w:r>
          </w:p>
        </w:tc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After the Phase 1 kernel vertical slice, use measured implementation evidence to publish resource paths, methods, schemas, stable error codes, auth scopes, idempotency, pagination, events/webhooks, and version migration rules.</w:t>
            </w:r>
          </w:p>
        </w:tc>
      </w:tr>
      <w:tr>
        <w:trPr>
          <w:trHeight w:hRule="auto"/>
        </w:trPr>
        <w:tc>
          <w:tcPr>
            <w:tcW w:type="dxa" w:w="2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Scalability targets beyond NFR-REL</w:t>
            </w:r>
          </w:p>
        </w:tc>
        <w:tc>
          <w:tcPr>
            <w:tcW w:type="dxa" w:w="37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NFR-REL supplies availability, RPO/RTO, queue/recovery, and provider-degradation targets. Throughput, concurrency, tenant size, storage growth, and regional topology lack measured load data.</w:t>
            </w:r>
          </w:p>
        </w:tc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Run representative load/soak/failure tests on the implemented kernel and declare capacity/SLO targets from observed bottlenecks and funded infrastructure.</w:t>
            </w:r>
          </w:p>
        </w:tc>
      </w:tr>
      <w:tr>
        <w:trPr>
          <w:trHeight w:hRule="auto"/>
        </w:trPr>
        <w:tc>
          <w:tcPr>
            <w:tcW w:type="dxa" w:w="2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HIPAA compliance</w:t>
            </w:r>
          </w:p>
        </w:tc>
        <w:tc>
          <w:tcPr>
            <w:tcW w:type="dxa" w:w="37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It conflicts with §12.6’s exclusion of autonomous medical decisions, and v4 contains no HIPAA scope, BAAs, risk analysis, safeguards mapping, or audit evidence.</w:t>
            </w:r>
          </w:p>
        </w:tc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4202E"/>
                <w:sz w:val="14"/>
              </w:rPr>
              <w:t>Do not claim HIPAA readiness. A separately approved regulated-health scope and formal compliance program would be required. GDPR posture is limited to NFR-PRV-001…003: data-recipient transparency; enforceable retention/export/deletion/memory/provider-use controls; and opt-in customer-content training with separate consent/data contract. This is not a GDPR readiness or certification claim.</w:t>
            </w:r>
          </w:p>
        </w:tc>
      </w:tr>
    </w:tbl>
    <w:p>
      <w:pPr>
        <w:spacing w:after="0"/>
      </w:pPr>
    </w:p>
    <w:p>
      <w:pPr>
        <w:pStyle w:val="SourceNote"/>
      </w:pPr>
      <w:r>
        <w:t>Source: v4 §12.6, §19.5, §21.2–21.3, §27 D8, §28; NFR-REL-001…006 and NFR-PRV-001…003.</w:t>
      </w:r>
    </w:p>
    <w:p>
      <w:pPr>
        <w:shd w:fill="E7F4F3"/>
        <w:spacing w:before="100" w:after="140" w:line="259" w:lineRule="auto"/>
        <w:ind w:left="115" w:right="115"/>
      </w:pPr>
      <w:r>
        <w:rPr>
          <w:rFonts w:ascii="Arial" w:hAnsi="Arial"/>
          <w:b/>
          <w:color w:val="1D7E84"/>
          <w:sz w:val="16"/>
        </w:rPr>
        <w:t>FINAL CONFIRMATION</w:t>
        <w:br/>
      </w:r>
      <w:r>
        <w:rPr>
          <w:rFonts w:ascii="Arial" w:hAnsi="Arial"/>
          <w:color w:val="14202E"/>
          <w:sz w:val="18"/>
        </w:rPr>
        <w:t>A.L.F.R.E.D. v4 was not modified.</w:t>
      </w:r>
    </w:p>
    <w:sectPr w:rsidR="00FC693F" w:rsidRPr="0006063C" w:rsidSect="00034616">
      <w:pgSz w:w="12240" w:h="15840"/>
      <w:pgMar w:top="1080" w:right="1440" w:bottom="1008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C6874"/>
        <w:sz w:val="15"/>
      </w:rPr>
      <w:t xml:space="preserve">Companion document  •  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/>
        <w:b/>
        <w:color w:val="5C6874"/>
        <w:sz w:val="15"/>
      </w:rPr>
      <w:t>A.L.F.R.E.D. v4  •  ANNEX A — IMPLEMENTATION ARTIFACTS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420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5345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D7E8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5345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32" w:hanging="230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32" w:hanging="230"/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40" w:after="120"/>
    </w:pPr>
    <w:rPr>
      <w:rFonts w:ascii="Arial" w:hAnsi="Arial"/>
      <w:i/>
      <w:color w:val="5C6874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A — IMPLEMENTATION ARTIFACTS</dc:title>
  <dc:subject>Companion to A.L.F.R.E.D. v4</dc:subject>
  <dc:creator>A.L.F.R.E.D. project</dc:creator>
  <cp:keywords>A.L.F.R.E.D., v4, implementation annex, requirements traceability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