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D2D2F" w14:textId="77777777" w:rsidR="00F32583" w:rsidRDefault="00F32583" w:rsidP="00F32583">
      <w:pPr>
        <w:spacing w:before="240" w:after="80"/>
        <w:jc w:val="center"/>
      </w:pPr>
      <w:r>
        <w:rPr>
          <w:b/>
          <w:color w:val="1A365D"/>
          <w:sz w:val="48"/>
        </w:rPr>
        <w:t>Crop Recommendation Data Analysis Report</w:t>
      </w:r>
    </w:p>
    <w:p w14:paraId="487772E2" w14:textId="77777777" w:rsidR="00F32583" w:rsidRDefault="00F32583" w:rsidP="00F32583">
      <w:pPr>
        <w:spacing w:after="480"/>
        <w:jc w:val="center"/>
      </w:pPr>
      <w:r>
        <w:rPr>
          <w:i/>
          <w:color w:val="4A5568"/>
          <w:sz w:val="26"/>
        </w:rPr>
        <w:t>Exploratory Data Analysis, Cleaning, &amp; Visual Insights</w:t>
      </w:r>
    </w:p>
    <w:p w14:paraId="48049B03" w14:textId="77777777" w:rsidR="00F32583" w:rsidRPr="00F32583" w:rsidRDefault="00F32583" w:rsidP="00F32583">
      <w:pPr>
        <w:spacing w:before="360" w:after="120"/>
        <w:rPr>
          <w:sz w:val="22"/>
          <w:szCs w:val="24"/>
        </w:rPr>
      </w:pPr>
      <w:r w:rsidRPr="00F32583">
        <w:rPr>
          <w:b/>
          <w:color w:val="1A365D"/>
          <w:sz w:val="36"/>
          <w:szCs w:val="24"/>
        </w:rPr>
        <w:t>1. Executive Summary &amp; Data Integrity Analysis</w:t>
      </w:r>
    </w:p>
    <w:p w14:paraId="6E9A07C5" w14:textId="77777777" w:rsidR="00F32583" w:rsidRPr="00F32583" w:rsidRDefault="00F32583" w:rsidP="00F32583">
      <w:pPr>
        <w:spacing w:after="120"/>
        <w:rPr>
          <w:sz w:val="24"/>
          <w:szCs w:val="28"/>
        </w:rPr>
      </w:pPr>
      <w:r w:rsidRPr="00F32583">
        <w:rPr>
          <w:sz w:val="24"/>
          <w:szCs w:val="28"/>
        </w:rPr>
        <w:t>This report presents a thorough exploratory analysis and visual diagnosis of the Crop Recommendation dataset. The primary objective is to evaluate soil nutritional parameters (Nitrogen, Phosphorus, Potassium) alongside climatic factors (Temperature, Humidity, pH, and Rainfall) to understand crop growth requirements.</w:t>
      </w:r>
    </w:p>
    <w:p w14:paraId="102B6D83" w14:textId="77777777" w:rsidR="00F32583" w:rsidRDefault="00F32583" w:rsidP="00F32583">
      <w:pPr>
        <w:spacing w:after="120"/>
      </w:pPr>
    </w:p>
    <w:tbl>
      <w:tblPr>
        <w:tblStyle w:val="GridTable4-Accent5"/>
        <w:tblW w:w="0" w:type="auto"/>
        <w:tblLook w:val="04A0" w:firstRow="1" w:lastRow="0" w:firstColumn="1" w:lastColumn="0" w:noHBand="0" w:noVBand="1"/>
      </w:tblPr>
      <w:tblGrid>
        <w:gridCol w:w="2269"/>
        <w:gridCol w:w="2243"/>
        <w:gridCol w:w="2246"/>
        <w:gridCol w:w="2258"/>
      </w:tblGrid>
      <w:tr w:rsidR="00F32583" w14:paraId="68E86DCE" w14:textId="77777777" w:rsidTr="00F325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1" w:type="dxa"/>
          </w:tcPr>
          <w:p w14:paraId="38FF3ACC" w14:textId="77777777" w:rsidR="00F32583" w:rsidRDefault="00F32583" w:rsidP="0020608C">
            <w:r>
              <w:rPr>
                <w:color w:val="FFFFFF"/>
                <w:sz w:val="19"/>
              </w:rPr>
              <w:t>Metric / Feature</w:t>
            </w:r>
          </w:p>
        </w:tc>
        <w:tc>
          <w:tcPr>
            <w:tcW w:w="2246" w:type="dxa"/>
          </w:tcPr>
          <w:p w14:paraId="327F7F99" w14:textId="77777777" w:rsidR="00F32583" w:rsidRDefault="00F32583" w:rsidP="0020608C">
            <w:pPr>
              <w:cnfStyle w:val="100000000000" w:firstRow="1" w:lastRow="0" w:firstColumn="0" w:lastColumn="0" w:oddVBand="0" w:evenVBand="0" w:oddHBand="0" w:evenHBand="0" w:firstRowFirstColumn="0" w:firstRowLastColumn="0" w:lastRowFirstColumn="0" w:lastRowLastColumn="0"/>
            </w:pPr>
            <w:r>
              <w:rPr>
                <w:color w:val="FFFFFF"/>
                <w:sz w:val="19"/>
              </w:rPr>
              <w:t>Data Type</w:t>
            </w:r>
          </w:p>
        </w:tc>
        <w:tc>
          <w:tcPr>
            <w:tcW w:w="2249" w:type="dxa"/>
          </w:tcPr>
          <w:p w14:paraId="604EE21A" w14:textId="77777777" w:rsidR="00F32583" w:rsidRDefault="00F32583" w:rsidP="0020608C">
            <w:pPr>
              <w:cnfStyle w:val="100000000000" w:firstRow="1" w:lastRow="0" w:firstColumn="0" w:lastColumn="0" w:oddVBand="0" w:evenVBand="0" w:oddHBand="0" w:evenHBand="0" w:firstRowFirstColumn="0" w:firstRowLastColumn="0" w:lastRowFirstColumn="0" w:lastRowLastColumn="0"/>
            </w:pPr>
            <w:r>
              <w:rPr>
                <w:color w:val="FFFFFF"/>
                <w:sz w:val="19"/>
              </w:rPr>
              <w:t>Missing Values</w:t>
            </w:r>
          </w:p>
        </w:tc>
        <w:tc>
          <w:tcPr>
            <w:tcW w:w="2260" w:type="dxa"/>
          </w:tcPr>
          <w:p w14:paraId="4D44F143" w14:textId="77777777" w:rsidR="00F32583" w:rsidRDefault="00F32583" w:rsidP="0020608C">
            <w:pPr>
              <w:cnfStyle w:val="100000000000" w:firstRow="1" w:lastRow="0" w:firstColumn="0" w:lastColumn="0" w:oddVBand="0" w:evenVBand="0" w:oddHBand="0" w:evenHBand="0" w:firstRowFirstColumn="0" w:firstRowLastColumn="0" w:lastRowFirstColumn="0" w:lastRowLastColumn="0"/>
            </w:pPr>
            <w:r>
              <w:rPr>
                <w:color w:val="FFFFFF"/>
                <w:sz w:val="19"/>
              </w:rPr>
              <w:t>Observed Range</w:t>
            </w:r>
          </w:p>
        </w:tc>
      </w:tr>
      <w:tr w:rsidR="00F32583" w14:paraId="10F4C1CE" w14:textId="77777777" w:rsidTr="00F32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1" w:type="dxa"/>
          </w:tcPr>
          <w:p w14:paraId="37C96934" w14:textId="77777777" w:rsidR="00F32583" w:rsidRDefault="00F32583" w:rsidP="0020608C">
            <w:r>
              <w:rPr>
                <w:sz w:val="18"/>
              </w:rPr>
              <w:t>Nitrogen (N)</w:t>
            </w:r>
          </w:p>
        </w:tc>
        <w:tc>
          <w:tcPr>
            <w:tcW w:w="2246" w:type="dxa"/>
          </w:tcPr>
          <w:p w14:paraId="44D5C2E9"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Integer</w:t>
            </w:r>
          </w:p>
        </w:tc>
        <w:tc>
          <w:tcPr>
            <w:tcW w:w="2249" w:type="dxa"/>
          </w:tcPr>
          <w:p w14:paraId="57A3485F"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0 (0%)</w:t>
            </w:r>
          </w:p>
        </w:tc>
        <w:tc>
          <w:tcPr>
            <w:tcW w:w="2260" w:type="dxa"/>
          </w:tcPr>
          <w:p w14:paraId="2E1C5BA6"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0 - 140 ratio</w:t>
            </w:r>
          </w:p>
        </w:tc>
      </w:tr>
      <w:tr w:rsidR="00F32583" w14:paraId="38B77B2B" w14:textId="77777777" w:rsidTr="00F32583">
        <w:tc>
          <w:tcPr>
            <w:cnfStyle w:val="001000000000" w:firstRow="0" w:lastRow="0" w:firstColumn="1" w:lastColumn="0" w:oddVBand="0" w:evenVBand="0" w:oddHBand="0" w:evenHBand="0" w:firstRowFirstColumn="0" w:firstRowLastColumn="0" w:lastRowFirstColumn="0" w:lastRowLastColumn="0"/>
            <w:tcW w:w="2271" w:type="dxa"/>
          </w:tcPr>
          <w:p w14:paraId="18BBAECA" w14:textId="77777777" w:rsidR="00F32583" w:rsidRDefault="00F32583" w:rsidP="0020608C">
            <w:r>
              <w:rPr>
                <w:sz w:val="18"/>
              </w:rPr>
              <w:t>Phosphorus (P)</w:t>
            </w:r>
          </w:p>
        </w:tc>
        <w:tc>
          <w:tcPr>
            <w:tcW w:w="2246" w:type="dxa"/>
          </w:tcPr>
          <w:p w14:paraId="732D42A3"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Integer</w:t>
            </w:r>
          </w:p>
        </w:tc>
        <w:tc>
          <w:tcPr>
            <w:tcW w:w="2249" w:type="dxa"/>
          </w:tcPr>
          <w:p w14:paraId="2A625D74"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0 (0%)</w:t>
            </w:r>
          </w:p>
        </w:tc>
        <w:tc>
          <w:tcPr>
            <w:tcW w:w="2260" w:type="dxa"/>
          </w:tcPr>
          <w:p w14:paraId="1AA7F6E5"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5 - 145 ratio</w:t>
            </w:r>
          </w:p>
        </w:tc>
      </w:tr>
      <w:tr w:rsidR="00F32583" w14:paraId="017157B9" w14:textId="77777777" w:rsidTr="00F32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1" w:type="dxa"/>
          </w:tcPr>
          <w:p w14:paraId="71FD0180" w14:textId="77777777" w:rsidR="00F32583" w:rsidRDefault="00F32583" w:rsidP="0020608C">
            <w:r>
              <w:rPr>
                <w:sz w:val="18"/>
              </w:rPr>
              <w:t>Potassium (K)</w:t>
            </w:r>
          </w:p>
        </w:tc>
        <w:tc>
          <w:tcPr>
            <w:tcW w:w="2246" w:type="dxa"/>
          </w:tcPr>
          <w:p w14:paraId="122F8663"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Integer</w:t>
            </w:r>
          </w:p>
        </w:tc>
        <w:tc>
          <w:tcPr>
            <w:tcW w:w="2249" w:type="dxa"/>
          </w:tcPr>
          <w:p w14:paraId="4443333F"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0 (0%)</w:t>
            </w:r>
          </w:p>
        </w:tc>
        <w:tc>
          <w:tcPr>
            <w:tcW w:w="2260" w:type="dxa"/>
          </w:tcPr>
          <w:p w14:paraId="6111C2F7"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5 - 205 ratio</w:t>
            </w:r>
          </w:p>
        </w:tc>
      </w:tr>
      <w:tr w:rsidR="00F32583" w14:paraId="5C43E208" w14:textId="77777777" w:rsidTr="00F32583">
        <w:tc>
          <w:tcPr>
            <w:cnfStyle w:val="001000000000" w:firstRow="0" w:lastRow="0" w:firstColumn="1" w:lastColumn="0" w:oddVBand="0" w:evenVBand="0" w:oddHBand="0" w:evenHBand="0" w:firstRowFirstColumn="0" w:firstRowLastColumn="0" w:lastRowFirstColumn="0" w:lastRowLastColumn="0"/>
            <w:tcW w:w="2271" w:type="dxa"/>
          </w:tcPr>
          <w:p w14:paraId="743F0D73" w14:textId="77777777" w:rsidR="00F32583" w:rsidRDefault="00F32583" w:rsidP="0020608C">
            <w:r>
              <w:rPr>
                <w:sz w:val="18"/>
              </w:rPr>
              <w:t>Temperature</w:t>
            </w:r>
          </w:p>
        </w:tc>
        <w:tc>
          <w:tcPr>
            <w:tcW w:w="2246" w:type="dxa"/>
          </w:tcPr>
          <w:p w14:paraId="31F3EC4A"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Float</w:t>
            </w:r>
          </w:p>
        </w:tc>
        <w:tc>
          <w:tcPr>
            <w:tcW w:w="2249" w:type="dxa"/>
          </w:tcPr>
          <w:p w14:paraId="75BCAD78"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0 (0%)</w:t>
            </w:r>
          </w:p>
        </w:tc>
        <w:tc>
          <w:tcPr>
            <w:tcW w:w="2260" w:type="dxa"/>
          </w:tcPr>
          <w:p w14:paraId="6257C595"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8.83 - 43.68 °C</w:t>
            </w:r>
          </w:p>
        </w:tc>
      </w:tr>
      <w:tr w:rsidR="00F32583" w14:paraId="27D430D1" w14:textId="77777777" w:rsidTr="00F32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1" w:type="dxa"/>
          </w:tcPr>
          <w:p w14:paraId="3343453E" w14:textId="77777777" w:rsidR="00F32583" w:rsidRDefault="00F32583" w:rsidP="0020608C">
            <w:r>
              <w:rPr>
                <w:sz w:val="18"/>
              </w:rPr>
              <w:t>Humidity</w:t>
            </w:r>
          </w:p>
        </w:tc>
        <w:tc>
          <w:tcPr>
            <w:tcW w:w="2246" w:type="dxa"/>
          </w:tcPr>
          <w:p w14:paraId="36C42A6C"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Float</w:t>
            </w:r>
          </w:p>
        </w:tc>
        <w:tc>
          <w:tcPr>
            <w:tcW w:w="2249" w:type="dxa"/>
          </w:tcPr>
          <w:p w14:paraId="1E9C5557"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0 (0%)</w:t>
            </w:r>
          </w:p>
        </w:tc>
        <w:tc>
          <w:tcPr>
            <w:tcW w:w="2260" w:type="dxa"/>
          </w:tcPr>
          <w:p w14:paraId="6E82B7DB"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14.26 - 99.98 %</w:t>
            </w:r>
          </w:p>
        </w:tc>
      </w:tr>
      <w:tr w:rsidR="00F32583" w14:paraId="65126C2A" w14:textId="77777777" w:rsidTr="00F32583">
        <w:tc>
          <w:tcPr>
            <w:cnfStyle w:val="001000000000" w:firstRow="0" w:lastRow="0" w:firstColumn="1" w:lastColumn="0" w:oddVBand="0" w:evenVBand="0" w:oddHBand="0" w:evenHBand="0" w:firstRowFirstColumn="0" w:firstRowLastColumn="0" w:lastRowFirstColumn="0" w:lastRowLastColumn="0"/>
            <w:tcW w:w="2271" w:type="dxa"/>
          </w:tcPr>
          <w:p w14:paraId="126176E7" w14:textId="77777777" w:rsidR="00F32583" w:rsidRDefault="00F32583" w:rsidP="0020608C">
            <w:r>
              <w:rPr>
                <w:sz w:val="18"/>
              </w:rPr>
              <w:t>pH Level</w:t>
            </w:r>
          </w:p>
        </w:tc>
        <w:tc>
          <w:tcPr>
            <w:tcW w:w="2246" w:type="dxa"/>
          </w:tcPr>
          <w:p w14:paraId="401B3F81"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Float</w:t>
            </w:r>
          </w:p>
        </w:tc>
        <w:tc>
          <w:tcPr>
            <w:tcW w:w="2249" w:type="dxa"/>
          </w:tcPr>
          <w:p w14:paraId="70600B8E"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0 (0%)</w:t>
            </w:r>
          </w:p>
        </w:tc>
        <w:tc>
          <w:tcPr>
            <w:tcW w:w="2260" w:type="dxa"/>
          </w:tcPr>
          <w:p w14:paraId="2FA842AB"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3.50 - 9.94 pH</w:t>
            </w:r>
          </w:p>
        </w:tc>
      </w:tr>
      <w:tr w:rsidR="00F32583" w14:paraId="5A42C98D" w14:textId="77777777" w:rsidTr="00F32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1" w:type="dxa"/>
          </w:tcPr>
          <w:p w14:paraId="0ECC837E" w14:textId="77777777" w:rsidR="00F32583" w:rsidRDefault="00F32583" w:rsidP="0020608C">
            <w:r>
              <w:rPr>
                <w:sz w:val="18"/>
              </w:rPr>
              <w:t>Rainfall</w:t>
            </w:r>
          </w:p>
        </w:tc>
        <w:tc>
          <w:tcPr>
            <w:tcW w:w="2246" w:type="dxa"/>
          </w:tcPr>
          <w:p w14:paraId="56DD3264"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Float</w:t>
            </w:r>
          </w:p>
        </w:tc>
        <w:tc>
          <w:tcPr>
            <w:tcW w:w="2249" w:type="dxa"/>
          </w:tcPr>
          <w:p w14:paraId="7EE31A50"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0 (0%)</w:t>
            </w:r>
          </w:p>
        </w:tc>
        <w:tc>
          <w:tcPr>
            <w:tcW w:w="2260" w:type="dxa"/>
          </w:tcPr>
          <w:p w14:paraId="69757628" w14:textId="77777777" w:rsidR="00F32583" w:rsidRDefault="00F32583" w:rsidP="0020608C">
            <w:pPr>
              <w:cnfStyle w:val="000000100000" w:firstRow="0" w:lastRow="0" w:firstColumn="0" w:lastColumn="0" w:oddVBand="0" w:evenVBand="0" w:oddHBand="1" w:evenHBand="0" w:firstRowFirstColumn="0" w:firstRowLastColumn="0" w:lastRowFirstColumn="0" w:lastRowLastColumn="0"/>
            </w:pPr>
            <w:r>
              <w:rPr>
                <w:sz w:val="18"/>
              </w:rPr>
              <w:t>20.21 - 298.56 mm</w:t>
            </w:r>
          </w:p>
        </w:tc>
      </w:tr>
      <w:tr w:rsidR="00F32583" w14:paraId="64E17700" w14:textId="77777777" w:rsidTr="00F32583">
        <w:tc>
          <w:tcPr>
            <w:cnfStyle w:val="001000000000" w:firstRow="0" w:lastRow="0" w:firstColumn="1" w:lastColumn="0" w:oddVBand="0" w:evenVBand="0" w:oddHBand="0" w:evenHBand="0" w:firstRowFirstColumn="0" w:firstRowLastColumn="0" w:lastRowFirstColumn="0" w:lastRowLastColumn="0"/>
            <w:tcW w:w="2271" w:type="dxa"/>
          </w:tcPr>
          <w:p w14:paraId="4F3B0B13" w14:textId="77777777" w:rsidR="00F32583" w:rsidRDefault="00F32583" w:rsidP="0020608C">
            <w:r>
              <w:rPr>
                <w:sz w:val="18"/>
              </w:rPr>
              <w:t>Label (Target)</w:t>
            </w:r>
          </w:p>
        </w:tc>
        <w:tc>
          <w:tcPr>
            <w:tcW w:w="2246" w:type="dxa"/>
          </w:tcPr>
          <w:p w14:paraId="2724C47A"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String (22 classes)</w:t>
            </w:r>
          </w:p>
        </w:tc>
        <w:tc>
          <w:tcPr>
            <w:tcW w:w="2249" w:type="dxa"/>
          </w:tcPr>
          <w:p w14:paraId="4892375D"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0 (0%)</w:t>
            </w:r>
          </w:p>
        </w:tc>
        <w:tc>
          <w:tcPr>
            <w:tcW w:w="2260" w:type="dxa"/>
          </w:tcPr>
          <w:p w14:paraId="2C62C9B9" w14:textId="77777777" w:rsidR="00F32583" w:rsidRDefault="00F32583" w:rsidP="0020608C">
            <w:pPr>
              <w:cnfStyle w:val="000000000000" w:firstRow="0" w:lastRow="0" w:firstColumn="0" w:lastColumn="0" w:oddVBand="0" w:evenVBand="0" w:oddHBand="0" w:evenHBand="0" w:firstRowFirstColumn="0" w:firstRowLastColumn="0" w:lastRowFirstColumn="0" w:lastRowLastColumn="0"/>
            </w:pPr>
            <w:r>
              <w:rPr>
                <w:sz w:val="18"/>
              </w:rPr>
              <w:t>100 samples / crop</w:t>
            </w:r>
          </w:p>
        </w:tc>
      </w:tr>
    </w:tbl>
    <w:p w14:paraId="65BEB9B8" w14:textId="77777777" w:rsidR="00F32583" w:rsidRDefault="00F32583" w:rsidP="00F32583">
      <w:pPr>
        <w:spacing w:after="120"/>
      </w:pPr>
    </w:p>
    <w:p w14:paraId="56E182D4" w14:textId="77777777" w:rsidR="00F32583" w:rsidRDefault="00F32583" w:rsidP="00F32583">
      <w:pPr>
        <w:spacing w:after="120"/>
      </w:pPr>
    </w:p>
    <w:p w14:paraId="633648A4" w14:textId="60E7BDB4" w:rsidR="00F32583" w:rsidRPr="00F32583" w:rsidRDefault="00F32583" w:rsidP="00F32583">
      <w:pPr>
        <w:spacing w:after="120"/>
        <w:rPr>
          <w:sz w:val="24"/>
          <w:szCs w:val="28"/>
        </w:rPr>
      </w:pPr>
      <w:r w:rsidRPr="00F32583">
        <w:rPr>
          <w:sz w:val="24"/>
          <w:szCs w:val="28"/>
        </w:rPr>
        <w:t>Data cleaning verified that the dataset is balanced and complete with 2,200 records. No null values, formatting errors, or duplicate entries were present.</w:t>
      </w:r>
    </w:p>
    <w:p w14:paraId="3AC4895B" w14:textId="77777777" w:rsidR="00F32583" w:rsidRPr="00F32583" w:rsidRDefault="00F32583" w:rsidP="00F32583">
      <w:pPr>
        <w:spacing w:before="360" w:after="120"/>
        <w:rPr>
          <w:sz w:val="22"/>
          <w:szCs w:val="24"/>
        </w:rPr>
      </w:pPr>
      <w:r w:rsidRPr="00F32583">
        <w:rPr>
          <w:b/>
          <w:color w:val="1A365D"/>
          <w:sz w:val="36"/>
          <w:szCs w:val="24"/>
        </w:rPr>
        <w:t>2. Visual Insights &amp; Agricultural Analysis</w:t>
      </w:r>
    </w:p>
    <w:p w14:paraId="2B112841" w14:textId="77777777" w:rsidR="00F32583" w:rsidRPr="00F32583" w:rsidRDefault="00F32583" w:rsidP="00F32583">
      <w:pPr>
        <w:spacing w:before="240" w:after="80"/>
        <w:rPr>
          <w:sz w:val="22"/>
          <w:szCs w:val="24"/>
        </w:rPr>
      </w:pPr>
      <w:r w:rsidRPr="00F32583">
        <w:rPr>
          <w:b/>
          <w:color w:val="2B6CB0"/>
          <w:sz w:val="28"/>
          <w:szCs w:val="24"/>
        </w:rPr>
        <w:t>Insight 1: Feature Correlation Heatmap</w:t>
      </w:r>
    </w:p>
    <w:p w14:paraId="4C420873" w14:textId="524FF966" w:rsidR="00F32583" w:rsidRDefault="00F32583" w:rsidP="00F32583">
      <w:pPr>
        <w:spacing w:after="120"/>
        <w:rPr>
          <w:sz w:val="24"/>
          <w:szCs w:val="28"/>
        </w:rPr>
      </w:pPr>
      <w:r w:rsidRPr="00F32583">
        <w:rPr>
          <w:sz w:val="24"/>
          <w:szCs w:val="28"/>
        </w:rPr>
        <w:t>A strong positive correlation (r = 0.74) exists between Phosphorus (P) and Potassium (K). Environmental factors like temperature, humidity, and rainfall display lower correlation with individual soil nutrient levels, proving they act as independent environmental drivers.</w:t>
      </w:r>
    </w:p>
    <w:p w14:paraId="611F9438" w14:textId="77777777" w:rsidR="00F32583" w:rsidRDefault="00F32583">
      <w:pPr>
        <w:spacing w:after="160" w:line="259" w:lineRule="auto"/>
        <w:rPr>
          <w:sz w:val="24"/>
          <w:szCs w:val="28"/>
        </w:rPr>
      </w:pPr>
      <w:r>
        <w:rPr>
          <w:sz w:val="24"/>
          <w:szCs w:val="28"/>
        </w:rPr>
        <w:br w:type="page"/>
      </w:r>
    </w:p>
    <w:p w14:paraId="2CFF1EDE" w14:textId="13862434" w:rsidR="00F32583" w:rsidRPr="00F32583" w:rsidRDefault="00F32583" w:rsidP="0071735E">
      <w:pPr>
        <w:spacing w:after="120"/>
        <w:jc w:val="center"/>
        <w:rPr>
          <w:sz w:val="24"/>
          <w:szCs w:val="28"/>
        </w:rPr>
      </w:pPr>
      <w:r>
        <w:rPr>
          <w:noProof/>
        </w:rPr>
        <w:lastRenderedPageBreak/>
        <w:drawing>
          <wp:inline distT="0" distB="0" distL="0" distR="0" wp14:anchorId="1C279C09" wp14:editId="3699C123">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_correlation.png"/>
                    <pic:cNvPicPr/>
                  </pic:nvPicPr>
                  <pic:blipFill>
                    <a:blip r:embed="rId5"/>
                    <a:stretch>
                      <a:fillRect/>
                    </a:stretch>
                  </pic:blipFill>
                  <pic:spPr>
                    <a:xfrm>
                      <a:off x="0" y="0"/>
                      <a:ext cx="5029200" cy="3771900"/>
                    </a:xfrm>
                    <a:prstGeom prst="rect">
                      <a:avLst/>
                    </a:prstGeom>
                  </pic:spPr>
                </pic:pic>
              </a:graphicData>
            </a:graphic>
          </wp:inline>
        </w:drawing>
      </w:r>
    </w:p>
    <w:p w14:paraId="19A50B0B" w14:textId="77777777" w:rsidR="00F32583" w:rsidRPr="0071735E" w:rsidRDefault="00F32583" w:rsidP="00F32583">
      <w:pPr>
        <w:spacing w:after="280"/>
        <w:jc w:val="center"/>
        <w:rPr>
          <w:sz w:val="24"/>
          <w:szCs w:val="28"/>
        </w:rPr>
      </w:pPr>
      <w:r w:rsidRPr="0071735E">
        <w:rPr>
          <w:i/>
          <w:color w:val="718096"/>
          <w:sz w:val="22"/>
          <w:szCs w:val="28"/>
        </w:rPr>
        <w:t>Figure 1: Correlation Matrix across Soil and Climate Variables</w:t>
      </w:r>
    </w:p>
    <w:p w14:paraId="6CC14ABC" w14:textId="77777777" w:rsidR="009F1770" w:rsidRDefault="009F1770" w:rsidP="009F1770">
      <w:pPr>
        <w:spacing w:before="240" w:after="80"/>
        <w:rPr>
          <w:b/>
          <w:color w:val="2B6CB0"/>
          <w:sz w:val="28"/>
          <w:szCs w:val="24"/>
        </w:rPr>
      </w:pPr>
      <w:r w:rsidRPr="009F1770">
        <w:rPr>
          <w:b/>
          <w:color w:val="2B6CB0"/>
          <w:sz w:val="28"/>
          <w:szCs w:val="24"/>
        </w:rPr>
        <w:t>Insight 2: Top Nitrogen-Hungry Crops</w:t>
      </w:r>
    </w:p>
    <w:p w14:paraId="17ADB532" w14:textId="77777777" w:rsidR="009F1770" w:rsidRPr="009F1770" w:rsidRDefault="009F1770" w:rsidP="009F1770">
      <w:pPr>
        <w:spacing w:after="120"/>
        <w:rPr>
          <w:sz w:val="24"/>
          <w:szCs w:val="28"/>
        </w:rPr>
      </w:pPr>
      <w:r w:rsidRPr="009F1770">
        <w:rPr>
          <w:sz w:val="24"/>
          <w:szCs w:val="28"/>
        </w:rPr>
        <w:t>Cotton leads nitrogen demand (N &gt; 115), followed by Coffee, Muskmelon, Banana, and Watermelon. These crops require substantial nitrogenous fertilizer management for optimal vegetative growth.</w:t>
      </w:r>
    </w:p>
    <w:p w14:paraId="0B80C516" w14:textId="715F39FC" w:rsidR="009F1770" w:rsidRPr="009F1770" w:rsidRDefault="009F1770" w:rsidP="0071735E">
      <w:pPr>
        <w:spacing w:before="240" w:after="80"/>
        <w:jc w:val="center"/>
        <w:rPr>
          <w:sz w:val="22"/>
          <w:szCs w:val="24"/>
        </w:rPr>
      </w:pPr>
      <w:r>
        <w:rPr>
          <w:noProof/>
        </w:rPr>
        <w:drawing>
          <wp:inline distT="0" distB="0" distL="0" distR="0" wp14:anchorId="6D406BB6" wp14:editId="5B710600">
            <wp:extent cx="50292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2_nitrogen.png"/>
                    <pic:cNvPicPr/>
                  </pic:nvPicPr>
                  <pic:blipFill>
                    <a:blip r:embed="rId6"/>
                    <a:stretch>
                      <a:fillRect/>
                    </a:stretch>
                  </pic:blipFill>
                  <pic:spPr>
                    <a:xfrm>
                      <a:off x="0" y="0"/>
                      <a:ext cx="5029200" cy="2514600"/>
                    </a:xfrm>
                    <a:prstGeom prst="rect">
                      <a:avLst/>
                    </a:prstGeom>
                  </pic:spPr>
                </pic:pic>
              </a:graphicData>
            </a:graphic>
          </wp:inline>
        </w:drawing>
      </w:r>
    </w:p>
    <w:p w14:paraId="04AE64ED" w14:textId="77777777" w:rsidR="009F1770" w:rsidRPr="0071735E" w:rsidRDefault="009F1770" w:rsidP="009F1770">
      <w:pPr>
        <w:spacing w:after="280"/>
        <w:jc w:val="center"/>
        <w:rPr>
          <w:i/>
          <w:color w:val="718096"/>
          <w:sz w:val="22"/>
          <w:szCs w:val="28"/>
        </w:rPr>
      </w:pPr>
      <w:r w:rsidRPr="0071735E">
        <w:rPr>
          <w:i/>
          <w:color w:val="718096"/>
          <w:sz w:val="22"/>
          <w:szCs w:val="28"/>
        </w:rPr>
        <w:t>Figure 2: Top 10 Nitrogen Demanding Crops (Average Ratio)</w:t>
      </w:r>
    </w:p>
    <w:p w14:paraId="2175DBA9" w14:textId="77777777" w:rsidR="009F1770" w:rsidRDefault="009F1770" w:rsidP="009F1770">
      <w:pPr>
        <w:spacing w:after="280"/>
        <w:jc w:val="center"/>
      </w:pPr>
    </w:p>
    <w:p w14:paraId="78676270" w14:textId="77777777" w:rsidR="009F1770" w:rsidRDefault="009F1770" w:rsidP="009F1770">
      <w:pPr>
        <w:spacing w:before="240" w:after="80"/>
      </w:pPr>
      <w:r w:rsidRPr="009F1770">
        <w:rPr>
          <w:b/>
          <w:color w:val="2B6CB0"/>
          <w:sz w:val="28"/>
          <w:szCs w:val="24"/>
        </w:rPr>
        <w:t>Insight 3: Top Potassium-Hungry Crops</w:t>
      </w:r>
    </w:p>
    <w:p w14:paraId="4178A083" w14:textId="77777777" w:rsidR="009F1770" w:rsidRPr="009F1770" w:rsidRDefault="009F1770" w:rsidP="009F1770">
      <w:pPr>
        <w:spacing w:after="120"/>
        <w:rPr>
          <w:sz w:val="24"/>
          <w:szCs w:val="28"/>
        </w:rPr>
      </w:pPr>
      <w:r w:rsidRPr="009F1770">
        <w:rPr>
          <w:sz w:val="24"/>
          <w:szCs w:val="28"/>
        </w:rPr>
        <w:lastRenderedPageBreak/>
        <w:t>Grapes and Apples exhibit extreme Potassium requirements (K ≈ 200), vastly exceeding other crops. Potassium plays a pivotal role in fruit development, water regulation, and sugar accumulation.</w:t>
      </w:r>
    </w:p>
    <w:p w14:paraId="20E7E1E7" w14:textId="5896FB7B" w:rsidR="00467944" w:rsidRDefault="009F1770" w:rsidP="0071735E">
      <w:pPr>
        <w:jc w:val="center"/>
      </w:pPr>
      <w:r>
        <w:rPr>
          <w:noProof/>
        </w:rPr>
        <w:drawing>
          <wp:inline distT="0" distB="0" distL="0" distR="0" wp14:anchorId="333A89A8" wp14:editId="67BFC20D">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3_potassium.png"/>
                    <pic:cNvPicPr/>
                  </pic:nvPicPr>
                  <pic:blipFill>
                    <a:blip r:embed="rId7"/>
                    <a:stretch>
                      <a:fillRect/>
                    </a:stretch>
                  </pic:blipFill>
                  <pic:spPr>
                    <a:xfrm>
                      <a:off x="0" y="0"/>
                      <a:ext cx="5029200" cy="2514600"/>
                    </a:xfrm>
                    <a:prstGeom prst="rect">
                      <a:avLst/>
                    </a:prstGeom>
                  </pic:spPr>
                </pic:pic>
              </a:graphicData>
            </a:graphic>
          </wp:inline>
        </w:drawing>
      </w:r>
    </w:p>
    <w:p w14:paraId="3537FF79" w14:textId="77777777" w:rsidR="009F1770" w:rsidRPr="0071735E" w:rsidRDefault="009F1770" w:rsidP="009F1770">
      <w:pPr>
        <w:spacing w:after="280"/>
        <w:jc w:val="center"/>
        <w:rPr>
          <w:sz w:val="24"/>
          <w:szCs w:val="28"/>
        </w:rPr>
      </w:pPr>
      <w:r w:rsidRPr="0071735E">
        <w:rPr>
          <w:i/>
          <w:color w:val="718096"/>
          <w:sz w:val="22"/>
          <w:szCs w:val="28"/>
        </w:rPr>
        <w:t>Figure 3: Top 10 Potassium Demanding Crops (Average Ratio)</w:t>
      </w:r>
    </w:p>
    <w:p w14:paraId="33DE4653" w14:textId="77777777" w:rsidR="009F1770" w:rsidRDefault="009F1770" w:rsidP="009F1770">
      <w:pPr>
        <w:spacing w:before="240" w:after="80"/>
        <w:rPr>
          <w:b/>
          <w:color w:val="2B6CB0"/>
          <w:sz w:val="28"/>
          <w:szCs w:val="24"/>
        </w:rPr>
      </w:pPr>
      <w:r w:rsidRPr="009F1770">
        <w:rPr>
          <w:b/>
          <w:color w:val="2B6CB0"/>
          <w:sz w:val="28"/>
          <w:szCs w:val="24"/>
        </w:rPr>
        <w:t>Insight 4: Top Phosphorus-Hungry Crops</w:t>
      </w:r>
    </w:p>
    <w:p w14:paraId="4B7E1D6D" w14:textId="77777777" w:rsidR="009F1770" w:rsidRDefault="009F1770" w:rsidP="009F1770">
      <w:pPr>
        <w:spacing w:after="120"/>
      </w:pPr>
      <w:r>
        <w:t>Apples and Grapes also require the highest Phosphorus amounts (P &gt; 130), followed by legumes like Lentils and Chickpeas. Phosphorus is critical for robust root development and energy transfer.</w:t>
      </w:r>
    </w:p>
    <w:p w14:paraId="7ECA3799" w14:textId="1F4DA196" w:rsidR="009F1770" w:rsidRDefault="009F1770" w:rsidP="0071735E">
      <w:pPr>
        <w:spacing w:before="240" w:after="80"/>
        <w:jc w:val="center"/>
        <w:rPr>
          <w:sz w:val="22"/>
          <w:szCs w:val="24"/>
        </w:rPr>
      </w:pPr>
      <w:r>
        <w:rPr>
          <w:noProof/>
        </w:rPr>
        <w:drawing>
          <wp:inline distT="0" distB="0" distL="0" distR="0" wp14:anchorId="003CC57F" wp14:editId="36714FFC">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4_phosphorus.png"/>
                    <pic:cNvPicPr/>
                  </pic:nvPicPr>
                  <pic:blipFill>
                    <a:blip r:embed="rId8"/>
                    <a:stretch>
                      <a:fillRect/>
                    </a:stretch>
                  </pic:blipFill>
                  <pic:spPr>
                    <a:xfrm>
                      <a:off x="0" y="0"/>
                      <a:ext cx="5029200" cy="2514600"/>
                    </a:xfrm>
                    <a:prstGeom prst="rect">
                      <a:avLst/>
                    </a:prstGeom>
                  </pic:spPr>
                </pic:pic>
              </a:graphicData>
            </a:graphic>
          </wp:inline>
        </w:drawing>
      </w:r>
    </w:p>
    <w:p w14:paraId="61178EA5" w14:textId="77777777" w:rsidR="009F1770" w:rsidRPr="0071735E" w:rsidRDefault="009F1770" w:rsidP="009F1770">
      <w:pPr>
        <w:spacing w:after="280"/>
        <w:jc w:val="center"/>
        <w:rPr>
          <w:sz w:val="24"/>
          <w:szCs w:val="28"/>
        </w:rPr>
      </w:pPr>
      <w:r w:rsidRPr="0071735E">
        <w:rPr>
          <w:i/>
          <w:color w:val="718096"/>
          <w:sz w:val="22"/>
          <w:szCs w:val="28"/>
        </w:rPr>
        <w:t>Figure 4: Top 10 Phosphorus Demanding Crops (Average Ratio)</w:t>
      </w:r>
    </w:p>
    <w:p w14:paraId="24AECDBD" w14:textId="77777777" w:rsidR="009F1770" w:rsidRPr="009F1770" w:rsidRDefault="009F1770" w:rsidP="009F1770">
      <w:pPr>
        <w:spacing w:before="240" w:after="80"/>
        <w:rPr>
          <w:sz w:val="22"/>
          <w:szCs w:val="24"/>
        </w:rPr>
      </w:pPr>
    </w:p>
    <w:p w14:paraId="6945E5A1" w14:textId="77777777" w:rsidR="009F1770" w:rsidRDefault="009F1770" w:rsidP="009F1770">
      <w:pPr>
        <w:spacing w:before="240" w:after="80"/>
        <w:rPr>
          <w:b/>
          <w:color w:val="2B6CB0"/>
          <w:sz w:val="28"/>
          <w:szCs w:val="24"/>
        </w:rPr>
      </w:pPr>
      <w:r w:rsidRPr="009F1770">
        <w:rPr>
          <w:b/>
          <w:color w:val="2B6CB0"/>
          <w:sz w:val="28"/>
          <w:szCs w:val="24"/>
        </w:rPr>
        <w:t>Insight 5: Rainfall &amp; Humidity Clustering</w:t>
      </w:r>
    </w:p>
    <w:p w14:paraId="64CC7EC0" w14:textId="77777777" w:rsidR="009F1770" w:rsidRPr="009F1770" w:rsidRDefault="009F1770" w:rsidP="009F1770">
      <w:pPr>
        <w:spacing w:after="120"/>
        <w:rPr>
          <w:sz w:val="24"/>
          <w:szCs w:val="28"/>
        </w:rPr>
      </w:pPr>
      <w:r w:rsidRPr="009F1770">
        <w:rPr>
          <w:sz w:val="24"/>
          <w:szCs w:val="28"/>
        </w:rPr>
        <w:t>Crops form distinct climatic niches. Rice, Coconut, and Jute thrive in high humidity (&gt;80%) and high rainfall (&gt;150mm) conditions, while leguminous crops prefer drier, moderately humid environments.</w:t>
      </w:r>
    </w:p>
    <w:p w14:paraId="098B98BC" w14:textId="2AD912A8" w:rsidR="009F1770" w:rsidRPr="009F1770" w:rsidRDefault="009F1770" w:rsidP="0071735E">
      <w:pPr>
        <w:spacing w:before="240" w:after="80"/>
        <w:jc w:val="center"/>
        <w:rPr>
          <w:sz w:val="22"/>
          <w:szCs w:val="24"/>
        </w:rPr>
      </w:pPr>
      <w:r>
        <w:rPr>
          <w:noProof/>
        </w:rPr>
        <w:lastRenderedPageBreak/>
        <w:drawing>
          <wp:inline distT="0" distB="0" distL="0" distR="0" wp14:anchorId="64AD773E" wp14:editId="6DC478E9">
            <wp:extent cx="5029200" cy="335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5_rainfall_humidity.png"/>
                    <pic:cNvPicPr/>
                  </pic:nvPicPr>
                  <pic:blipFill>
                    <a:blip r:embed="rId9"/>
                    <a:stretch>
                      <a:fillRect/>
                    </a:stretch>
                  </pic:blipFill>
                  <pic:spPr>
                    <a:xfrm>
                      <a:off x="0" y="0"/>
                      <a:ext cx="5029200" cy="3352800"/>
                    </a:xfrm>
                    <a:prstGeom prst="rect">
                      <a:avLst/>
                    </a:prstGeom>
                  </pic:spPr>
                </pic:pic>
              </a:graphicData>
            </a:graphic>
          </wp:inline>
        </w:drawing>
      </w:r>
    </w:p>
    <w:p w14:paraId="30D07A5D" w14:textId="77777777" w:rsidR="009F1770" w:rsidRPr="0071735E" w:rsidRDefault="009F1770" w:rsidP="009F1770">
      <w:pPr>
        <w:spacing w:after="280"/>
        <w:jc w:val="center"/>
        <w:rPr>
          <w:sz w:val="24"/>
          <w:szCs w:val="28"/>
        </w:rPr>
      </w:pPr>
      <w:r w:rsidRPr="0071735E">
        <w:rPr>
          <w:i/>
          <w:color w:val="718096"/>
          <w:sz w:val="22"/>
          <w:szCs w:val="28"/>
        </w:rPr>
        <w:t>Figure 5: Environmental Clustering by Rainfall and Humidity</w:t>
      </w:r>
    </w:p>
    <w:p w14:paraId="4E287F10" w14:textId="77777777" w:rsidR="009F1770" w:rsidRDefault="009F1770" w:rsidP="009F1770">
      <w:pPr>
        <w:spacing w:before="240" w:after="80"/>
        <w:rPr>
          <w:b/>
          <w:color w:val="2B6CB0"/>
          <w:sz w:val="28"/>
          <w:szCs w:val="24"/>
        </w:rPr>
      </w:pPr>
      <w:r w:rsidRPr="009F1770">
        <w:rPr>
          <w:b/>
          <w:color w:val="2B6CB0"/>
          <w:sz w:val="28"/>
          <w:szCs w:val="24"/>
        </w:rPr>
        <w:t>Insight 6: Temperature Range Preferences</w:t>
      </w:r>
    </w:p>
    <w:p w14:paraId="270153D7" w14:textId="77777777" w:rsidR="009F1770" w:rsidRDefault="009F1770" w:rsidP="009F1770">
      <w:pPr>
        <w:spacing w:after="120"/>
        <w:rPr>
          <w:sz w:val="24"/>
          <w:szCs w:val="28"/>
        </w:rPr>
      </w:pPr>
      <w:r w:rsidRPr="009F1770">
        <w:rPr>
          <w:sz w:val="24"/>
          <w:szCs w:val="28"/>
        </w:rPr>
        <w:t xml:space="preserve">Papaya and </w:t>
      </w:r>
      <w:proofErr w:type="spellStart"/>
      <w:r w:rsidRPr="009F1770">
        <w:rPr>
          <w:sz w:val="24"/>
          <w:szCs w:val="28"/>
        </w:rPr>
        <w:t>Pigeonpeas</w:t>
      </w:r>
      <w:proofErr w:type="spellEnd"/>
      <w:r w:rsidRPr="009F1770">
        <w:rPr>
          <w:sz w:val="24"/>
          <w:szCs w:val="28"/>
        </w:rPr>
        <w:t xml:space="preserve"> tolerate elevated temperatures up to 40°C+. Conversely, crops like Muskmelon and </w:t>
      </w:r>
      <w:proofErr w:type="spellStart"/>
      <w:r w:rsidRPr="009F1770">
        <w:rPr>
          <w:sz w:val="24"/>
          <w:szCs w:val="28"/>
        </w:rPr>
        <w:t>Mungbean</w:t>
      </w:r>
      <w:proofErr w:type="spellEnd"/>
      <w:r w:rsidRPr="009F1770">
        <w:rPr>
          <w:sz w:val="24"/>
          <w:szCs w:val="28"/>
        </w:rPr>
        <w:t xml:space="preserve"> require tight, controlled warm temperature bands.</w:t>
      </w:r>
    </w:p>
    <w:p w14:paraId="52A75CAF" w14:textId="799B9A4F" w:rsidR="009F1770" w:rsidRDefault="009F1770" w:rsidP="0071735E">
      <w:pPr>
        <w:spacing w:after="120"/>
        <w:jc w:val="center"/>
        <w:rPr>
          <w:sz w:val="24"/>
          <w:szCs w:val="28"/>
        </w:rPr>
      </w:pPr>
      <w:r>
        <w:rPr>
          <w:noProof/>
        </w:rPr>
        <w:drawing>
          <wp:inline distT="0" distB="0" distL="0" distR="0" wp14:anchorId="617BC8C0" wp14:editId="64D157EC">
            <wp:extent cx="50292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6_temperature.png"/>
                    <pic:cNvPicPr/>
                  </pic:nvPicPr>
                  <pic:blipFill>
                    <a:blip r:embed="rId10"/>
                    <a:stretch>
                      <a:fillRect/>
                    </a:stretch>
                  </pic:blipFill>
                  <pic:spPr>
                    <a:xfrm>
                      <a:off x="0" y="0"/>
                      <a:ext cx="5029200" cy="3017520"/>
                    </a:xfrm>
                    <a:prstGeom prst="rect">
                      <a:avLst/>
                    </a:prstGeom>
                  </pic:spPr>
                </pic:pic>
              </a:graphicData>
            </a:graphic>
          </wp:inline>
        </w:drawing>
      </w:r>
    </w:p>
    <w:p w14:paraId="0BA259CF" w14:textId="77777777" w:rsidR="009F1770" w:rsidRPr="0071735E" w:rsidRDefault="009F1770" w:rsidP="009F1770">
      <w:pPr>
        <w:spacing w:after="280"/>
        <w:jc w:val="center"/>
        <w:rPr>
          <w:sz w:val="24"/>
          <w:szCs w:val="28"/>
        </w:rPr>
      </w:pPr>
      <w:r w:rsidRPr="0071735E">
        <w:rPr>
          <w:i/>
          <w:color w:val="718096"/>
          <w:sz w:val="22"/>
          <w:szCs w:val="28"/>
        </w:rPr>
        <w:t>Figure 6: Temperature Distribution Across Selective High-Temp Crops</w:t>
      </w:r>
    </w:p>
    <w:p w14:paraId="328A444D" w14:textId="77777777" w:rsidR="0071735E" w:rsidRPr="0071735E" w:rsidRDefault="0071735E" w:rsidP="0071735E">
      <w:pPr>
        <w:spacing w:before="240" w:after="80"/>
        <w:rPr>
          <w:sz w:val="22"/>
          <w:szCs w:val="24"/>
        </w:rPr>
      </w:pPr>
      <w:r w:rsidRPr="0071735E">
        <w:rPr>
          <w:b/>
          <w:color w:val="2B6CB0"/>
          <w:sz w:val="28"/>
          <w:szCs w:val="24"/>
        </w:rPr>
        <w:t>Insight 7: Soil pH Tolerance &amp; Preferences</w:t>
      </w:r>
    </w:p>
    <w:p w14:paraId="41F5BEB7" w14:textId="77777777" w:rsidR="009F1770" w:rsidRPr="009F1770" w:rsidRDefault="009F1770" w:rsidP="009F1770">
      <w:pPr>
        <w:spacing w:after="120"/>
        <w:rPr>
          <w:sz w:val="24"/>
          <w:szCs w:val="28"/>
        </w:rPr>
      </w:pPr>
    </w:p>
    <w:p w14:paraId="53E2B0BF" w14:textId="77777777" w:rsidR="0071735E" w:rsidRDefault="0071735E" w:rsidP="0071735E">
      <w:pPr>
        <w:spacing w:after="120"/>
        <w:rPr>
          <w:sz w:val="24"/>
          <w:szCs w:val="28"/>
        </w:rPr>
      </w:pPr>
      <w:r w:rsidRPr="0071735E">
        <w:rPr>
          <w:sz w:val="24"/>
          <w:szCs w:val="28"/>
        </w:rPr>
        <w:lastRenderedPageBreak/>
        <w:t xml:space="preserve">Chickpeas favor slightly alkaline soils (pH up to 8.8), whereas </w:t>
      </w:r>
      <w:proofErr w:type="spellStart"/>
      <w:r w:rsidRPr="0071735E">
        <w:rPr>
          <w:sz w:val="24"/>
          <w:szCs w:val="28"/>
        </w:rPr>
        <w:t>Pigeonpeas</w:t>
      </w:r>
      <w:proofErr w:type="spellEnd"/>
      <w:r w:rsidRPr="0071735E">
        <w:rPr>
          <w:sz w:val="24"/>
          <w:szCs w:val="28"/>
        </w:rPr>
        <w:t xml:space="preserve"> and Mangoes demonstrate higher tolerance to acidic soils (pH &lt; 5.5). Most crops remain centered in the neutral range (6.0 - 7.5).</w:t>
      </w:r>
    </w:p>
    <w:p w14:paraId="17071AFD" w14:textId="06A32B30" w:rsidR="0071735E" w:rsidRDefault="0071735E" w:rsidP="0071735E">
      <w:pPr>
        <w:spacing w:after="120"/>
        <w:jc w:val="center"/>
        <w:rPr>
          <w:sz w:val="24"/>
          <w:szCs w:val="28"/>
        </w:rPr>
      </w:pPr>
      <w:r>
        <w:rPr>
          <w:noProof/>
        </w:rPr>
        <w:drawing>
          <wp:inline distT="0" distB="0" distL="0" distR="0" wp14:anchorId="3CBC8AA8" wp14:editId="28202E0B">
            <wp:extent cx="5029200" cy="2514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7_ph.png"/>
                    <pic:cNvPicPr/>
                  </pic:nvPicPr>
                  <pic:blipFill>
                    <a:blip r:embed="rId11"/>
                    <a:stretch>
                      <a:fillRect/>
                    </a:stretch>
                  </pic:blipFill>
                  <pic:spPr>
                    <a:xfrm>
                      <a:off x="0" y="0"/>
                      <a:ext cx="5029200" cy="2514600"/>
                    </a:xfrm>
                    <a:prstGeom prst="rect">
                      <a:avLst/>
                    </a:prstGeom>
                  </pic:spPr>
                </pic:pic>
              </a:graphicData>
            </a:graphic>
          </wp:inline>
        </w:drawing>
      </w:r>
    </w:p>
    <w:p w14:paraId="3701F2B3" w14:textId="77777777" w:rsidR="0071735E" w:rsidRPr="0071735E" w:rsidRDefault="0071735E" w:rsidP="0071735E">
      <w:pPr>
        <w:spacing w:after="280"/>
        <w:jc w:val="center"/>
        <w:rPr>
          <w:sz w:val="24"/>
          <w:szCs w:val="28"/>
        </w:rPr>
      </w:pPr>
      <w:r w:rsidRPr="0071735E">
        <w:rPr>
          <w:i/>
          <w:color w:val="718096"/>
          <w:sz w:val="22"/>
          <w:szCs w:val="28"/>
        </w:rPr>
        <w:t>Figure 7: Soil pH Range for Acidic vs. Alkaline Tolerant Crops</w:t>
      </w:r>
    </w:p>
    <w:p w14:paraId="04BFD3FF" w14:textId="77777777" w:rsidR="0071735E" w:rsidRDefault="0071735E" w:rsidP="0071735E">
      <w:pPr>
        <w:spacing w:before="240" w:after="80"/>
        <w:rPr>
          <w:b/>
          <w:color w:val="2B6CB0"/>
          <w:sz w:val="28"/>
          <w:szCs w:val="24"/>
        </w:rPr>
      </w:pPr>
      <w:r w:rsidRPr="0071735E">
        <w:rPr>
          <w:b/>
          <w:color w:val="2B6CB0"/>
          <w:sz w:val="28"/>
          <w:szCs w:val="24"/>
        </w:rPr>
        <w:t>Insight 8: Phosphorus vs Potassium Nutrient Clustering</w:t>
      </w:r>
    </w:p>
    <w:p w14:paraId="5F425D8A" w14:textId="77777777" w:rsidR="0071735E" w:rsidRPr="0071735E" w:rsidRDefault="0071735E" w:rsidP="0071735E">
      <w:pPr>
        <w:spacing w:after="120"/>
        <w:rPr>
          <w:sz w:val="24"/>
          <w:szCs w:val="28"/>
        </w:rPr>
      </w:pPr>
      <w:r w:rsidRPr="0071735E">
        <w:rPr>
          <w:sz w:val="24"/>
          <w:szCs w:val="28"/>
        </w:rPr>
        <w:t>Visualizing P versus K reveals isolated clusters. Apple and Grape cultivars occupy a high P/K cluster, distinct from general agricultural crops, facilitating distinct fertilizer profiling.</w:t>
      </w:r>
    </w:p>
    <w:p w14:paraId="740A2CE7" w14:textId="03338F7F" w:rsidR="0071735E" w:rsidRDefault="0071735E" w:rsidP="0071735E">
      <w:pPr>
        <w:spacing w:before="240" w:after="80"/>
        <w:jc w:val="center"/>
        <w:rPr>
          <w:sz w:val="22"/>
          <w:szCs w:val="24"/>
        </w:rPr>
      </w:pPr>
      <w:r>
        <w:rPr>
          <w:noProof/>
        </w:rPr>
        <w:drawing>
          <wp:inline distT="0" distB="0" distL="0" distR="0" wp14:anchorId="6C14AF49" wp14:editId="70956D8B">
            <wp:extent cx="502920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8_pk_cluster.png"/>
                    <pic:cNvPicPr/>
                  </pic:nvPicPr>
                  <pic:blipFill>
                    <a:blip r:embed="rId12"/>
                    <a:stretch>
                      <a:fillRect/>
                    </a:stretch>
                  </pic:blipFill>
                  <pic:spPr>
                    <a:xfrm>
                      <a:off x="0" y="0"/>
                      <a:ext cx="5029200" cy="3771900"/>
                    </a:xfrm>
                    <a:prstGeom prst="rect">
                      <a:avLst/>
                    </a:prstGeom>
                  </pic:spPr>
                </pic:pic>
              </a:graphicData>
            </a:graphic>
          </wp:inline>
        </w:drawing>
      </w:r>
    </w:p>
    <w:p w14:paraId="6A1D4CCA" w14:textId="77777777" w:rsidR="0071735E" w:rsidRPr="0071735E" w:rsidRDefault="0071735E" w:rsidP="0071735E">
      <w:pPr>
        <w:spacing w:after="280"/>
        <w:jc w:val="center"/>
        <w:rPr>
          <w:sz w:val="24"/>
          <w:szCs w:val="28"/>
        </w:rPr>
      </w:pPr>
      <w:r w:rsidRPr="0071735E">
        <w:rPr>
          <w:i/>
          <w:color w:val="718096"/>
          <w:sz w:val="22"/>
          <w:szCs w:val="28"/>
        </w:rPr>
        <w:t>Figure 8: P vs K Scatter Plot Showing Distinct Agronomic Clusters</w:t>
      </w:r>
    </w:p>
    <w:p w14:paraId="6807E722" w14:textId="77777777" w:rsidR="0071735E" w:rsidRDefault="0071735E" w:rsidP="0071735E">
      <w:pPr>
        <w:spacing w:before="240" w:after="80"/>
        <w:rPr>
          <w:b/>
          <w:color w:val="2B6CB0"/>
          <w:sz w:val="28"/>
          <w:szCs w:val="24"/>
        </w:rPr>
      </w:pPr>
      <w:r w:rsidRPr="0071735E">
        <w:rPr>
          <w:b/>
          <w:color w:val="2B6CB0"/>
          <w:sz w:val="28"/>
          <w:szCs w:val="24"/>
        </w:rPr>
        <w:lastRenderedPageBreak/>
        <w:t>Insight 9: Environmental &amp; Soil Parameter Distributions</w:t>
      </w:r>
    </w:p>
    <w:p w14:paraId="61BCE29F" w14:textId="77777777" w:rsidR="0071735E" w:rsidRDefault="0071735E" w:rsidP="0071735E">
      <w:pPr>
        <w:spacing w:after="120"/>
        <w:rPr>
          <w:sz w:val="24"/>
          <w:szCs w:val="28"/>
        </w:rPr>
      </w:pPr>
      <w:r w:rsidRPr="0071735E">
        <w:rPr>
          <w:sz w:val="24"/>
          <w:szCs w:val="28"/>
        </w:rPr>
        <w:t>Soil pH and Temperature approximate normal distributions. Rainfall, Phosphorus, and Potassium exhibit right-skewed distributions caused by specific high-requirement crop outliers.</w:t>
      </w:r>
    </w:p>
    <w:p w14:paraId="7E3CCF11" w14:textId="7DE0ABD2" w:rsidR="0071735E" w:rsidRPr="0071735E" w:rsidRDefault="0071735E" w:rsidP="0071735E">
      <w:pPr>
        <w:spacing w:after="120"/>
        <w:jc w:val="center"/>
        <w:rPr>
          <w:sz w:val="24"/>
          <w:szCs w:val="28"/>
        </w:rPr>
      </w:pPr>
      <w:r>
        <w:rPr>
          <w:noProof/>
        </w:rPr>
        <w:drawing>
          <wp:inline distT="0" distB="0" distL="0" distR="0" wp14:anchorId="2F2C7FD1" wp14:editId="59303763">
            <wp:extent cx="502920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9_distributions.png"/>
                    <pic:cNvPicPr/>
                  </pic:nvPicPr>
                  <pic:blipFill>
                    <a:blip r:embed="rId13"/>
                    <a:stretch>
                      <a:fillRect/>
                    </a:stretch>
                  </pic:blipFill>
                  <pic:spPr>
                    <a:xfrm>
                      <a:off x="0" y="0"/>
                      <a:ext cx="5029200" cy="3352800"/>
                    </a:xfrm>
                    <a:prstGeom prst="rect">
                      <a:avLst/>
                    </a:prstGeom>
                  </pic:spPr>
                </pic:pic>
              </a:graphicData>
            </a:graphic>
          </wp:inline>
        </w:drawing>
      </w:r>
    </w:p>
    <w:p w14:paraId="7E2BB58A" w14:textId="77777777" w:rsidR="0071735E" w:rsidRPr="0071735E" w:rsidRDefault="0071735E" w:rsidP="0071735E">
      <w:pPr>
        <w:spacing w:after="280"/>
        <w:jc w:val="center"/>
        <w:rPr>
          <w:sz w:val="24"/>
          <w:szCs w:val="28"/>
        </w:rPr>
      </w:pPr>
      <w:r w:rsidRPr="0071735E">
        <w:rPr>
          <w:i/>
          <w:color w:val="718096"/>
          <w:sz w:val="22"/>
          <w:szCs w:val="28"/>
        </w:rPr>
        <w:t>Figure 9: Histograms of Feature Distributions</w:t>
      </w:r>
    </w:p>
    <w:p w14:paraId="00DF05F5" w14:textId="77777777" w:rsidR="0071735E" w:rsidRPr="0071735E" w:rsidRDefault="0071735E" w:rsidP="0071735E">
      <w:pPr>
        <w:spacing w:before="240" w:after="80"/>
        <w:rPr>
          <w:sz w:val="22"/>
          <w:szCs w:val="24"/>
        </w:rPr>
      </w:pPr>
      <w:r w:rsidRPr="0071735E">
        <w:rPr>
          <w:b/>
          <w:color w:val="2B6CB0"/>
          <w:sz w:val="28"/>
          <w:szCs w:val="24"/>
        </w:rPr>
        <w:t>Insight 10: High-Rainfall Requirement Crops</w:t>
      </w:r>
    </w:p>
    <w:p w14:paraId="087B3AFA" w14:textId="77777777" w:rsidR="0071735E" w:rsidRPr="0071735E" w:rsidRDefault="0071735E" w:rsidP="0071735E">
      <w:pPr>
        <w:spacing w:after="120"/>
        <w:rPr>
          <w:sz w:val="24"/>
          <w:szCs w:val="28"/>
        </w:rPr>
      </w:pPr>
      <w:r w:rsidRPr="0071735E">
        <w:rPr>
          <w:sz w:val="24"/>
          <w:szCs w:val="28"/>
        </w:rPr>
        <w:t>Rice requires the highest average rainfall (~236mm), followed by Coconut (~175mm) and Jute (~174mm). These crops depend on heavy irrigation or monsoonal rainfall regions.</w:t>
      </w:r>
    </w:p>
    <w:p w14:paraId="61D06E53" w14:textId="5C11DA3D" w:rsidR="0071735E" w:rsidRDefault="0071735E" w:rsidP="0071735E">
      <w:pPr>
        <w:spacing w:before="240" w:after="80"/>
        <w:rPr>
          <w:sz w:val="22"/>
          <w:szCs w:val="24"/>
        </w:rPr>
      </w:pPr>
      <w:r>
        <w:rPr>
          <w:noProof/>
        </w:rPr>
        <w:drawing>
          <wp:inline distT="0" distB="0" distL="0" distR="0" wp14:anchorId="33EE4AE6" wp14:editId="57BC333E">
            <wp:extent cx="5029200" cy="251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0_rainfall_crops.png"/>
                    <pic:cNvPicPr/>
                  </pic:nvPicPr>
                  <pic:blipFill>
                    <a:blip r:embed="rId14"/>
                    <a:stretch>
                      <a:fillRect/>
                    </a:stretch>
                  </pic:blipFill>
                  <pic:spPr>
                    <a:xfrm>
                      <a:off x="0" y="0"/>
                      <a:ext cx="5029200" cy="2514600"/>
                    </a:xfrm>
                    <a:prstGeom prst="rect">
                      <a:avLst/>
                    </a:prstGeom>
                  </pic:spPr>
                </pic:pic>
              </a:graphicData>
            </a:graphic>
          </wp:inline>
        </w:drawing>
      </w:r>
    </w:p>
    <w:p w14:paraId="3941C5B9" w14:textId="77777777" w:rsidR="0071735E" w:rsidRPr="0071735E" w:rsidRDefault="0071735E" w:rsidP="0071735E">
      <w:pPr>
        <w:spacing w:after="280"/>
        <w:jc w:val="center"/>
        <w:rPr>
          <w:sz w:val="24"/>
          <w:szCs w:val="28"/>
        </w:rPr>
      </w:pPr>
      <w:r w:rsidRPr="0071735E">
        <w:rPr>
          <w:i/>
          <w:color w:val="718096"/>
          <w:sz w:val="22"/>
          <w:szCs w:val="28"/>
        </w:rPr>
        <w:t>Figure 10: Top 10 Water-Intensive Crops</w:t>
      </w:r>
    </w:p>
    <w:p w14:paraId="5022F302" w14:textId="77777777" w:rsidR="0071735E" w:rsidRDefault="0071735E" w:rsidP="0071735E">
      <w:pPr>
        <w:spacing w:before="240" w:after="80"/>
        <w:rPr>
          <w:b/>
          <w:color w:val="2B6CB0"/>
          <w:sz w:val="28"/>
          <w:szCs w:val="24"/>
          <w:lang w:val="en-IN"/>
        </w:rPr>
      </w:pPr>
      <w:r w:rsidRPr="0071735E">
        <w:rPr>
          <w:b/>
          <w:color w:val="2B6CB0"/>
          <w:sz w:val="28"/>
          <w:szCs w:val="24"/>
        </w:rPr>
        <w:lastRenderedPageBreak/>
        <w:t>Insight 1</w:t>
      </w:r>
      <w:r>
        <w:rPr>
          <w:b/>
          <w:color w:val="2B6CB0"/>
          <w:sz w:val="28"/>
          <w:szCs w:val="24"/>
        </w:rPr>
        <w:t>1</w:t>
      </w:r>
      <w:r w:rsidRPr="0071735E">
        <w:rPr>
          <w:b/>
          <w:color w:val="2B6CB0"/>
          <w:sz w:val="28"/>
          <w:szCs w:val="24"/>
        </w:rPr>
        <w:t xml:space="preserve">: </w:t>
      </w:r>
      <w:r w:rsidRPr="0071735E">
        <w:rPr>
          <w:b/>
          <w:color w:val="2B6CB0"/>
          <w:sz w:val="28"/>
          <w:szCs w:val="24"/>
          <w:lang w:val="en-IN"/>
        </w:rPr>
        <w:t>Humidity VS Temperature</w:t>
      </w:r>
    </w:p>
    <w:p w14:paraId="4FE83C64" w14:textId="505546FB" w:rsidR="00F95653" w:rsidRPr="00F95653" w:rsidRDefault="00F95653" w:rsidP="00F95653">
      <w:pPr>
        <w:spacing w:after="120"/>
        <w:rPr>
          <w:sz w:val="24"/>
          <w:szCs w:val="28"/>
        </w:rPr>
      </w:pPr>
      <w:r>
        <w:rPr>
          <w:sz w:val="24"/>
          <w:szCs w:val="28"/>
        </w:rPr>
        <w:t>It shows that clear environment clustering where different crop species occupy specific temperature and humidity</w:t>
      </w:r>
      <w:r w:rsidRPr="0071735E">
        <w:rPr>
          <w:sz w:val="24"/>
          <w:szCs w:val="28"/>
        </w:rPr>
        <w:t>.</w:t>
      </w:r>
    </w:p>
    <w:p w14:paraId="6B606CBA" w14:textId="63EE816E" w:rsidR="0071735E" w:rsidRPr="0071735E" w:rsidRDefault="00F95653" w:rsidP="0071735E">
      <w:pPr>
        <w:spacing w:before="240" w:after="80"/>
        <w:jc w:val="center"/>
        <w:rPr>
          <w:sz w:val="22"/>
          <w:szCs w:val="24"/>
        </w:rPr>
      </w:pPr>
      <w:r w:rsidRPr="00F95653">
        <w:rPr>
          <w:sz w:val="22"/>
          <w:szCs w:val="24"/>
        </w:rPr>
        <w:drawing>
          <wp:inline distT="0" distB="0" distL="0" distR="0" wp14:anchorId="3A30D9EA" wp14:editId="235CB442">
            <wp:extent cx="5731510" cy="3922395"/>
            <wp:effectExtent l="0" t="0" r="2540" b="1905"/>
            <wp:docPr id="206402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24221" name=""/>
                    <pic:cNvPicPr/>
                  </pic:nvPicPr>
                  <pic:blipFill>
                    <a:blip r:embed="rId15"/>
                    <a:stretch>
                      <a:fillRect/>
                    </a:stretch>
                  </pic:blipFill>
                  <pic:spPr>
                    <a:xfrm>
                      <a:off x="0" y="0"/>
                      <a:ext cx="5731510" cy="3922395"/>
                    </a:xfrm>
                    <a:prstGeom prst="rect">
                      <a:avLst/>
                    </a:prstGeom>
                  </pic:spPr>
                </pic:pic>
              </a:graphicData>
            </a:graphic>
          </wp:inline>
        </w:drawing>
      </w:r>
    </w:p>
    <w:p w14:paraId="548C7B0C" w14:textId="3B01BDED" w:rsidR="0071735E" w:rsidRPr="00632B59" w:rsidRDefault="00632B59" w:rsidP="0071735E">
      <w:pPr>
        <w:spacing w:before="360" w:after="120"/>
        <w:jc w:val="center"/>
        <w:rPr>
          <w:bCs/>
          <w:i/>
          <w:iCs/>
          <w:color w:val="1A365D"/>
          <w:sz w:val="22"/>
          <w:szCs w:val="16"/>
        </w:rPr>
      </w:pPr>
      <w:r w:rsidRPr="00632B59">
        <w:rPr>
          <w:bCs/>
          <w:i/>
          <w:iCs/>
          <w:color w:val="1A365D"/>
          <w:sz w:val="22"/>
          <w:szCs w:val="16"/>
        </w:rPr>
        <w:t>Figure 11: Humidity VS Temperature for different crop</w:t>
      </w:r>
    </w:p>
    <w:p w14:paraId="67C5474B" w14:textId="77777777" w:rsidR="0071735E" w:rsidRDefault="0071735E" w:rsidP="0071735E">
      <w:pPr>
        <w:spacing w:before="360" w:after="120"/>
        <w:rPr>
          <w:b/>
          <w:color w:val="1A365D"/>
          <w:sz w:val="32"/>
        </w:rPr>
      </w:pPr>
    </w:p>
    <w:p w14:paraId="4F7FBD20" w14:textId="45BC66EC" w:rsidR="0071735E" w:rsidRDefault="0071735E" w:rsidP="0071735E">
      <w:pPr>
        <w:spacing w:before="360" w:after="120"/>
      </w:pPr>
      <w:r>
        <w:rPr>
          <w:b/>
          <w:color w:val="1A365D"/>
          <w:sz w:val="32"/>
        </w:rPr>
        <w:t>3. Agronomic Recommendations &amp; Key Takeaways</w:t>
      </w:r>
    </w:p>
    <w:p w14:paraId="728741CC" w14:textId="77777777" w:rsidR="0071735E" w:rsidRPr="0071735E" w:rsidRDefault="0071735E" w:rsidP="0071735E">
      <w:pPr>
        <w:pStyle w:val="ListBullet"/>
        <w:tabs>
          <w:tab w:val="num" w:pos="360"/>
        </w:tabs>
        <w:spacing w:after="60"/>
        <w:ind w:left="360" w:hanging="360"/>
        <w:rPr>
          <w:sz w:val="24"/>
          <w:szCs w:val="28"/>
        </w:rPr>
      </w:pPr>
      <w:r w:rsidRPr="0071735E">
        <w:rPr>
          <w:b/>
          <w:color w:val="1A365D"/>
          <w:sz w:val="24"/>
          <w:szCs w:val="28"/>
        </w:rPr>
        <w:t xml:space="preserve">Targeted Fertilization: </w:t>
      </w:r>
      <w:r w:rsidRPr="0071735E">
        <w:rPr>
          <w:sz w:val="24"/>
          <w:szCs w:val="28"/>
        </w:rPr>
        <w:t>Specific fertilizer blends should be formulated for fruit crops like Apple and Grape due to their extreme P and K requirements.</w:t>
      </w:r>
    </w:p>
    <w:p w14:paraId="49F432C2" w14:textId="77777777" w:rsidR="0071735E" w:rsidRPr="0071735E" w:rsidRDefault="0071735E" w:rsidP="0071735E">
      <w:pPr>
        <w:pStyle w:val="ListBullet"/>
        <w:tabs>
          <w:tab w:val="num" w:pos="360"/>
        </w:tabs>
        <w:spacing w:after="60"/>
        <w:ind w:left="360" w:hanging="360"/>
        <w:rPr>
          <w:sz w:val="24"/>
          <w:szCs w:val="28"/>
        </w:rPr>
      </w:pPr>
      <w:r w:rsidRPr="0071735E">
        <w:rPr>
          <w:b/>
          <w:color w:val="1A365D"/>
          <w:sz w:val="24"/>
          <w:szCs w:val="28"/>
        </w:rPr>
        <w:t xml:space="preserve">Irrigation Planning: </w:t>
      </w:r>
      <w:r w:rsidRPr="0071735E">
        <w:rPr>
          <w:sz w:val="24"/>
          <w:szCs w:val="28"/>
        </w:rPr>
        <w:t>Water allocation models must prioritize Rice, Coconut, and Jute during dry spells, as their minimum rainfall thresholds are twice those of standard crops.</w:t>
      </w:r>
    </w:p>
    <w:p w14:paraId="384C1BDC" w14:textId="77777777" w:rsidR="0071735E" w:rsidRPr="0071735E" w:rsidRDefault="0071735E" w:rsidP="0071735E">
      <w:pPr>
        <w:pStyle w:val="ListBullet"/>
        <w:tabs>
          <w:tab w:val="num" w:pos="360"/>
        </w:tabs>
        <w:spacing w:after="60"/>
        <w:ind w:left="360" w:hanging="360"/>
        <w:rPr>
          <w:sz w:val="24"/>
          <w:szCs w:val="28"/>
        </w:rPr>
      </w:pPr>
      <w:r w:rsidRPr="0071735E">
        <w:rPr>
          <w:b/>
          <w:color w:val="1A365D"/>
          <w:sz w:val="24"/>
          <w:szCs w:val="28"/>
        </w:rPr>
        <w:t xml:space="preserve">Soil Amendment: </w:t>
      </w:r>
      <w:r w:rsidRPr="0071735E">
        <w:rPr>
          <w:sz w:val="24"/>
          <w:szCs w:val="28"/>
        </w:rPr>
        <w:t>Soil pH conditioning (e.g., liming acidic soils for Chickpeas) is recommended prior to planting pH-sensitive crops.</w:t>
      </w:r>
    </w:p>
    <w:p w14:paraId="2E777EA2" w14:textId="77777777" w:rsidR="0071735E" w:rsidRPr="0071735E" w:rsidRDefault="0071735E" w:rsidP="0071735E">
      <w:pPr>
        <w:spacing w:before="240" w:after="80"/>
        <w:rPr>
          <w:sz w:val="22"/>
          <w:szCs w:val="24"/>
        </w:rPr>
      </w:pPr>
    </w:p>
    <w:p w14:paraId="78DA4F33" w14:textId="77777777" w:rsidR="0071735E" w:rsidRPr="0071735E" w:rsidRDefault="0071735E" w:rsidP="0071735E">
      <w:pPr>
        <w:spacing w:before="240" w:after="80"/>
        <w:rPr>
          <w:sz w:val="22"/>
          <w:szCs w:val="24"/>
        </w:rPr>
      </w:pPr>
    </w:p>
    <w:p w14:paraId="14EF2F9A" w14:textId="77777777" w:rsidR="0071735E" w:rsidRPr="0071735E" w:rsidRDefault="0071735E" w:rsidP="0071735E">
      <w:pPr>
        <w:spacing w:after="120"/>
        <w:rPr>
          <w:sz w:val="24"/>
          <w:szCs w:val="28"/>
        </w:rPr>
      </w:pPr>
    </w:p>
    <w:p w14:paraId="09DBC9C9" w14:textId="77777777" w:rsidR="009F1770" w:rsidRPr="009F1770" w:rsidRDefault="009F1770" w:rsidP="009F1770">
      <w:pPr>
        <w:spacing w:before="240" w:after="80"/>
        <w:rPr>
          <w:sz w:val="22"/>
          <w:szCs w:val="24"/>
        </w:rPr>
      </w:pPr>
    </w:p>
    <w:p w14:paraId="7AC36649" w14:textId="77777777" w:rsidR="009F1770" w:rsidRDefault="009F1770"/>
    <w:sectPr w:rsidR="009F1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29051EC"/>
    <w:lvl w:ilvl="0">
      <w:start w:val="1"/>
      <w:numFmt w:val="bullet"/>
      <w:pStyle w:val="ListBullet"/>
      <w:lvlText w:val=""/>
      <w:lvlJc w:val="left"/>
      <w:pPr>
        <w:tabs>
          <w:tab w:val="num" w:pos="360"/>
        </w:tabs>
        <w:ind w:left="360" w:hanging="360"/>
      </w:pPr>
      <w:rPr>
        <w:rFonts w:ascii="Symbol" w:hAnsi="Symbol" w:hint="default"/>
      </w:rPr>
    </w:lvl>
  </w:abstractNum>
  <w:num w:numId="1" w16cid:durableId="961882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83"/>
    <w:rsid w:val="000A1CC5"/>
    <w:rsid w:val="00467944"/>
    <w:rsid w:val="005761D8"/>
    <w:rsid w:val="00632B59"/>
    <w:rsid w:val="0071735E"/>
    <w:rsid w:val="009F1770"/>
    <w:rsid w:val="00F32583"/>
    <w:rsid w:val="00F95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F07F1"/>
  <w15:chartTrackingRefBased/>
  <w15:docId w15:val="{8C6D1911-5887-4C35-8EA0-1B4FB37FF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653"/>
    <w:pPr>
      <w:spacing w:after="200" w:line="276" w:lineRule="auto"/>
    </w:pPr>
    <w:rPr>
      <w:rFonts w:ascii="Arial" w:eastAsiaTheme="minorEastAsia" w:hAnsi="Arial"/>
      <w:color w:val="2D3748"/>
      <w:kern w:val="0"/>
      <w:sz w:val="21"/>
      <w:lang w:val="en-US"/>
      <w14:ligatures w14:val="none"/>
    </w:rPr>
  </w:style>
  <w:style w:type="paragraph" w:styleId="Heading1">
    <w:name w:val="heading 1"/>
    <w:basedOn w:val="Normal"/>
    <w:next w:val="Normal"/>
    <w:link w:val="Heading1Char"/>
    <w:uiPriority w:val="9"/>
    <w:qFormat/>
    <w:rsid w:val="00F325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5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5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5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5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5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5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5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5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5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583"/>
    <w:rPr>
      <w:rFonts w:eastAsiaTheme="majorEastAsia" w:cstheme="majorBidi"/>
      <w:color w:val="272727" w:themeColor="text1" w:themeTint="D8"/>
    </w:rPr>
  </w:style>
  <w:style w:type="paragraph" w:styleId="Title">
    <w:name w:val="Title"/>
    <w:basedOn w:val="Normal"/>
    <w:next w:val="Normal"/>
    <w:link w:val="TitleChar"/>
    <w:uiPriority w:val="10"/>
    <w:qFormat/>
    <w:rsid w:val="00F32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583"/>
    <w:pPr>
      <w:spacing w:before="160"/>
      <w:jc w:val="center"/>
    </w:pPr>
    <w:rPr>
      <w:i/>
      <w:iCs/>
      <w:color w:val="404040" w:themeColor="text1" w:themeTint="BF"/>
    </w:rPr>
  </w:style>
  <w:style w:type="character" w:customStyle="1" w:styleId="QuoteChar">
    <w:name w:val="Quote Char"/>
    <w:basedOn w:val="DefaultParagraphFont"/>
    <w:link w:val="Quote"/>
    <w:uiPriority w:val="29"/>
    <w:rsid w:val="00F32583"/>
    <w:rPr>
      <w:i/>
      <w:iCs/>
      <w:color w:val="404040" w:themeColor="text1" w:themeTint="BF"/>
    </w:rPr>
  </w:style>
  <w:style w:type="paragraph" w:styleId="ListParagraph">
    <w:name w:val="List Paragraph"/>
    <w:basedOn w:val="Normal"/>
    <w:uiPriority w:val="34"/>
    <w:qFormat/>
    <w:rsid w:val="00F32583"/>
    <w:pPr>
      <w:ind w:left="720"/>
      <w:contextualSpacing/>
    </w:pPr>
  </w:style>
  <w:style w:type="character" w:styleId="IntenseEmphasis">
    <w:name w:val="Intense Emphasis"/>
    <w:basedOn w:val="DefaultParagraphFont"/>
    <w:uiPriority w:val="21"/>
    <w:qFormat/>
    <w:rsid w:val="00F32583"/>
    <w:rPr>
      <w:i/>
      <w:iCs/>
      <w:color w:val="2F5496" w:themeColor="accent1" w:themeShade="BF"/>
    </w:rPr>
  </w:style>
  <w:style w:type="paragraph" w:styleId="IntenseQuote">
    <w:name w:val="Intense Quote"/>
    <w:basedOn w:val="Normal"/>
    <w:next w:val="Normal"/>
    <w:link w:val="IntenseQuoteChar"/>
    <w:uiPriority w:val="30"/>
    <w:qFormat/>
    <w:rsid w:val="00F32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583"/>
    <w:rPr>
      <w:i/>
      <w:iCs/>
      <w:color w:val="2F5496" w:themeColor="accent1" w:themeShade="BF"/>
    </w:rPr>
  </w:style>
  <w:style w:type="character" w:styleId="IntenseReference">
    <w:name w:val="Intense Reference"/>
    <w:basedOn w:val="DefaultParagraphFont"/>
    <w:uiPriority w:val="32"/>
    <w:qFormat/>
    <w:rsid w:val="00F32583"/>
    <w:rPr>
      <w:b/>
      <w:bCs/>
      <w:smallCaps/>
      <w:color w:val="2F5496" w:themeColor="accent1" w:themeShade="BF"/>
      <w:spacing w:val="5"/>
    </w:rPr>
  </w:style>
  <w:style w:type="table" w:styleId="PlainTable4">
    <w:name w:val="Plain Table 4"/>
    <w:basedOn w:val="TableNormal"/>
    <w:uiPriority w:val="44"/>
    <w:rsid w:val="00F325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F3258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Bullet">
    <w:name w:val="List Bullet"/>
    <w:basedOn w:val="Normal"/>
    <w:uiPriority w:val="99"/>
    <w:unhideWhenUsed/>
    <w:rsid w:val="0071735E"/>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Rai</dc:creator>
  <cp:keywords/>
  <dc:description/>
  <cp:lastModifiedBy>Prashant Rai</cp:lastModifiedBy>
  <cp:revision>1</cp:revision>
  <dcterms:created xsi:type="dcterms:W3CDTF">2026-09-24T12:53:00Z</dcterms:created>
  <dcterms:modified xsi:type="dcterms:W3CDTF">2026-09-24T13:49:00Z</dcterms:modified>
</cp:coreProperties>
</file>