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324F"/>
          <w:sz w:val="60"/>
        </w:rPr>
        <w:t>LIBRACORE V1.0</w:t>
      </w:r>
    </w:p>
    <w:p>
      <w:pPr>
        <w:jc w:val="center"/>
      </w:pPr>
      <w:r>
        <w:rPr>
          <w:b/>
          <w:color w:val="244A73"/>
          <w:sz w:val="38"/>
        </w:rPr>
        <w:t>Canonical Engineering Documentation</w:t>
      </w:r>
    </w:p>
    <w:p>
      <w:pPr>
        <w:jc w:val="center"/>
      </w:pPr>
      <w:r>
        <w:rPr>
          <w:color w:val="666666"/>
          <w:sz w:val="24"/>
        </w:rPr>
        <w:t>Frozen deterministic C++17 domain engine</w:t>
      </w:r>
    </w:p>
    <w:p/>
    <w:tbl>
      <w:tblPr>
        <w:tblStyle w:val="TableGrid"/>
        <w:tblW w:type="auto" w:w="0"/>
        <w:jc w:val="center"/>
        <w:tblLook w:firstColumn="1" w:firstRow="1" w:lastColumn="0" w:lastRow="0" w:noHBand="0" w:noVBand="1" w:val="04A0"/>
      </w:tblPr>
      <w:tblGrid>
        <w:gridCol w:w="5083"/>
        <w:gridCol w:w="5083"/>
      </w:tblGrid>
      <w:tr>
        <w:tc>
          <w:tcPr>
            <w:tcW w:type="dxa" w:w="5083"/>
            <w:shd w:fill="EEF4FA"/>
            <w:tcMar>
              <w:top w:w="90" w:type="dxa"/>
              <w:start w:w="100" w:type="dxa"/>
              <w:bottom w:w="90" w:type="dxa"/>
              <w:end w:w="100" w:type="dxa"/>
            </w:tcMar>
            <w:vAlign w:val="center"/>
          </w:tcPr>
          <w:p>
            <w:r>
              <w:rPr>
                <w:b/>
              </w:rPr>
              <w:t>Version</w:t>
            </w:r>
          </w:p>
        </w:tc>
        <w:tc>
          <w:tcPr>
            <w:tcW w:type="dxa" w:w="5083"/>
            <w:tcMar>
              <w:top w:w="90" w:type="dxa"/>
              <w:start w:w="100" w:type="dxa"/>
              <w:bottom w:w="90" w:type="dxa"/>
              <w:end w:w="100" w:type="dxa"/>
            </w:tcMar>
            <w:vAlign w:val="center"/>
          </w:tcPr>
          <w:p>
            <w:r>
              <w:t>V1.0</w:t>
            </w:r>
          </w:p>
        </w:tc>
      </w:tr>
      <w:tr>
        <w:tc>
          <w:tcPr>
            <w:tcW w:type="dxa" w:w="5083"/>
            <w:shd w:fill="EEF4FA"/>
            <w:tcMar>
              <w:top w:w="90" w:type="dxa"/>
              <w:start w:w="100" w:type="dxa"/>
              <w:bottom w:w="90" w:type="dxa"/>
              <w:end w:w="100" w:type="dxa"/>
            </w:tcMar>
            <w:vAlign w:val="center"/>
          </w:tcPr>
          <w:p>
            <w:r>
              <w:rPr>
                <w:b/>
              </w:rPr>
              <w:t>Status</w:t>
            </w:r>
          </w:p>
        </w:tc>
        <w:tc>
          <w:tcPr>
            <w:tcW w:type="dxa" w:w="5083"/>
            <w:tcMar>
              <w:top w:w="90" w:type="dxa"/>
              <w:start w:w="100" w:type="dxa"/>
              <w:bottom w:w="90" w:type="dxa"/>
              <w:end w:w="100" w:type="dxa"/>
            </w:tcMar>
            <w:vAlign w:val="center"/>
          </w:tcPr>
          <w:p>
            <w:r>
              <w:t>V1 READY TO FREEZE</w:t>
            </w:r>
          </w:p>
        </w:tc>
      </w:tr>
      <w:tr>
        <w:tc>
          <w:tcPr>
            <w:tcW w:type="dxa" w:w="5083"/>
            <w:shd w:fill="EEF4FA"/>
            <w:tcMar>
              <w:top w:w="90" w:type="dxa"/>
              <w:start w:w="100" w:type="dxa"/>
              <w:bottom w:w="90" w:type="dxa"/>
              <w:end w:w="100" w:type="dxa"/>
            </w:tcMar>
            <w:vAlign w:val="center"/>
          </w:tcPr>
          <w:p>
            <w:r>
              <w:rPr>
                <w:b/>
              </w:rPr>
              <w:t>Documentation date</w:t>
            </w:r>
          </w:p>
        </w:tc>
        <w:tc>
          <w:tcPr>
            <w:tcW w:type="dxa" w:w="5083"/>
            <w:tcMar>
              <w:top w:w="90" w:type="dxa"/>
              <w:start w:w="100" w:type="dxa"/>
              <w:bottom w:w="90" w:type="dxa"/>
              <w:end w:w="100" w:type="dxa"/>
            </w:tcMar>
            <w:vAlign w:val="center"/>
          </w:tcPr>
          <w:p>
            <w:r>
              <w:t>25 October 2026</w:t>
            </w:r>
          </w:p>
        </w:tc>
      </w:tr>
      <w:tr>
        <w:tc>
          <w:tcPr>
            <w:tcW w:type="dxa" w:w="5083"/>
            <w:shd w:fill="EEF4FA"/>
            <w:tcMar>
              <w:top w:w="90" w:type="dxa"/>
              <w:start w:w="100" w:type="dxa"/>
              <w:bottom w:w="90" w:type="dxa"/>
              <w:end w:w="100" w:type="dxa"/>
            </w:tcMar>
            <w:vAlign w:val="center"/>
          </w:tcPr>
          <w:p>
            <w:r>
              <w:rPr>
                <w:b/>
              </w:rPr>
              <w:t>Purpose</w:t>
            </w:r>
          </w:p>
        </w:tc>
        <w:tc>
          <w:tcPr>
            <w:tcW w:type="dxa" w:w="5083"/>
            <w:tcMar>
              <w:top w:w="90" w:type="dxa"/>
              <w:start w:w="100" w:type="dxa"/>
              <w:bottom w:w="90" w:type="dxa"/>
              <w:end w:w="100" w:type="dxa"/>
            </w:tcMar>
            <w:vAlign w:val="center"/>
          </w:tcPr>
          <w:p>
            <w:r>
              <w:t>Preserve system behavior, architecture, design intent, verification evidence, limitations, and future handoff context.</w:t>
            </w:r>
          </w:p>
        </w:tc>
      </w:tr>
    </w:tbl>
    <w:p/>
    <w:p>
      <w:pPr>
        <w:jc w:val="center"/>
      </w:pPr>
      <w:r>
        <w:rPr>
          <w:b/>
          <w:color w:val="244A73"/>
          <w:sz w:val="21"/>
        </w:rPr>
        <w:t>This document is the primary long-form knowledge record for this release.</w:t>
      </w:r>
    </w:p>
    <w:p>
      <w:r>
        <w:br w:type="page"/>
      </w:r>
    </w:p>
    <w:p>
      <w:pPr>
        <w:pStyle w:val="Heading1"/>
      </w:pPr>
      <w:r>
        <w:t>How to Use This Document</w:t>
      </w:r>
    </w:p>
    <w:p>
      <w:r>
        <w:t>This is not a marketing overview. It is a reconstruction-quality engineering record. Read the first five sections to recover the project mental model, then use the remaining sections as a reference while modifying or extending the code.</w:t>
      </w:r>
    </w:p>
    <w:p>
      <w:pPr>
        <w:pStyle w:val="Heading2"/>
      </w:pPr>
      <w:r>
        <w:t>Contents</w:t>
      </w:r>
    </w:p>
    <w:p>
      <w:r>
        <w:rPr>
          <w:b/>
        </w:rPr>
        <w:t>1. Document Control</w:t>
      </w:r>
    </w:p>
    <w:p>
      <w:r>
        <w:rPr>
          <w:b/>
        </w:rPr>
        <w:t>2. Executive Summary</w:t>
      </w:r>
    </w:p>
    <w:p>
      <w:r>
        <w:rPr>
          <w:b/>
        </w:rPr>
        <w:t>3. Project Origin and V1 Intent</w:t>
      </w:r>
    </w:p>
    <w:p>
      <w:r>
        <w:rPr>
          <w:b/>
        </w:rPr>
        <w:t>4. System Mental Model</w:t>
      </w:r>
    </w:p>
    <w:p>
      <w:r>
        <w:rPr>
          <w:b/>
        </w:rPr>
        <w:t>5. Q1-Q16 Baseline Requirements</w:t>
      </w:r>
    </w:p>
    <w:p>
      <w:r>
        <w:rPr>
          <w:b w:val="0"/>
        </w:rPr>
        <w:t>6. What V1 Added</w:t>
      </w:r>
    </w:p>
    <w:p>
      <w:r>
        <w:rPr>
          <w:b w:val="0"/>
        </w:rPr>
        <w:t>7. Architecture and Component Responsibilities</w:t>
      </w:r>
    </w:p>
    <w:p>
      <w:r>
        <w:rPr>
          <w:b w:val="0"/>
        </w:rPr>
        <w:t>8. Domain Model and Resource Hierarchy</w:t>
      </w:r>
    </w:p>
    <w:p>
      <w:r>
        <w:rPr>
          <w:b w:val="0"/>
        </w:rPr>
        <w:t>9. Money and Pricing Semantics</w:t>
      </w:r>
    </w:p>
    <w:p>
      <w:r>
        <w:rPr>
          <w:b w:val="0"/>
        </w:rPr>
        <w:t>10. Catalog, Search and Sorting</w:t>
      </w:r>
    </w:p>
    <w:p>
      <w:r>
        <w:rPr>
          <w:b w:val="0"/>
        </w:rPr>
        <w:t>11. Lending Model</w:t>
      </w:r>
    </w:p>
    <w:p>
      <w:r>
        <w:rPr>
          <w:b w:val="0"/>
        </w:rPr>
        <w:t>12. Budget and Department Finance</w:t>
      </w:r>
    </w:p>
    <w:p>
      <w:r>
        <w:rPr>
          <w:b w:val="0"/>
        </w:rPr>
        <w:t>13. Acquisition and Vendor Selection</w:t>
      </w:r>
    </w:p>
    <w:p>
      <w:r>
        <w:rPr>
          <w:b w:val="0"/>
        </w:rPr>
        <w:t>14. Cancellation, Batch and History Semantics</w:t>
      </w:r>
    </w:p>
    <w:p>
      <w:r>
        <w:rPr>
          <w:b w:val="0"/>
        </w:rPr>
        <w:t>15. Configuration and Reporting</w:t>
      </w:r>
    </w:p>
    <w:p>
      <w:r>
        <w:rPr>
          <w:b w:val="0"/>
        </w:rPr>
        <w:t>16. Exception Safety and Failure Semantics</w:t>
      </w:r>
    </w:p>
    <w:p>
      <w:r>
        <w:rPr>
          <w:b w:val="0"/>
        </w:rPr>
        <w:t>17. Testing Strategy and Evidence</w:t>
      </w:r>
    </w:p>
    <w:p>
      <w:r>
        <w:rPr>
          <w:b w:val="0"/>
        </w:rPr>
        <w:t>18. Benchmarks and Scalability</w:t>
      </w:r>
    </w:p>
    <w:p>
      <w:r>
        <w:rPr>
          <w:b w:val="0"/>
        </w:rPr>
        <w:t>19. Build, Run and Developer Workflow</w:t>
      </w:r>
    </w:p>
    <w:p>
      <w:r>
        <w:rPr>
          <w:b w:val="0"/>
        </w:rPr>
        <w:t>20. File/Module Map</w:t>
      </w:r>
    </w:p>
    <w:p>
      <w:r>
        <w:rPr>
          <w:b w:val="0"/>
        </w:rPr>
        <w:t>21. Design Decisions and Rationale</w:t>
      </w:r>
    </w:p>
    <w:p>
      <w:r>
        <w:rPr>
          <w:b w:val="0"/>
        </w:rPr>
        <w:t>22. Known Limitations and Deferred Scope</w:t>
      </w:r>
    </w:p>
    <w:p>
      <w:r>
        <w:rPr>
          <w:b w:val="0"/>
        </w:rPr>
        <w:t>23. Release Freeze Record</w:t>
      </w:r>
    </w:p>
    <w:p>
      <w:r>
        <w:rPr>
          <w:b w:val="0"/>
        </w:rPr>
        <w:t>24. V2 Handoff Contract</w:t>
      </w:r>
    </w:p>
    <w:p>
      <w:r>
        <w:rPr>
          <w:b w:val="0"/>
        </w:rPr>
        <w:t>25. Future Maintainer Checklist</w:t>
      </w:r>
    </w:p>
    <w:p>
      <w:r>
        <w:rPr>
          <w:b w:val="0"/>
        </w:rPr>
        <w:t>26. Canonical Summary</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Debt-prevention rule: </w:t>
            </w:r>
            <w:r>
              <w:t>When future behavior conflicts with this document, treat the frozen code and tests as the final source of truth, then update this document deliberately. Never silently change an invariant and leave the documentation stale.</w:t>
            </w:r>
          </w:p>
        </w:tc>
      </w:tr>
    </w:tbl>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44A73"/>
            <w:tcMar>
              <w:top w:w="90" w:type="dxa"/>
              <w:start w:w="100" w:type="dxa"/>
              <w:bottom w:w="90" w:type="dxa"/>
              <w:end w:w="100" w:type="dxa"/>
            </w:tcMar>
          </w:tcPr>
          <w:p>
            <w:r>
              <w:rPr>
                <w:b/>
                <w:color w:val="FFFFFF"/>
                <w:sz w:val="17"/>
              </w:rPr>
              <w:t>Field</w:t>
            </w:r>
          </w:p>
        </w:tc>
        <w:tc>
          <w:tcPr>
            <w:tcW w:type="dxa" w:w="8352"/>
            <w:shd w:fill="244A73"/>
            <w:tcMar>
              <w:top w:w="90" w:type="dxa"/>
              <w:start w:w="100" w:type="dxa"/>
              <w:bottom w:w="90" w:type="dxa"/>
              <w:end w:w="100" w:type="dxa"/>
            </w:tcMar>
          </w:tcPr>
          <w:p>
            <w:r>
              <w:rPr>
                <w:b/>
                <w:color w:val="FFFFFF"/>
                <w:sz w:val="17"/>
              </w:rPr>
              <w:t>Canonical value</w:t>
            </w:r>
          </w:p>
        </w:tc>
      </w:tr>
      <w:tr>
        <w:trPr>
          <w:cantSplit/>
        </w:trPr>
        <w:tc>
          <w:tcPr>
            <w:tcW w:type="dxa" w:w="2448"/>
            <w:tcMar>
              <w:top w:w="90" w:type="dxa"/>
              <w:start w:w="100" w:type="dxa"/>
              <w:bottom w:w="90" w:type="dxa"/>
              <w:end w:w="100" w:type="dxa"/>
            </w:tcMar>
            <w:vAlign w:val="top"/>
          </w:tcPr>
          <w:p>
            <w:r>
              <w:rPr>
                <w:sz w:val="17"/>
              </w:rPr>
              <w:t>Document type</w:t>
            </w:r>
          </w:p>
        </w:tc>
        <w:tc>
          <w:tcPr>
            <w:tcW w:type="dxa" w:w="8352"/>
            <w:tcMar>
              <w:top w:w="90" w:type="dxa"/>
              <w:start w:w="100" w:type="dxa"/>
              <w:bottom w:w="90" w:type="dxa"/>
              <w:end w:w="100" w:type="dxa"/>
            </w:tcMar>
            <w:vAlign w:val="top"/>
          </w:tcPr>
          <w:p>
            <w:r>
              <w:rPr>
                <w:sz w:val="17"/>
              </w:rPr>
              <w:t>Canonical engineering / maintainer handoff documentation</w:t>
            </w:r>
          </w:p>
        </w:tc>
      </w:tr>
      <w:tr>
        <w:trPr>
          <w:cantSplit/>
        </w:trPr>
        <w:tc>
          <w:tcPr>
            <w:tcW w:type="dxa" w:w="2448"/>
            <w:tcMar>
              <w:top w:w="90" w:type="dxa"/>
              <w:start w:w="100" w:type="dxa"/>
              <w:bottom w:w="90" w:type="dxa"/>
              <w:end w:w="100" w:type="dxa"/>
            </w:tcMar>
            <w:vAlign w:val="top"/>
          </w:tcPr>
          <w:p>
            <w:r>
              <w:rPr>
                <w:sz w:val="17"/>
              </w:rPr>
              <w:t>Release</w:t>
            </w:r>
          </w:p>
        </w:tc>
        <w:tc>
          <w:tcPr>
            <w:tcW w:type="dxa" w:w="8352"/>
            <w:tcMar>
              <w:top w:w="90" w:type="dxa"/>
              <w:start w:w="100" w:type="dxa"/>
              <w:bottom w:w="90" w:type="dxa"/>
              <w:end w:w="100" w:type="dxa"/>
            </w:tcMar>
            <w:vAlign w:val="top"/>
          </w:tcPr>
          <w:p>
            <w:r>
              <w:rPr>
                <w:sz w:val="17"/>
              </w:rPr>
              <w:t>LibraCore V1.0</w:t>
            </w:r>
          </w:p>
        </w:tc>
      </w:tr>
      <w:tr>
        <w:trPr>
          <w:cantSplit/>
        </w:trPr>
        <w:tc>
          <w:tcPr>
            <w:tcW w:type="dxa" w:w="2448"/>
            <w:tcMar>
              <w:top w:w="90" w:type="dxa"/>
              <w:start w:w="100" w:type="dxa"/>
              <w:bottom w:w="90" w:type="dxa"/>
              <w:end w:w="100" w:type="dxa"/>
            </w:tcMar>
            <w:vAlign w:val="top"/>
          </w:tcPr>
          <w:p>
            <w:r>
              <w:rPr>
                <w:sz w:val="17"/>
              </w:rPr>
              <w:t>Scope</w:t>
            </w:r>
          </w:p>
        </w:tc>
        <w:tc>
          <w:tcPr>
            <w:tcW w:type="dxa" w:w="8352"/>
            <w:tcMar>
              <w:top w:w="90" w:type="dxa"/>
              <w:start w:w="100" w:type="dxa"/>
              <w:bottom w:w="90" w:type="dxa"/>
              <w:end w:w="100" w:type="dxa"/>
            </w:tcMar>
            <w:vAlign w:val="top"/>
          </w:tcPr>
          <w:p>
            <w:r>
              <w:rPr>
                <w:sz w:val="17"/>
              </w:rPr>
              <w:t>Frozen C++17 in-memory domain engine including original assignment Q1-Q16 plus V1 engineering improvements</w:t>
            </w:r>
          </w:p>
        </w:tc>
      </w:tr>
      <w:tr>
        <w:trPr>
          <w:cantSplit/>
        </w:trPr>
        <w:tc>
          <w:tcPr>
            <w:tcW w:type="dxa" w:w="2448"/>
            <w:tcMar>
              <w:top w:w="90" w:type="dxa"/>
              <w:start w:w="100" w:type="dxa"/>
              <w:bottom w:w="90" w:type="dxa"/>
              <w:end w:w="100" w:type="dxa"/>
            </w:tcMar>
            <w:vAlign w:val="top"/>
          </w:tcPr>
          <w:p>
            <w:r>
              <w:rPr>
                <w:sz w:val="17"/>
              </w:rPr>
              <w:t>Release verdict</w:t>
            </w:r>
          </w:p>
        </w:tc>
        <w:tc>
          <w:tcPr>
            <w:tcW w:type="dxa" w:w="8352"/>
            <w:tcMar>
              <w:top w:w="90" w:type="dxa"/>
              <w:start w:w="100" w:type="dxa"/>
              <w:bottom w:w="90" w:type="dxa"/>
              <w:end w:w="100" w:type="dxa"/>
            </w:tcMar>
            <w:vAlign w:val="top"/>
          </w:tcPr>
          <w:p>
            <w:r>
              <w:rPr>
                <w:sz w:val="17"/>
              </w:rPr>
              <w:t>V1 READY TO FREEZE</w:t>
            </w:r>
          </w:p>
        </w:tc>
      </w:tr>
      <w:tr>
        <w:trPr>
          <w:cantSplit/>
        </w:trPr>
        <w:tc>
          <w:tcPr>
            <w:tcW w:type="dxa" w:w="2448"/>
            <w:tcMar>
              <w:top w:w="90" w:type="dxa"/>
              <w:start w:w="100" w:type="dxa"/>
              <w:bottom w:w="90" w:type="dxa"/>
              <w:end w:w="100" w:type="dxa"/>
            </w:tcMar>
            <w:vAlign w:val="top"/>
          </w:tcPr>
          <w:p>
            <w:r>
              <w:rPr>
                <w:sz w:val="17"/>
              </w:rPr>
              <w:t>Sources used</w:t>
            </w:r>
          </w:p>
        </w:tc>
        <w:tc>
          <w:tcPr>
            <w:tcW w:type="dxa" w:w="8352"/>
            <w:tcMar>
              <w:top w:w="90" w:type="dxa"/>
              <w:start w:w="100" w:type="dxa"/>
              <w:bottom w:w="90" w:type="dxa"/>
              <w:end w:w="100" w:type="dxa"/>
            </w:tcMar>
            <w:vAlign w:val="top"/>
          </w:tcPr>
          <w:p>
            <w:r>
              <w:rPr>
                <w:sz w:val="17"/>
              </w:rPr>
              <w:t>V1 canonical workbook, frozen V1 release documentation, tests/benchmarks and release-freeze record</w:t>
            </w:r>
          </w:p>
        </w:tc>
      </w:tr>
      <w:tr>
        <w:trPr>
          <w:cantSplit/>
        </w:trPr>
        <w:tc>
          <w:tcPr>
            <w:tcW w:type="dxa" w:w="2448"/>
            <w:tcMar>
              <w:top w:w="90" w:type="dxa"/>
              <w:start w:w="100" w:type="dxa"/>
              <w:bottom w:w="90" w:type="dxa"/>
              <w:end w:w="100" w:type="dxa"/>
            </w:tcMar>
            <w:vAlign w:val="top"/>
          </w:tcPr>
          <w:p>
            <w:r>
              <w:rPr>
                <w:sz w:val="17"/>
              </w:rPr>
              <w:t>Update policy</w:t>
            </w:r>
          </w:p>
        </w:tc>
        <w:tc>
          <w:tcPr>
            <w:tcW w:type="dxa" w:w="8352"/>
            <w:tcMar>
              <w:top w:w="90" w:type="dxa"/>
              <w:start w:w="100" w:type="dxa"/>
              <w:bottom w:w="90" w:type="dxa"/>
              <w:end w:w="100" w:type="dxa"/>
            </w:tcMar>
            <w:vAlign w:val="top"/>
          </w:tcPr>
          <w:p>
            <w:r>
              <w:rPr>
                <w:sz w:val="17"/>
              </w:rPr>
              <w:t>Update only when the corresponding release changes. Preserve prior versions as immutable historical records.</w:t>
            </w:r>
          </w:p>
        </w:tc>
      </w:tr>
    </w:tbl>
    <w:p/>
    <w:p>
      <w:pPr>
        <w:pStyle w:val="Heading2"/>
      </w:pPr>
      <w:r>
        <w:t>Documentation Objectives</w:t>
      </w:r>
    </w:p>
    <w:p>
      <w:pPr>
        <w:pStyle w:val="ListBullet"/>
      </w:pPr>
      <w:r>
        <w:t>Eliminate cognition debt: a future reader should not need to rediscover the architecture or infer why code is shaped a certain way.</w:t>
      </w:r>
    </w:p>
    <w:p>
      <w:pPr>
        <w:pStyle w:val="ListBullet"/>
      </w:pPr>
      <w:r>
        <w:t>Eliminate intent debt: the reasons behind important design decisions, deferrals, and compatibility choices are recorded explicitly.</w:t>
      </w:r>
    </w:p>
    <w:p>
      <w:pPr>
        <w:pStyle w:val="ListBullet"/>
      </w:pPr>
      <w:r>
        <w:t>Minimize technical debt: known limitations are named, bounded, and handed forward instead of being hidden as accidental behavior.</w:t>
      </w:r>
    </w:p>
    <w:p>
      <w:pPr>
        <w:pStyle w:val="ListBullet"/>
      </w:pPr>
      <w:r>
        <w:t>Preserve behavioral contracts: invariants, edge cases, error semantics, and test evidence are part of the release definition.</w:t>
      </w:r>
    </w:p>
    <w:p>
      <w:pPr>
        <w:pStyle w:val="ListBullet"/>
      </w:pPr>
      <w:r>
        <w:t>Support safe evolution: the handoff sections state what may change, what must remain stable, and what requires dedicated regression tests.</w:t>
      </w:r>
    </w:p>
    <w:p>
      <w:pPr>
        <w:pStyle w:val="Heading1"/>
      </w:pPr>
      <w:r>
        <w:t>Executive Summary</w:t>
      </w:r>
    </w:p>
    <w:p>
      <w:pPr>
        <w:keepNext w:val="0"/>
      </w:pPr>
      <w:r>
        <w:t>LibraCore V1 is the stable deterministic core of the project. It began as the BookManagement OOPD assignment and was deliberately strengthened without turning it into a database, web, Python or AI system. The release establishes a clean domain engine whose business rules can be trusted by future persistence and application layers.</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Core release philosophy: </w:t>
            </w:r>
            <w:r>
              <w:t>Extend rather than rewrite. Preserve assignment compatibility where practical. Improve determinism, observability, exception safety and testability before adding infrastructure.</w:t>
            </w:r>
          </w:p>
        </w:tc>
      </w:tr>
    </w:tbl>
    <w:p/>
    <w:p>
      <w:pPr>
        <w:pStyle w:val="ListBullet"/>
      </w:pPr>
      <w:r>
        <w:t>Language/build: C++17 with CMake.</w:t>
      </w:r>
    </w:p>
    <w:p>
      <w:pPr>
        <w:pStyle w:val="ListBullet"/>
      </w:pPr>
      <w:r>
        <w:t>State model: in-memory, single-process, single-threaded.</w:t>
      </w:r>
    </w:p>
    <w:p>
      <w:pPr>
        <w:pStyle w:val="ListBullet"/>
      </w:pPr>
      <w:r>
        <w:t>Authoritative responsibilities: pricing, tax, budgets, quotas, vendors, lending, cancellations and reporting.</w:t>
      </w:r>
    </w:p>
    <w:p>
      <w:pPr>
        <w:pStyle w:val="ListBullet"/>
      </w:pPr>
      <w:r>
        <w:t>Verification: 26 logical test functions plus fault-injection and synthetic benchmarks.</w:t>
      </w:r>
    </w:p>
    <w:p>
      <w:pPr>
        <w:pStyle w:val="ListBullet"/>
      </w:pPr>
      <w:r>
        <w:t>Deliberately excluded from V1: database persistence, network APIs, Python integration, authentication and AI.</w:t>
      </w:r>
    </w:p>
    <w:p>
      <w:pPr>
        <w:pStyle w:val="Heading1"/>
      </w:pPr>
      <w:r>
        <w:t>Project Origin and V1 Intent</w:t>
      </w:r>
    </w:p>
    <w:p>
      <w:pPr>
        <w:keepNext w:val="0"/>
      </w:pPr>
      <w:r>
        <w:t>The project retained the complete academic Q1-Q16 baseline, but V1 re-framed that implementation as a reusable engineering core. The intent was not to maximize feature count. The intent was to establish trustworthy semantics and clear boundaries before later layers depended on them.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44A73"/>
            <w:tcMar>
              <w:top w:w="90" w:type="dxa"/>
              <w:start w:w="100" w:type="dxa"/>
              <w:bottom w:w="90" w:type="dxa"/>
              <w:end w:w="100" w:type="dxa"/>
            </w:tcMar>
          </w:tcPr>
          <w:p>
            <w:r>
              <w:rPr>
                <w:b/>
                <w:color w:val="FFFFFF"/>
                <w:sz w:val="16"/>
              </w:rPr>
              <w:t>Topic</w:t>
            </w:r>
          </w:p>
        </w:tc>
        <w:tc>
          <w:tcPr>
            <w:tcW w:type="dxa" w:w="8208"/>
            <w:shd w:fill="244A73"/>
            <w:tcMar>
              <w:top w:w="90" w:type="dxa"/>
              <w:start w:w="100" w:type="dxa"/>
              <w:bottom w:w="90" w:type="dxa"/>
              <w:end w:w="100" w:type="dxa"/>
            </w:tcMar>
          </w:tcPr>
          <w:p>
            <w:r>
              <w:rPr>
                <w:b/>
                <w:color w:val="FFFFFF"/>
                <w:sz w:val="16"/>
              </w:rPr>
              <w:t>Canonical statement</w:t>
            </w:r>
          </w:p>
        </w:tc>
      </w:tr>
      <w:tr>
        <w:trPr>
          <w:cantSplit/>
        </w:trPr>
        <w:tc>
          <w:tcPr>
            <w:tcW w:type="dxa" w:w="2592"/>
            <w:tcMar>
              <w:top w:w="90" w:type="dxa"/>
              <w:start w:w="100" w:type="dxa"/>
              <w:bottom w:w="90" w:type="dxa"/>
              <w:end w:w="100" w:type="dxa"/>
            </w:tcMar>
            <w:vAlign w:val="top"/>
          </w:tcPr>
          <w:p>
            <w:r>
              <w:rPr>
                <w:sz w:val="16"/>
              </w:rPr>
              <w:t>Why this document exists</w:t>
            </w:r>
          </w:p>
        </w:tc>
        <w:tc>
          <w:tcPr>
            <w:tcW w:type="dxa" w:w="8208"/>
            <w:tcMar>
              <w:top w:w="90" w:type="dxa"/>
              <w:start w:w="100" w:type="dxa"/>
              <w:bottom w:w="90" w:type="dxa"/>
              <w:end w:w="100" w:type="dxa"/>
            </w:tcMar>
            <w:vAlign w:val="top"/>
          </w:tcPr>
          <w:p>
            <w:r>
              <w:rPr>
                <w:sz w:val="16"/>
              </w:rPr>
              <w:t>Canonical V1 record preserving context, intent, architecture, decisions, invariants, verification evidence, limitations, and the exact V2 handoff state.</w:t>
            </w:r>
          </w:p>
        </w:tc>
      </w:tr>
      <w:tr>
        <w:trPr>
          <w:cantSplit/>
        </w:trPr>
        <w:tc>
          <w:tcPr>
            <w:tcW w:type="dxa" w:w="2592"/>
            <w:tcMar>
              <w:top w:w="90" w:type="dxa"/>
              <w:start w:w="100" w:type="dxa"/>
              <w:bottom w:w="90" w:type="dxa"/>
              <w:end w:w="100" w:type="dxa"/>
            </w:tcMar>
            <w:vAlign w:val="top"/>
          </w:tcPr>
          <w:p>
            <w:r>
              <w:rPr>
                <w:sz w:val="16"/>
              </w:rPr>
              <w:t>Project origin</w:t>
            </w:r>
          </w:p>
        </w:tc>
        <w:tc>
          <w:tcPr>
            <w:tcW w:type="dxa" w:w="8208"/>
            <w:tcMar>
              <w:top w:w="90" w:type="dxa"/>
              <w:start w:w="100" w:type="dxa"/>
              <w:bottom w:w="90" w:type="dxa"/>
              <w:end w:w="100" w:type="dxa"/>
            </w:tcMar>
            <w:vAlign w:val="top"/>
          </w:tcPr>
          <w:p>
            <w:r>
              <w:rPr>
                <w:sz w:val="16"/>
              </w:rPr>
              <w:t>LibraCore began as the C++17 BookManagement OOPD assignment and retained the complete Q1–Q16 feature baseline.</w:t>
            </w:r>
          </w:p>
        </w:tc>
      </w:tr>
      <w:tr>
        <w:trPr>
          <w:cantSplit/>
        </w:trPr>
        <w:tc>
          <w:tcPr>
            <w:tcW w:type="dxa" w:w="2592"/>
            <w:tcMar>
              <w:top w:w="90" w:type="dxa"/>
              <w:start w:w="100" w:type="dxa"/>
              <w:bottom w:w="90" w:type="dxa"/>
              <w:end w:w="100" w:type="dxa"/>
            </w:tcMar>
            <w:vAlign w:val="top"/>
          </w:tcPr>
          <w:p>
            <w:r>
              <w:rPr>
                <w:sz w:val="16"/>
              </w:rPr>
              <w:t>V1 objective</w:t>
            </w:r>
          </w:p>
        </w:tc>
        <w:tc>
          <w:tcPr>
            <w:tcW w:type="dxa" w:w="8208"/>
            <w:tcMar>
              <w:top w:w="90" w:type="dxa"/>
              <w:start w:w="100" w:type="dxa"/>
              <w:bottom w:w="90" w:type="dxa"/>
              <w:end w:w="100" w:type="dxa"/>
            </w:tcMar>
            <w:vAlign w:val="top"/>
          </w:tcPr>
          <w:p>
            <w:r>
              <w:rPr>
                <w:sz w:val="16"/>
              </w:rPr>
              <w:t>Strengthen the working assignment into a cleaner, more realistic, testable and scalable standalone C++ domain engine without adding persistence, Python, AI or network infrastructure.</w:t>
            </w:r>
          </w:p>
        </w:tc>
      </w:tr>
      <w:tr>
        <w:trPr>
          <w:cantSplit/>
        </w:trPr>
        <w:tc>
          <w:tcPr>
            <w:tcW w:type="dxa" w:w="2592"/>
            <w:tcMar>
              <w:top w:w="90" w:type="dxa"/>
              <w:start w:w="100" w:type="dxa"/>
              <w:bottom w:w="90" w:type="dxa"/>
              <w:end w:w="100" w:type="dxa"/>
            </w:tcMar>
            <w:vAlign w:val="top"/>
          </w:tcPr>
          <w:p>
            <w:r>
              <w:rPr>
                <w:sz w:val="16"/>
              </w:rPr>
              <w:t>V1 strategy</w:t>
            </w:r>
          </w:p>
        </w:tc>
        <w:tc>
          <w:tcPr>
            <w:tcW w:type="dxa" w:w="8208"/>
            <w:tcMar>
              <w:top w:w="90" w:type="dxa"/>
              <w:start w:w="100" w:type="dxa"/>
              <w:bottom w:w="90" w:type="dxa"/>
              <w:end w:w="100" w:type="dxa"/>
            </w:tcMar>
            <w:vAlign w:val="top"/>
          </w:tcPr>
          <w:p>
            <w:r>
              <w:rPr>
                <w:sz w:val="16"/>
              </w:rPr>
              <w:t>Preserve the assignment baseline; extend rather than rewrite; maintain backward compatibility where practical.</w:t>
            </w:r>
          </w:p>
        </w:tc>
      </w:tr>
      <w:tr>
        <w:trPr>
          <w:cantSplit/>
        </w:trPr>
        <w:tc>
          <w:tcPr>
            <w:tcW w:type="dxa" w:w="2592"/>
            <w:tcMar>
              <w:top w:w="90" w:type="dxa"/>
              <w:start w:w="100" w:type="dxa"/>
              <w:bottom w:w="90" w:type="dxa"/>
              <w:end w:w="100" w:type="dxa"/>
            </w:tcMar>
            <w:vAlign w:val="top"/>
          </w:tcPr>
          <w:p>
            <w:r>
              <w:rPr>
                <w:sz w:val="16"/>
              </w:rPr>
              <w:t>Release status</w:t>
            </w:r>
          </w:p>
        </w:tc>
        <w:tc>
          <w:tcPr>
            <w:tcW w:type="dxa" w:w="8208"/>
            <w:tcMar>
              <w:top w:w="90" w:type="dxa"/>
              <w:start w:w="100" w:type="dxa"/>
              <w:bottom w:w="90" w:type="dxa"/>
              <w:end w:w="100" w:type="dxa"/>
            </w:tcMar>
            <w:vAlign w:val="top"/>
          </w:tcPr>
          <w:p>
            <w:r>
              <w:rPr>
                <w:sz w:val="16"/>
              </w:rPr>
              <w:t>V1 READY TO FREEZE.</w:t>
            </w:r>
          </w:p>
        </w:tc>
      </w:tr>
      <w:tr>
        <w:trPr>
          <w:cantSplit/>
        </w:trPr>
        <w:tc>
          <w:tcPr>
            <w:tcW w:type="dxa" w:w="2592"/>
            <w:tcMar>
              <w:top w:w="90" w:type="dxa"/>
              <w:start w:w="100" w:type="dxa"/>
              <w:bottom w:w="90" w:type="dxa"/>
              <w:end w:w="100" w:type="dxa"/>
            </w:tcMar>
            <w:vAlign w:val="top"/>
          </w:tcPr>
          <w:p>
            <w:r>
              <w:rPr>
                <w:sz w:val="16"/>
              </w:rPr>
              <w:t>Technical debt position</w:t>
            </w:r>
          </w:p>
        </w:tc>
        <w:tc>
          <w:tcPr>
            <w:tcW w:type="dxa" w:w="8208"/>
            <w:tcMar>
              <w:top w:w="90" w:type="dxa"/>
              <w:start w:w="100" w:type="dxa"/>
              <w:bottom w:w="90" w:type="dxa"/>
              <w:end w:w="100" w:type="dxa"/>
            </w:tcMar>
            <w:vAlign w:val="top"/>
          </w:tcPr>
          <w:p>
            <w:r>
              <w:rPr>
                <w:sz w:val="16"/>
              </w:rPr>
              <w:t>No known blocking correctness debt and no intentionally hidden design debt. Known constraints and deferred capabilities are explicitly documented.</w:t>
            </w:r>
          </w:p>
        </w:tc>
      </w:tr>
    </w:tbl>
    <w:p/>
    <w:p>
      <w:pPr>
        <w:pStyle w:val="Heading2"/>
      </w:pPr>
      <w:r>
        <w:t>Why V1 stopped where it did</w:t>
      </w:r>
    </w:p>
    <w:p>
      <w:r>
        <w:t>Persistence and AI were deferred intentionally. Adding them before stabilizing Money, quotas, cancellation semantics, search behavior and transaction-like mutation ordering would have multiplied ambiguity across layers. V1 therefore serves as the behavioral contract that V2 must preserve.</w:t>
      </w:r>
    </w:p>
    <w:p>
      <w:pPr>
        <w:pStyle w:val="Heading1"/>
      </w:pPr>
      <w:r>
        <w:t>System Mental Model</w:t>
      </w:r>
    </w:p>
    <w:p>
      <w:pPr>
        <w:keepNext w:val="0"/>
      </w:pPr>
      <w:r>
        <w:t>The quickest way to recover V1 is to remember the responsibility split below. Each component has a narrow purpose; cross-cutting workflows are coordinated by AcquisitionManager rather than by allowing every object to mutate everything else.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244A73"/>
            <w:tcMar>
              <w:top w:w="90" w:type="dxa"/>
              <w:start w:w="100" w:type="dxa"/>
              <w:bottom w:w="90" w:type="dxa"/>
              <w:end w:w="100" w:type="dxa"/>
            </w:tcMar>
          </w:tcPr>
          <w:p>
            <w:r>
              <w:rPr>
                <w:b/>
                <w:color w:val="FFFFFF"/>
                <w:sz w:val="16"/>
              </w:rPr>
              <w:t>Component</w:t>
            </w:r>
          </w:p>
        </w:tc>
        <w:tc>
          <w:tcPr>
            <w:tcW w:type="dxa" w:w="4320"/>
            <w:shd w:fill="244A73"/>
            <w:tcMar>
              <w:top w:w="90" w:type="dxa"/>
              <w:start w:w="100" w:type="dxa"/>
              <w:bottom w:w="90" w:type="dxa"/>
              <w:end w:w="100" w:type="dxa"/>
            </w:tcMar>
          </w:tcPr>
          <w:p>
            <w:r>
              <w:rPr>
                <w:b/>
                <w:color w:val="FFFFFF"/>
                <w:sz w:val="16"/>
              </w:rPr>
              <w:t>Primary responsibility</w:t>
            </w:r>
          </w:p>
        </w:tc>
        <w:tc>
          <w:tcPr>
            <w:tcW w:type="dxa" w:w="4176"/>
            <w:shd w:fill="244A73"/>
            <w:tcMar>
              <w:top w:w="90" w:type="dxa"/>
              <w:start w:w="100" w:type="dxa"/>
              <w:bottom w:w="90" w:type="dxa"/>
              <w:end w:w="100" w:type="dxa"/>
            </w:tcMar>
          </w:tcPr>
          <w:p>
            <w:r>
              <w:rPr>
                <w:b/>
                <w:color w:val="FFFFFF"/>
                <w:sz w:val="16"/>
              </w:rPr>
              <w:t>Key interactions</w:t>
            </w:r>
          </w:p>
        </w:tc>
      </w:tr>
      <w:tr>
        <w:trPr>
          <w:cantSplit/>
        </w:trPr>
        <w:tc>
          <w:tcPr>
            <w:tcW w:type="dxa" w:w="2304"/>
            <w:tcMar>
              <w:top w:w="90" w:type="dxa"/>
              <w:start w:w="100" w:type="dxa"/>
              <w:bottom w:w="90" w:type="dxa"/>
              <w:end w:w="100" w:type="dxa"/>
            </w:tcMar>
            <w:vAlign w:val="top"/>
          </w:tcPr>
          <w:p>
            <w:r>
              <w:rPr>
                <w:sz w:val="16"/>
              </w:rPr>
              <w:t>Resource hierarchy</w:t>
            </w:r>
          </w:p>
        </w:tc>
        <w:tc>
          <w:tcPr>
            <w:tcW w:type="dxa" w:w="4320"/>
            <w:tcMar>
              <w:top w:w="90" w:type="dxa"/>
              <w:start w:w="100" w:type="dxa"/>
              <w:bottom w:w="90" w:type="dxa"/>
              <w:end w:w="100" w:type="dxa"/>
            </w:tcMar>
            <w:vAlign w:val="top"/>
          </w:tcPr>
          <w:p>
            <w:r>
              <w:rPr>
                <w:sz w:val="16"/>
              </w:rPr>
              <w:t>Represents resource types and resource-specific metadata/pricing behavior.</w:t>
            </w:r>
          </w:p>
        </w:tc>
        <w:tc>
          <w:tcPr>
            <w:tcW w:type="dxa" w:w="4176"/>
            <w:tcMar>
              <w:top w:w="90" w:type="dxa"/>
              <w:start w:w="100" w:type="dxa"/>
              <w:bottom w:w="90" w:type="dxa"/>
              <w:end w:w="100" w:type="dxa"/>
            </w:tcMar>
            <w:vAlign w:val="top"/>
          </w:tcPr>
          <w:p>
            <w:r>
              <w:rPr>
                <w:sz w:val="16"/>
              </w:rPr>
              <w:t>Used by Catalog and AcquisitionManager.</w:t>
            </w:r>
          </w:p>
        </w:tc>
      </w:tr>
      <w:tr>
        <w:trPr>
          <w:cantSplit/>
        </w:trPr>
        <w:tc>
          <w:tcPr>
            <w:tcW w:type="dxa" w:w="2304"/>
            <w:tcMar>
              <w:top w:w="90" w:type="dxa"/>
              <w:start w:w="100" w:type="dxa"/>
              <w:bottom w:w="90" w:type="dxa"/>
              <w:end w:w="100" w:type="dxa"/>
            </w:tcMar>
            <w:vAlign w:val="top"/>
          </w:tcPr>
          <w:p>
            <w:r>
              <w:rPr>
                <w:sz w:val="16"/>
              </w:rPr>
              <w:t>Money</w:t>
            </w:r>
          </w:p>
        </w:tc>
        <w:tc>
          <w:tcPr>
            <w:tcW w:type="dxa" w:w="4320"/>
            <w:tcMar>
              <w:top w:w="90" w:type="dxa"/>
              <w:start w:w="100" w:type="dxa"/>
              <w:bottom w:w="90" w:type="dxa"/>
              <w:end w:w="100" w:type="dxa"/>
            </w:tcMar>
            <w:vAlign w:val="top"/>
          </w:tcPr>
          <w:p>
            <w:r>
              <w:rPr>
                <w:sz w:val="16"/>
              </w:rPr>
              <w:t>Exact fixed-point financial arithmetic with currency safety.</w:t>
            </w:r>
          </w:p>
        </w:tc>
        <w:tc>
          <w:tcPr>
            <w:tcW w:type="dxa" w:w="4176"/>
            <w:tcMar>
              <w:top w:w="90" w:type="dxa"/>
              <w:start w:w="100" w:type="dxa"/>
              <w:bottom w:w="90" w:type="dxa"/>
              <w:end w:w="100" w:type="dxa"/>
            </w:tcMar>
            <w:vAlign w:val="top"/>
          </w:tcPr>
          <w:p>
            <w:r>
              <w:rPr>
                <w:sz w:val="16"/>
              </w:rPr>
              <w:t>Used by Resources, Budget and Acquisition.</w:t>
            </w:r>
          </w:p>
        </w:tc>
      </w:tr>
      <w:tr>
        <w:trPr>
          <w:cantSplit/>
        </w:trPr>
        <w:tc>
          <w:tcPr>
            <w:tcW w:type="dxa" w:w="2304"/>
            <w:tcMar>
              <w:top w:w="90" w:type="dxa"/>
              <w:start w:w="100" w:type="dxa"/>
              <w:bottom w:w="90" w:type="dxa"/>
              <w:end w:w="100" w:type="dxa"/>
            </w:tcMar>
            <w:vAlign w:val="top"/>
          </w:tcPr>
          <w:p>
            <w:r>
              <w:rPr>
                <w:sz w:val="16"/>
              </w:rPr>
              <w:t>Catalog</w:t>
            </w:r>
          </w:p>
        </w:tc>
        <w:tc>
          <w:tcPr>
            <w:tcW w:type="dxa" w:w="4320"/>
            <w:tcMar>
              <w:top w:w="90" w:type="dxa"/>
              <w:start w:w="100" w:type="dxa"/>
              <w:bottom w:w="90" w:type="dxa"/>
              <w:end w:w="100" w:type="dxa"/>
            </w:tcMar>
            <w:vAlign w:val="top"/>
          </w:tcPr>
          <w:p>
            <w:r>
              <w:rPr>
                <w:sz w:val="16"/>
              </w:rPr>
              <w:t>Owns resources; tracks holdings, search, lending and event history.</w:t>
            </w:r>
          </w:p>
        </w:tc>
        <w:tc>
          <w:tcPr>
            <w:tcW w:type="dxa" w:w="4176"/>
            <w:tcMar>
              <w:top w:w="90" w:type="dxa"/>
              <w:start w:w="100" w:type="dxa"/>
              <w:bottom w:w="90" w:type="dxa"/>
              <w:end w:w="100" w:type="dxa"/>
            </w:tcMar>
            <w:vAlign w:val="top"/>
          </w:tcPr>
          <w:p>
            <w:r>
              <w:rPr>
                <w:sz w:val="16"/>
              </w:rPr>
              <w:t>Used by Acquisition and Lending workflows.</w:t>
            </w:r>
          </w:p>
        </w:tc>
      </w:tr>
      <w:tr>
        <w:trPr>
          <w:cantSplit/>
        </w:trPr>
        <w:tc>
          <w:tcPr>
            <w:tcW w:type="dxa" w:w="2304"/>
            <w:tcMar>
              <w:top w:w="90" w:type="dxa"/>
              <w:start w:w="100" w:type="dxa"/>
              <w:bottom w:w="90" w:type="dxa"/>
              <w:end w:w="100" w:type="dxa"/>
            </w:tcMar>
            <w:vAlign w:val="top"/>
          </w:tcPr>
          <w:p>
            <w:r>
              <w:rPr>
                <w:sz w:val="16"/>
              </w:rPr>
              <w:t>Lending</w:t>
            </w:r>
          </w:p>
        </w:tc>
        <w:tc>
          <w:tcPr>
            <w:tcW w:type="dxa" w:w="4320"/>
            <w:tcMar>
              <w:top w:w="90" w:type="dxa"/>
              <w:start w:w="100" w:type="dxa"/>
              <w:bottom w:w="90" w:type="dxa"/>
              <w:end w:w="100" w:type="dxa"/>
            </w:tcMar>
            <w:vAlign w:val="top"/>
          </w:tcPr>
          <w:p>
            <w:r>
              <w:rPr>
                <w:sz w:val="16"/>
              </w:rPr>
              <w:t>Tracks borrower-aware Loan records, due dates, returns and availability invariants.</w:t>
            </w:r>
          </w:p>
        </w:tc>
        <w:tc>
          <w:tcPr>
            <w:tcW w:type="dxa" w:w="4176"/>
            <w:tcMar>
              <w:top w:w="90" w:type="dxa"/>
              <w:start w:w="100" w:type="dxa"/>
              <w:bottom w:w="90" w:type="dxa"/>
              <w:end w:w="100" w:type="dxa"/>
            </w:tcMar>
            <w:vAlign w:val="top"/>
          </w:tcPr>
          <w:p>
            <w:r>
              <w:rPr>
                <w:sz w:val="16"/>
              </w:rPr>
              <w:t>Works with Catalog holdings.</w:t>
            </w:r>
          </w:p>
        </w:tc>
      </w:tr>
      <w:tr>
        <w:trPr>
          <w:cantSplit/>
        </w:trPr>
        <w:tc>
          <w:tcPr>
            <w:tcW w:type="dxa" w:w="2304"/>
            <w:tcMar>
              <w:top w:w="90" w:type="dxa"/>
              <w:start w:w="100" w:type="dxa"/>
              <w:bottom w:w="90" w:type="dxa"/>
              <w:end w:w="100" w:type="dxa"/>
            </w:tcMar>
            <w:vAlign w:val="top"/>
          </w:tcPr>
          <w:p>
            <w:r>
              <w:rPr>
                <w:sz w:val="16"/>
              </w:rPr>
              <w:t>Budget</w:t>
            </w:r>
          </w:p>
        </w:tc>
        <w:tc>
          <w:tcPr>
            <w:tcW w:type="dxa" w:w="4320"/>
            <w:tcMar>
              <w:top w:w="90" w:type="dxa"/>
              <w:start w:w="100" w:type="dxa"/>
              <w:bottom w:w="90" w:type="dxa"/>
              <w:end w:w="100" w:type="dxa"/>
            </w:tcMar>
            <w:vAlign w:val="top"/>
          </w:tcPr>
          <w:p>
            <w:r>
              <w:rPr>
                <w:sz w:val="16"/>
              </w:rPr>
              <w:t>Tracks allocations, spend, unit/title/spend quotas, refunds and rollover.</w:t>
            </w:r>
          </w:p>
        </w:tc>
        <w:tc>
          <w:tcPr>
            <w:tcW w:type="dxa" w:w="4176"/>
            <w:tcMar>
              <w:top w:w="90" w:type="dxa"/>
              <w:start w:w="100" w:type="dxa"/>
              <w:bottom w:w="90" w:type="dxa"/>
              <w:end w:w="100" w:type="dxa"/>
            </w:tcMar>
            <w:vAlign w:val="top"/>
          </w:tcPr>
          <w:p>
            <w:r>
              <w:rPr>
                <w:sz w:val="16"/>
              </w:rPr>
              <w:t>Used by AcquisitionManager and departments.</w:t>
            </w:r>
          </w:p>
        </w:tc>
      </w:tr>
      <w:tr>
        <w:trPr>
          <w:cantSplit/>
        </w:trPr>
        <w:tc>
          <w:tcPr>
            <w:tcW w:type="dxa" w:w="2304"/>
            <w:tcMar>
              <w:top w:w="90" w:type="dxa"/>
              <w:start w:w="100" w:type="dxa"/>
              <w:bottom w:w="90" w:type="dxa"/>
              <w:end w:w="100" w:type="dxa"/>
            </w:tcMar>
            <w:vAlign w:val="top"/>
          </w:tcPr>
          <w:p>
            <w:r>
              <w:rPr>
                <w:sz w:val="16"/>
              </w:rPr>
              <w:t>AcquisitionManager</w:t>
            </w:r>
          </w:p>
        </w:tc>
        <w:tc>
          <w:tcPr>
            <w:tcW w:type="dxa" w:w="4320"/>
            <w:tcMar>
              <w:top w:w="90" w:type="dxa"/>
              <w:start w:w="100" w:type="dxa"/>
              <w:bottom w:w="90" w:type="dxa"/>
              <w:end w:w="100" w:type="dxa"/>
            </w:tcMar>
            <w:vAlign w:val="top"/>
          </w:tcPr>
          <w:p>
            <w:r>
              <w:rPr>
                <w:sz w:val="16"/>
              </w:rPr>
              <w:t>Coordinates vendor selection, pricing, tax, budget validation, purchase commit, cancellation and batches.</w:t>
            </w:r>
          </w:p>
        </w:tc>
        <w:tc>
          <w:tcPr>
            <w:tcW w:type="dxa" w:w="4176"/>
            <w:tcMar>
              <w:top w:w="90" w:type="dxa"/>
              <w:start w:w="100" w:type="dxa"/>
              <w:bottom w:w="90" w:type="dxa"/>
              <w:end w:w="100" w:type="dxa"/>
            </w:tcMar>
            <w:vAlign w:val="top"/>
          </w:tcPr>
          <w:p>
            <w:r>
              <w:rPr>
                <w:sz w:val="16"/>
              </w:rPr>
              <w:t>Touches Resource, Catalog and Budget.</w:t>
            </w:r>
          </w:p>
        </w:tc>
      </w:tr>
      <w:tr>
        <w:trPr>
          <w:cantSplit/>
        </w:trPr>
        <w:tc>
          <w:tcPr>
            <w:tcW w:type="dxa" w:w="2304"/>
            <w:tcMar>
              <w:top w:w="90" w:type="dxa"/>
              <w:start w:w="100" w:type="dxa"/>
              <w:bottom w:w="90" w:type="dxa"/>
              <w:end w:w="100" w:type="dxa"/>
            </w:tcMar>
            <w:vAlign w:val="top"/>
          </w:tcPr>
          <w:p>
            <w:r>
              <w:rPr>
                <w:sz w:val="16"/>
              </w:rPr>
              <w:t>Vendor handling</w:t>
            </w:r>
          </w:p>
        </w:tc>
        <w:tc>
          <w:tcPr>
            <w:tcW w:type="dxa" w:w="4320"/>
            <w:tcMar>
              <w:top w:w="90" w:type="dxa"/>
              <w:start w:w="100" w:type="dxa"/>
              <w:bottom w:w="90" w:type="dxa"/>
              <w:end w:w="100" w:type="dxa"/>
            </w:tcMar>
            <w:vAlign w:val="top"/>
          </w:tcPr>
          <w:p>
            <w:r>
              <w:rPr>
                <w:sz w:val="16"/>
              </w:rPr>
              <w:t>Stores offers and selects cheapest/fastest/highest-rated deterministically.</w:t>
            </w:r>
          </w:p>
        </w:tc>
        <w:tc>
          <w:tcPr>
            <w:tcW w:type="dxa" w:w="4176"/>
            <w:tcMar>
              <w:top w:w="90" w:type="dxa"/>
              <w:start w:w="100" w:type="dxa"/>
              <w:bottom w:w="90" w:type="dxa"/>
              <w:end w:w="100" w:type="dxa"/>
            </w:tcMar>
            <w:vAlign w:val="top"/>
          </w:tcPr>
          <w:p>
            <w:r>
              <w:rPr>
                <w:sz w:val="16"/>
              </w:rPr>
              <w:t>Resource metadata consumed by AcquisitionManager.</w:t>
            </w:r>
          </w:p>
        </w:tc>
      </w:tr>
      <w:tr>
        <w:trPr>
          <w:cantSplit/>
        </w:trPr>
        <w:tc>
          <w:tcPr>
            <w:tcW w:type="dxa" w:w="2304"/>
            <w:tcMar>
              <w:top w:w="90" w:type="dxa"/>
              <w:start w:w="100" w:type="dxa"/>
              <w:bottom w:w="90" w:type="dxa"/>
              <w:end w:w="100" w:type="dxa"/>
            </w:tcMar>
            <w:vAlign w:val="top"/>
          </w:tcPr>
          <w:p>
            <w:r>
              <w:rPr>
                <w:sz w:val="16"/>
              </w:rPr>
              <w:t>Reporting</w:t>
            </w:r>
          </w:p>
        </w:tc>
        <w:tc>
          <w:tcPr>
            <w:tcW w:type="dxa" w:w="4320"/>
            <w:tcMar>
              <w:top w:w="90" w:type="dxa"/>
              <w:start w:w="100" w:type="dxa"/>
              <w:bottom w:w="90" w:type="dxa"/>
              <w:end w:w="100" w:type="dxa"/>
            </w:tcMar>
            <w:vAlign w:val="top"/>
          </w:tcPr>
          <w:p>
            <w:r>
              <w:rPr>
                <w:sz w:val="16"/>
              </w:rPr>
              <w:t>Exposes structured summaries and human-readable reports.</w:t>
            </w:r>
          </w:p>
        </w:tc>
        <w:tc>
          <w:tcPr>
            <w:tcW w:type="dxa" w:w="4176"/>
            <w:tcMar>
              <w:top w:w="90" w:type="dxa"/>
              <w:start w:w="100" w:type="dxa"/>
              <w:bottom w:w="90" w:type="dxa"/>
              <w:end w:w="100" w:type="dxa"/>
            </w:tcMar>
            <w:vAlign w:val="top"/>
          </w:tcPr>
          <w:p>
            <w:r>
              <w:rPr>
                <w:sz w:val="16"/>
              </w:rPr>
              <w:t>Budget, Catalog and Acquisition.</w:t>
            </w:r>
          </w:p>
        </w:tc>
      </w:tr>
      <w:tr>
        <w:trPr>
          <w:cantSplit/>
        </w:trPr>
        <w:tc>
          <w:tcPr>
            <w:tcW w:type="dxa" w:w="2304"/>
            <w:tcMar>
              <w:top w:w="90" w:type="dxa"/>
              <w:start w:w="100" w:type="dxa"/>
              <w:bottom w:w="90" w:type="dxa"/>
              <w:end w:w="100" w:type="dxa"/>
            </w:tcMar>
            <w:vAlign w:val="top"/>
          </w:tcPr>
          <w:p>
            <w:r>
              <w:rPr>
                <w:sz w:val="16"/>
              </w:rPr>
              <w:t>History/Event layer</w:t>
            </w:r>
          </w:p>
        </w:tc>
        <w:tc>
          <w:tcPr>
            <w:tcW w:type="dxa" w:w="4320"/>
            <w:tcMar>
              <w:top w:w="90" w:type="dxa"/>
              <w:start w:w="100" w:type="dxa"/>
              <w:bottom w:w="90" w:type="dxa"/>
              <w:end w:w="100" w:type="dxa"/>
            </w:tcMar>
            <w:vAlign w:val="top"/>
          </w:tcPr>
          <w:p>
            <w:r>
              <w:rPr>
                <w:sz w:val="16"/>
              </w:rPr>
              <w:t>Records significant successful domain events chronologically.</w:t>
            </w:r>
          </w:p>
        </w:tc>
        <w:tc>
          <w:tcPr>
            <w:tcW w:type="dxa" w:w="4176"/>
            <w:tcMar>
              <w:top w:w="90" w:type="dxa"/>
              <w:start w:w="100" w:type="dxa"/>
              <w:bottom w:w="90" w:type="dxa"/>
              <w:end w:w="100" w:type="dxa"/>
            </w:tcMar>
            <w:vAlign w:val="top"/>
          </w:tcPr>
          <w:p>
            <w:r>
              <w:rPr>
                <w:sz w:val="16"/>
              </w:rPr>
              <w:t>Purchase, cancellation, borrow, return.</w:t>
            </w:r>
          </w:p>
        </w:tc>
      </w:tr>
      <w:tr>
        <w:trPr>
          <w:cantSplit/>
        </w:trPr>
        <w:tc>
          <w:tcPr>
            <w:tcW w:type="dxa" w:w="2304"/>
            <w:tcMar>
              <w:top w:w="90" w:type="dxa"/>
              <w:start w:w="100" w:type="dxa"/>
              <w:bottom w:w="90" w:type="dxa"/>
              <w:end w:w="100" w:type="dxa"/>
            </w:tcMar>
            <w:vAlign w:val="top"/>
          </w:tcPr>
          <w:p>
            <w:r>
              <w:rPr>
                <w:sz w:val="16"/>
              </w:rPr>
              <w:t>Tests/Benchmarks</w:t>
            </w:r>
          </w:p>
        </w:tc>
        <w:tc>
          <w:tcPr>
            <w:tcW w:type="dxa" w:w="4320"/>
            <w:tcMar>
              <w:top w:w="90" w:type="dxa"/>
              <w:start w:w="100" w:type="dxa"/>
              <w:bottom w:w="90" w:type="dxa"/>
              <w:end w:w="100" w:type="dxa"/>
            </w:tcMar>
            <w:vAlign w:val="top"/>
          </w:tcPr>
          <w:p>
            <w:r>
              <w:rPr>
                <w:sz w:val="16"/>
              </w:rPr>
              <w:t>Verify rules, exception safety and performance characteristics.</w:t>
            </w:r>
          </w:p>
        </w:tc>
        <w:tc>
          <w:tcPr>
            <w:tcW w:type="dxa" w:w="4176"/>
            <w:tcMar>
              <w:top w:w="90" w:type="dxa"/>
              <w:start w:w="100" w:type="dxa"/>
              <w:bottom w:w="90" w:type="dxa"/>
              <w:end w:w="100" w:type="dxa"/>
            </w:tcMar>
            <w:vAlign w:val="top"/>
          </w:tcPr>
          <w:p>
            <w:r>
              <w:rPr>
                <w:sz w:val="16"/>
              </w:rPr>
              <w:t>Covers all major domain components.</w:t>
            </w:r>
          </w:p>
        </w:tc>
      </w:tr>
    </w:tbl>
    <w:p/>
    <w:tbl>
      <w:tblPr>
        <w:tblW w:type="auto" w:w="0"/>
        <w:jc w:val="center"/>
        <w:tblLook w:firstColumn="1" w:firstRow="1" w:lastColumn="0" w:lastRow="0" w:noHBand="0" w:noVBand="1" w:val="04A0"/>
      </w:tblPr>
      <w:tblGrid>
        <w:gridCol w:w="10166"/>
      </w:tblGrid>
      <w:tr>
        <w:tc>
          <w:tcPr>
            <w:tcW w:type="dxa" w:w="10166"/>
            <w:shd w:fill="EEF4FA"/>
            <w:tcMar>
              <w:top w:w="120" w:type="dxa"/>
              <w:start w:w="140" w:type="dxa"/>
              <w:bottom w:w="120" w:type="dxa"/>
              <w:end w:w="140" w:type="dxa"/>
            </w:tcMar>
          </w:tcPr>
          <w:p>
            <w:r>
              <w:rPr>
                <w:b/>
                <w:color w:val="16324F"/>
              </w:rPr>
              <w:t xml:space="preserve">Mental model: </w:t>
            </w:r>
            <w:r>
              <w:t>Resource = what an item is. Catalog = what the library owns and lends. Budget = what can be spent. AcquisitionManager = how purchases/cancellations coordinate those pieces. Money = exact financial arithmetic.</w:t>
            </w:r>
          </w:p>
        </w:tc>
      </w:tr>
    </w:tbl>
    <w:p/>
    <w:p>
      <w:pPr>
        <w:pStyle w:val="Heading1"/>
      </w:pPr>
      <w:r>
        <w:t>Q1-Q16 Baseline Requirements</w:t>
      </w:r>
    </w:p>
    <w:p>
      <w:pPr>
        <w:keepNext w:val="0"/>
      </w:pPr>
      <w:r>
        <w:t>The table below is the immutable academic baseline V1 inherited. These are not “legacy leftovers”; they are the original functional contract that V1 must continue to satisfy.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48"/>
            <w:shd w:fill="244A73"/>
            <w:tcMar>
              <w:top w:w="90" w:type="dxa"/>
              <w:start w:w="100" w:type="dxa"/>
              <w:bottom w:w="90" w:type="dxa"/>
              <w:end w:w="100" w:type="dxa"/>
            </w:tcMar>
          </w:tcPr>
          <w:p>
            <w:r>
              <w:rPr>
                <w:b/>
                <w:color w:val="FFFFFF"/>
                <w:sz w:val="16"/>
              </w:rPr>
              <w:t>Q</w:t>
            </w:r>
          </w:p>
        </w:tc>
        <w:tc>
          <w:tcPr>
            <w:tcW w:type="dxa" w:w="2088"/>
            <w:shd w:fill="244A73"/>
            <w:tcMar>
              <w:top w:w="90" w:type="dxa"/>
              <w:start w:w="100" w:type="dxa"/>
              <w:bottom w:w="90" w:type="dxa"/>
              <w:end w:w="100" w:type="dxa"/>
            </w:tcMar>
          </w:tcPr>
          <w:p>
            <w:r>
              <w:rPr>
                <w:b/>
                <w:color w:val="FFFFFF"/>
                <w:sz w:val="16"/>
              </w:rPr>
              <w:t>Feature</w:t>
            </w:r>
          </w:p>
        </w:tc>
        <w:tc>
          <w:tcPr>
            <w:tcW w:type="dxa" w:w="8064"/>
            <w:shd w:fill="244A73"/>
            <w:tcMar>
              <w:top w:w="90" w:type="dxa"/>
              <w:start w:w="100" w:type="dxa"/>
              <w:bottom w:w="90" w:type="dxa"/>
              <w:end w:w="100" w:type="dxa"/>
            </w:tcMar>
          </w:tcPr>
          <w:p>
            <w:r>
              <w:rPr>
                <w:b/>
                <w:color w:val="FFFFFF"/>
                <w:sz w:val="16"/>
              </w:rPr>
              <w:t>Required behavior</w:t>
            </w:r>
          </w:p>
        </w:tc>
      </w:tr>
      <w:tr>
        <w:trPr>
          <w:cantSplit/>
        </w:trPr>
        <w:tc>
          <w:tcPr>
            <w:tcW w:type="dxa" w:w="648"/>
            <w:tcMar>
              <w:top w:w="90" w:type="dxa"/>
              <w:start w:w="100" w:type="dxa"/>
              <w:bottom w:w="90" w:type="dxa"/>
              <w:end w:w="100" w:type="dxa"/>
            </w:tcMar>
            <w:vAlign w:val="top"/>
          </w:tcPr>
          <w:p>
            <w:r>
              <w:rPr>
                <w:sz w:val="16"/>
              </w:rPr>
              <w:t>Q1</w:t>
            </w:r>
          </w:p>
        </w:tc>
        <w:tc>
          <w:tcPr>
            <w:tcW w:type="dxa" w:w="2088"/>
            <w:tcMar>
              <w:top w:w="90" w:type="dxa"/>
              <w:start w:w="100" w:type="dxa"/>
              <w:bottom w:w="90" w:type="dxa"/>
              <w:end w:w="100" w:type="dxa"/>
            </w:tcMar>
            <w:vAlign w:val="top"/>
          </w:tcPr>
          <w:p>
            <w:r>
              <w:rPr>
                <w:sz w:val="16"/>
              </w:rPr>
              <w:t>Journal</w:t>
            </w:r>
          </w:p>
        </w:tc>
        <w:tc>
          <w:tcPr>
            <w:tcW w:type="dxa" w:w="8064"/>
            <w:tcMar>
              <w:top w:w="90" w:type="dxa"/>
              <w:start w:w="100" w:type="dxa"/>
              <w:bottom w:w="90" w:type="dxa"/>
              <w:end w:w="100" w:type="dxa"/>
            </w:tcMar>
            <w:vAlign w:val="top"/>
          </w:tcPr>
          <w:p>
            <w:r>
              <w:rPr>
                <w:sz w:val="16"/>
              </w:rPr>
              <w:t>Journal resource, ISSN, issues/year, subscription years, category integration, journal pricing.</w:t>
            </w:r>
          </w:p>
        </w:tc>
      </w:tr>
      <w:tr>
        <w:trPr>
          <w:cantSplit/>
        </w:trPr>
        <w:tc>
          <w:tcPr>
            <w:tcW w:type="dxa" w:w="648"/>
            <w:tcMar>
              <w:top w:w="90" w:type="dxa"/>
              <w:start w:w="100" w:type="dxa"/>
              <w:bottom w:w="90" w:type="dxa"/>
              <w:end w:w="100" w:type="dxa"/>
            </w:tcMar>
            <w:vAlign w:val="top"/>
          </w:tcPr>
          <w:p>
            <w:r>
              <w:rPr>
                <w:sz w:val="16"/>
              </w:rPr>
              <w:t>Q2</w:t>
            </w:r>
          </w:p>
        </w:tc>
        <w:tc>
          <w:tcPr>
            <w:tcW w:type="dxa" w:w="2088"/>
            <w:tcMar>
              <w:top w:w="90" w:type="dxa"/>
              <w:start w:w="100" w:type="dxa"/>
              <w:bottom w:w="90" w:type="dxa"/>
              <w:end w:w="100" w:type="dxa"/>
            </w:tcMar>
            <w:vAlign w:val="top"/>
          </w:tcPr>
          <w:p>
            <w:r>
              <w:rPr>
                <w:sz w:val="16"/>
              </w:rPr>
              <w:t>EBook</w:t>
            </w:r>
          </w:p>
        </w:tc>
        <w:tc>
          <w:tcPr>
            <w:tcW w:type="dxa" w:w="8064"/>
            <w:tcMar>
              <w:top w:w="90" w:type="dxa"/>
              <w:start w:w="100" w:type="dxa"/>
              <w:bottom w:w="90" w:type="dxa"/>
              <w:end w:w="100" w:type="dxa"/>
            </w:tcMar>
            <w:vAlign w:val="top"/>
          </w:tcPr>
          <w:p>
            <w:r>
              <w:rPr>
                <w:sz w:val="16"/>
              </w:rPr>
              <w:t>EBook derived from ElectronicResource with authors, ISBN, format, DRM and separate category.</w:t>
            </w:r>
          </w:p>
        </w:tc>
      </w:tr>
      <w:tr>
        <w:trPr>
          <w:cantSplit/>
        </w:trPr>
        <w:tc>
          <w:tcPr>
            <w:tcW w:type="dxa" w:w="648"/>
            <w:tcMar>
              <w:top w:w="90" w:type="dxa"/>
              <w:start w:w="100" w:type="dxa"/>
              <w:bottom w:w="90" w:type="dxa"/>
              <w:end w:w="100" w:type="dxa"/>
            </w:tcMar>
            <w:vAlign w:val="top"/>
          </w:tcPr>
          <w:p>
            <w:r>
              <w:rPr>
                <w:sz w:val="16"/>
              </w:rPr>
              <w:t>Q3</w:t>
            </w:r>
          </w:p>
        </w:tc>
        <w:tc>
          <w:tcPr>
            <w:tcW w:type="dxa" w:w="2088"/>
            <w:tcMar>
              <w:top w:w="90" w:type="dxa"/>
              <w:start w:w="100" w:type="dxa"/>
              <w:bottom w:w="90" w:type="dxa"/>
              <w:end w:w="100" w:type="dxa"/>
            </w:tcMar>
            <w:vAlign w:val="top"/>
          </w:tcPr>
          <w:p>
            <w:r>
              <w:rPr>
                <w:sz w:val="16"/>
              </w:rPr>
              <w:t>AudioBook + Thesis</w:t>
            </w:r>
          </w:p>
        </w:tc>
        <w:tc>
          <w:tcPr>
            <w:tcW w:type="dxa" w:w="8064"/>
            <w:tcMar>
              <w:top w:w="90" w:type="dxa"/>
              <w:start w:w="100" w:type="dxa"/>
              <w:bottom w:w="90" w:type="dxa"/>
              <w:end w:w="100" w:type="dxa"/>
            </w:tcMar>
            <w:vAlign w:val="top"/>
          </w:tcPr>
          <w:p>
            <w:r>
              <w:rPr>
                <w:sz w:val="16"/>
              </w:rPr>
              <w:t>AudioBook with narrator/duration; Thesis with university/degree/supervisor and free/default cost behavior.</w:t>
            </w:r>
          </w:p>
        </w:tc>
      </w:tr>
      <w:tr>
        <w:trPr>
          <w:cantSplit/>
        </w:trPr>
        <w:tc>
          <w:tcPr>
            <w:tcW w:type="dxa" w:w="648"/>
            <w:tcMar>
              <w:top w:w="90" w:type="dxa"/>
              <w:start w:w="100" w:type="dxa"/>
              <w:bottom w:w="90" w:type="dxa"/>
              <w:end w:w="100" w:type="dxa"/>
            </w:tcMar>
            <w:vAlign w:val="top"/>
          </w:tcPr>
          <w:p>
            <w:r>
              <w:rPr>
                <w:sz w:val="16"/>
              </w:rPr>
              <w:t>Q4</w:t>
            </w:r>
          </w:p>
        </w:tc>
        <w:tc>
          <w:tcPr>
            <w:tcW w:type="dxa" w:w="2088"/>
            <w:tcMar>
              <w:top w:w="90" w:type="dxa"/>
              <w:start w:w="100" w:type="dxa"/>
              <w:bottom w:w="90" w:type="dxa"/>
              <w:end w:w="100" w:type="dxa"/>
            </w:tcMar>
            <w:vAlign w:val="top"/>
          </w:tcPr>
          <w:p>
            <w:r>
              <w:rPr>
                <w:sz w:val="16"/>
              </w:rPr>
              <w:t>Hardcover Pricing</w:t>
            </w:r>
          </w:p>
        </w:tc>
        <w:tc>
          <w:tcPr>
            <w:tcW w:type="dxa" w:w="8064"/>
            <w:tcMar>
              <w:top w:w="90" w:type="dxa"/>
              <w:start w:w="100" w:type="dxa"/>
              <w:bottom w:w="90" w:type="dxa"/>
              <w:end w:w="100" w:type="dxa"/>
            </w:tcMar>
            <w:vAlign w:val="top"/>
          </w:tcPr>
          <w:p>
            <w:r>
              <w:rPr>
                <w:sz w:val="16"/>
              </w:rPr>
              <w:t>20% surcharge for hardcover books.</w:t>
            </w:r>
          </w:p>
        </w:tc>
      </w:tr>
      <w:tr>
        <w:trPr>
          <w:cantSplit/>
        </w:trPr>
        <w:tc>
          <w:tcPr>
            <w:tcW w:type="dxa" w:w="648"/>
            <w:tcMar>
              <w:top w:w="90" w:type="dxa"/>
              <w:start w:w="100" w:type="dxa"/>
              <w:bottom w:w="90" w:type="dxa"/>
              <w:end w:w="100" w:type="dxa"/>
            </w:tcMar>
            <w:vAlign w:val="top"/>
          </w:tcPr>
          <w:p>
            <w:r>
              <w:rPr>
                <w:sz w:val="16"/>
              </w:rPr>
              <w:t>Q5</w:t>
            </w:r>
          </w:p>
        </w:tc>
        <w:tc>
          <w:tcPr>
            <w:tcW w:type="dxa" w:w="2088"/>
            <w:tcMar>
              <w:top w:w="90" w:type="dxa"/>
              <w:start w:w="100" w:type="dxa"/>
              <w:bottom w:w="90" w:type="dxa"/>
              <w:end w:w="100" w:type="dxa"/>
            </w:tcMar>
            <w:vAlign w:val="top"/>
          </w:tcPr>
          <w:p>
            <w:r>
              <w:rPr>
                <w:sz w:val="16"/>
              </w:rPr>
              <w:t>Bulk Pricing</w:t>
            </w:r>
          </w:p>
        </w:tc>
        <w:tc>
          <w:tcPr>
            <w:tcW w:type="dxa" w:w="8064"/>
            <w:tcMar>
              <w:top w:w="90" w:type="dxa"/>
              <w:start w:w="100" w:type="dxa"/>
              <w:bottom w:w="90" w:type="dxa"/>
              <w:end w:w="100" w:type="dxa"/>
            </w:tcMar>
            <w:vAlign w:val="top"/>
          </w:tcPr>
          <w:p>
            <w:r>
              <w:rPr>
                <w:sz w:val="16"/>
              </w:rPr>
              <w:t>10% print discount for 10+ copies; electronic seats beyond 50 at half price.</w:t>
            </w:r>
          </w:p>
        </w:tc>
      </w:tr>
      <w:tr>
        <w:trPr>
          <w:cantSplit/>
        </w:trPr>
        <w:tc>
          <w:tcPr>
            <w:tcW w:type="dxa" w:w="648"/>
            <w:tcMar>
              <w:top w:w="90" w:type="dxa"/>
              <w:start w:w="100" w:type="dxa"/>
              <w:bottom w:w="90" w:type="dxa"/>
              <w:end w:w="100" w:type="dxa"/>
            </w:tcMar>
            <w:vAlign w:val="top"/>
          </w:tcPr>
          <w:p>
            <w:r>
              <w:rPr>
                <w:sz w:val="16"/>
              </w:rPr>
              <w:t>Q6</w:t>
            </w:r>
          </w:p>
        </w:tc>
        <w:tc>
          <w:tcPr>
            <w:tcW w:type="dxa" w:w="2088"/>
            <w:tcMar>
              <w:top w:w="90" w:type="dxa"/>
              <w:start w:w="100" w:type="dxa"/>
              <w:bottom w:w="90" w:type="dxa"/>
              <w:end w:w="100" w:type="dxa"/>
            </w:tcMar>
            <w:vAlign w:val="top"/>
          </w:tcPr>
          <w:p>
            <w:r>
              <w:rPr>
                <w:sz w:val="16"/>
              </w:rPr>
              <w:t>Taxes</w:t>
            </w:r>
          </w:p>
        </w:tc>
        <w:tc>
          <w:tcPr>
            <w:tcW w:type="dxa" w:w="8064"/>
            <w:tcMar>
              <w:top w:w="90" w:type="dxa"/>
              <w:start w:w="100" w:type="dxa"/>
              <w:bottom w:w="90" w:type="dxa"/>
              <w:end w:w="100" w:type="dxa"/>
            </w:tcMar>
            <w:vAlign w:val="top"/>
          </w:tcPr>
          <w:p>
            <w:r>
              <w:rPr>
                <w:sz w:val="16"/>
              </w:rPr>
              <w:t>Separate configurable print/electronic taxes; post-tax quota enforcement; pre/post-tax reporting.</w:t>
            </w:r>
          </w:p>
        </w:tc>
      </w:tr>
      <w:tr>
        <w:trPr>
          <w:cantSplit/>
        </w:trPr>
        <w:tc>
          <w:tcPr>
            <w:tcW w:type="dxa" w:w="648"/>
            <w:tcMar>
              <w:top w:w="90" w:type="dxa"/>
              <w:start w:w="100" w:type="dxa"/>
              <w:bottom w:w="90" w:type="dxa"/>
              <w:end w:w="100" w:type="dxa"/>
            </w:tcMar>
            <w:vAlign w:val="top"/>
          </w:tcPr>
          <w:p>
            <w:r>
              <w:rPr>
                <w:sz w:val="16"/>
              </w:rPr>
              <w:t>Q7</w:t>
            </w:r>
          </w:p>
        </w:tc>
        <w:tc>
          <w:tcPr>
            <w:tcW w:type="dxa" w:w="2088"/>
            <w:tcMar>
              <w:top w:w="90" w:type="dxa"/>
              <w:start w:w="100" w:type="dxa"/>
              <w:bottom w:w="90" w:type="dxa"/>
              <w:end w:w="100" w:type="dxa"/>
            </w:tcMar>
            <w:vAlign w:val="top"/>
          </w:tcPr>
          <w:p>
            <w:r>
              <w:rPr>
                <w:sz w:val="16"/>
              </w:rPr>
              <w:t>Title Quotas</w:t>
            </w:r>
          </w:p>
        </w:tc>
        <w:tc>
          <w:tcPr>
            <w:tcW w:type="dxa" w:w="8064"/>
            <w:tcMar>
              <w:top w:w="90" w:type="dxa"/>
              <w:start w:w="100" w:type="dxa"/>
              <w:bottom w:w="90" w:type="dxa"/>
              <w:end w:w="100" w:type="dxa"/>
            </w:tcMar>
            <w:vAlign w:val="top"/>
          </w:tcPr>
          <w:p>
            <w:r>
              <w:rPr>
                <w:sz w:val="16"/>
              </w:rPr>
              <w:t>Maximum number of different titles per category.</w:t>
            </w:r>
          </w:p>
        </w:tc>
      </w:tr>
      <w:tr>
        <w:trPr>
          <w:cantSplit/>
        </w:trPr>
        <w:tc>
          <w:tcPr>
            <w:tcW w:type="dxa" w:w="648"/>
            <w:tcMar>
              <w:top w:w="90" w:type="dxa"/>
              <w:start w:w="100" w:type="dxa"/>
              <w:bottom w:w="90" w:type="dxa"/>
              <w:end w:w="100" w:type="dxa"/>
            </w:tcMar>
            <w:vAlign w:val="top"/>
          </w:tcPr>
          <w:p>
            <w:r>
              <w:rPr>
                <w:sz w:val="16"/>
              </w:rPr>
              <w:t>Q8</w:t>
            </w:r>
          </w:p>
        </w:tc>
        <w:tc>
          <w:tcPr>
            <w:tcW w:type="dxa" w:w="2088"/>
            <w:tcMar>
              <w:top w:w="90" w:type="dxa"/>
              <w:start w:w="100" w:type="dxa"/>
              <w:bottom w:w="90" w:type="dxa"/>
              <w:end w:w="100" w:type="dxa"/>
            </w:tcMar>
            <w:vAlign w:val="top"/>
          </w:tcPr>
          <w:p>
            <w:r>
              <w:rPr>
                <w:sz w:val="16"/>
              </w:rPr>
              <w:t>Cancellation</w:t>
            </w:r>
          </w:p>
        </w:tc>
        <w:tc>
          <w:tcPr>
            <w:tcW w:type="dxa" w:w="8064"/>
            <w:tcMar>
              <w:top w:w="90" w:type="dxa"/>
              <w:start w:w="100" w:type="dxa"/>
              <w:bottom w:w="90" w:type="dxa"/>
              <w:end w:w="100" w:type="dxa"/>
            </w:tcMar>
            <w:vAlign w:val="top"/>
          </w:tcPr>
          <w:p>
            <w:r>
              <w:rPr>
                <w:sz w:val="16"/>
              </w:rPr>
              <w:t>Refund budget/quota usage, reduce holdings, preserve original purchase, add cancellation record.</w:t>
            </w:r>
          </w:p>
        </w:tc>
      </w:tr>
      <w:tr>
        <w:trPr>
          <w:cantSplit/>
        </w:trPr>
        <w:tc>
          <w:tcPr>
            <w:tcW w:type="dxa" w:w="648"/>
            <w:tcMar>
              <w:top w:w="90" w:type="dxa"/>
              <w:start w:w="100" w:type="dxa"/>
              <w:bottom w:w="90" w:type="dxa"/>
              <w:end w:w="100" w:type="dxa"/>
            </w:tcMar>
            <w:vAlign w:val="top"/>
          </w:tcPr>
          <w:p>
            <w:r>
              <w:rPr>
                <w:sz w:val="16"/>
              </w:rPr>
              <w:t>Q9</w:t>
            </w:r>
          </w:p>
        </w:tc>
        <w:tc>
          <w:tcPr>
            <w:tcW w:type="dxa" w:w="2088"/>
            <w:tcMar>
              <w:top w:w="90" w:type="dxa"/>
              <w:start w:w="100" w:type="dxa"/>
              <w:bottom w:w="90" w:type="dxa"/>
              <w:end w:w="100" w:type="dxa"/>
            </w:tcMar>
            <w:vAlign w:val="top"/>
          </w:tcPr>
          <w:p>
            <w:r>
              <w:rPr>
                <w:sz w:val="16"/>
              </w:rPr>
              <w:t>Department Budgets</w:t>
            </w:r>
          </w:p>
        </w:tc>
        <w:tc>
          <w:tcPr>
            <w:tcW w:type="dxa" w:w="8064"/>
            <w:tcMar>
              <w:top w:w="90" w:type="dxa"/>
              <w:start w:w="100" w:type="dxa"/>
              <w:bottom w:w="90" w:type="dxa"/>
              <w:end w:w="100" w:type="dxa"/>
            </w:tcMar>
            <w:vAlign w:val="top"/>
          </w:tcPr>
          <w:p>
            <w:r>
              <w:rPr>
                <w:sz w:val="16"/>
              </w:rPr>
              <w:t>Independent departmental budget/quota state with shared global Catalog holdings.</w:t>
            </w:r>
          </w:p>
        </w:tc>
      </w:tr>
      <w:tr>
        <w:trPr>
          <w:cantSplit/>
        </w:trPr>
        <w:tc>
          <w:tcPr>
            <w:tcW w:type="dxa" w:w="648"/>
            <w:tcMar>
              <w:top w:w="90" w:type="dxa"/>
              <w:start w:w="100" w:type="dxa"/>
              <w:bottom w:w="90" w:type="dxa"/>
              <w:end w:w="100" w:type="dxa"/>
            </w:tcMar>
            <w:vAlign w:val="top"/>
          </w:tcPr>
          <w:p>
            <w:r>
              <w:rPr>
                <w:sz w:val="16"/>
              </w:rPr>
              <w:t>Q10</w:t>
            </w:r>
          </w:p>
        </w:tc>
        <w:tc>
          <w:tcPr>
            <w:tcW w:type="dxa" w:w="2088"/>
            <w:tcMar>
              <w:top w:w="90" w:type="dxa"/>
              <w:start w:w="100" w:type="dxa"/>
              <w:bottom w:w="90" w:type="dxa"/>
              <w:end w:w="100" w:type="dxa"/>
            </w:tcMar>
            <w:vAlign w:val="top"/>
          </w:tcPr>
          <w:p>
            <w:r>
              <w:rPr>
                <w:sz w:val="16"/>
              </w:rPr>
              <w:t>Rollover</w:t>
            </w:r>
          </w:p>
        </w:tc>
        <w:tc>
          <w:tcPr>
            <w:tcW w:type="dxa" w:w="8064"/>
            <w:tcMar>
              <w:top w:w="90" w:type="dxa"/>
              <w:start w:w="100" w:type="dxa"/>
              <w:bottom w:w="90" w:type="dxa"/>
              <w:end w:w="100" w:type="dxa"/>
            </w:tcMar>
            <w:vAlign w:val="top"/>
          </w:tcPr>
          <w:p>
            <w:r>
              <w:rPr>
                <w:sz w:val="16"/>
              </w:rPr>
              <w:t>Configurable carry-forward percentage of unspent budget into next year.</w:t>
            </w:r>
          </w:p>
        </w:tc>
      </w:tr>
      <w:tr>
        <w:trPr>
          <w:cantSplit/>
        </w:trPr>
        <w:tc>
          <w:tcPr>
            <w:tcW w:type="dxa" w:w="648"/>
            <w:tcMar>
              <w:top w:w="90" w:type="dxa"/>
              <w:start w:w="100" w:type="dxa"/>
              <w:bottom w:w="90" w:type="dxa"/>
              <w:end w:w="100" w:type="dxa"/>
            </w:tcMar>
            <w:vAlign w:val="top"/>
          </w:tcPr>
          <w:p>
            <w:r>
              <w:rPr>
                <w:sz w:val="16"/>
              </w:rPr>
              <w:t>Q11</w:t>
            </w:r>
          </w:p>
        </w:tc>
        <w:tc>
          <w:tcPr>
            <w:tcW w:type="dxa" w:w="2088"/>
            <w:tcMar>
              <w:top w:w="90" w:type="dxa"/>
              <w:start w:w="100" w:type="dxa"/>
              <w:bottom w:w="90" w:type="dxa"/>
              <w:end w:w="100" w:type="dxa"/>
            </w:tcMar>
            <w:vAlign w:val="top"/>
          </w:tcPr>
          <w:p>
            <w:r>
              <w:rPr>
                <w:sz w:val="16"/>
              </w:rPr>
              <w:t>Atomic Batch</w:t>
            </w:r>
          </w:p>
        </w:tc>
        <w:tc>
          <w:tcPr>
            <w:tcW w:type="dxa" w:w="8064"/>
            <w:tcMar>
              <w:top w:w="90" w:type="dxa"/>
              <w:start w:w="100" w:type="dxa"/>
              <w:bottom w:w="90" w:type="dxa"/>
              <w:end w:w="100" w:type="dxa"/>
            </w:tcMar>
            <w:vAlign w:val="top"/>
          </w:tcPr>
          <w:p>
            <w:r>
              <w:rPr>
                <w:sz w:val="16"/>
              </w:rPr>
              <w:t>All-or-nothing batch option using simulated state before commit.</w:t>
            </w:r>
          </w:p>
        </w:tc>
      </w:tr>
      <w:tr>
        <w:trPr>
          <w:cantSplit/>
        </w:trPr>
        <w:tc>
          <w:tcPr>
            <w:tcW w:type="dxa" w:w="648"/>
            <w:tcMar>
              <w:top w:w="90" w:type="dxa"/>
              <w:start w:w="100" w:type="dxa"/>
              <w:bottom w:w="90" w:type="dxa"/>
              <w:end w:w="100" w:type="dxa"/>
            </w:tcMar>
            <w:vAlign w:val="top"/>
          </w:tcPr>
          <w:p>
            <w:r>
              <w:rPr>
                <w:sz w:val="16"/>
              </w:rPr>
              <w:t>Q12</w:t>
            </w:r>
          </w:p>
        </w:tc>
        <w:tc>
          <w:tcPr>
            <w:tcW w:type="dxa" w:w="2088"/>
            <w:tcMar>
              <w:top w:w="90" w:type="dxa"/>
              <w:start w:w="100" w:type="dxa"/>
              <w:bottom w:w="90" w:type="dxa"/>
              <w:end w:w="100" w:type="dxa"/>
            </w:tcMar>
            <w:vAlign w:val="top"/>
          </w:tcPr>
          <w:p>
            <w:r>
              <w:rPr>
                <w:sz w:val="16"/>
              </w:rPr>
              <w:t>Vendors</w:t>
            </w:r>
          </w:p>
        </w:tc>
        <w:tc>
          <w:tcPr>
            <w:tcW w:type="dxa" w:w="8064"/>
            <w:tcMar>
              <w:top w:w="90" w:type="dxa"/>
              <w:start w:w="100" w:type="dxa"/>
              <w:bottom w:w="90" w:type="dxa"/>
              <w:end w:w="100" w:type="dxa"/>
            </w:tcMar>
            <w:vAlign w:val="top"/>
          </w:tcPr>
          <w:p>
            <w:r>
              <w:rPr>
                <w:sz w:val="16"/>
              </w:rPr>
              <w:t>Multiple offers, cheapest vendor selection, vendor recorded in order history.</w:t>
            </w:r>
          </w:p>
        </w:tc>
      </w:tr>
      <w:tr>
        <w:trPr>
          <w:cantSplit/>
        </w:trPr>
        <w:tc>
          <w:tcPr>
            <w:tcW w:type="dxa" w:w="648"/>
            <w:tcMar>
              <w:top w:w="90" w:type="dxa"/>
              <w:start w:w="100" w:type="dxa"/>
              <w:bottom w:w="90" w:type="dxa"/>
              <w:end w:w="100" w:type="dxa"/>
            </w:tcMar>
            <w:vAlign w:val="top"/>
          </w:tcPr>
          <w:p>
            <w:r>
              <w:rPr>
                <w:sz w:val="16"/>
              </w:rPr>
              <w:t>Q13</w:t>
            </w:r>
          </w:p>
        </w:tc>
        <w:tc>
          <w:tcPr>
            <w:tcW w:type="dxa" w:w="2088"/>
            <w:tcMar>
              <w:top w:w="90" w:type="dxa"/>
              <w:start w:w="100" w:type="dxa"/>
              <w:bottom w:w="90" w:type="dxa"/>
              <w:end w:w="100" w:type="dxa"/>
            </w:tcMar>
            <w:vAlign w:val="top"/>
          </w:tcPr>
          <w:p>
            <w:r>
              <w:rPr>
                <w:sz w:val="16"/>
              </w:rPr>
              <w:t>Catalog Search</w:t>
            </w:r>
          </w:p>
        </w:tc>
        <w:tc>
          <w:tcPr>
            <w:tcW w:type="dxa" w:w="8064"/>
            <w:tcMar>
              <w:top w:w="90" w:type="dxa"/>
              <w:start w:w="100" w:type="dxa"/>
              <w:bottom w:w="90" w:type="dxa"/>
              <w:end w:w="100" w:type="dxa"/>
            </w:tcMar>
            <w:vAlign w:val="top"/>
          </w:tcPr>
          <w:p>
            <w:r>
              <w:rPr>
                <w:sz w:val="16"/>
              </w:rPr>
              <w:t>Author, ISBN, ISSN, identifier and publication year range searches.</w:t>
            </w:r>
          </w:p>
        </w:tc>
      </w:tr>
      <w:tr>
        <w:trPr>
          <w:cantSplit/>
        </w:trPr>
        <w:tc>
          <w:tcPr>
            <w:tcW w:type="dxa" w:w="648"/>
            <w:tcMar>
              <w:top w:w="90" w:type="dxa"/>
              <w:start w:w="100" w:type="dxa"/>
              <w:bottom w:w="90" w:type="dxa"/>
              <w:end w:w="100" w:type="dxa"/>
            </w:tcMar>
            <w:vAlign w:val="top"/>
          </w:tcPr>
          <w:p>
            <w:r>
              <w:rPr>
                <w:sz w:val="16"/>
              </w:rPr>
              <w:t>Q14</w:t>
            </w:r>
          </w:p>
        </w:tc>
        <w:tc>
          <w:tcPr>
            <w:tcW w:type="dxa" w:w="2088"/>
            <w:tcMar>
              <w:top w:w="90" w:type="dxa"/>
              <w:start w:w="100" w:type="dxa"/>
              <w:bottom w:w="90" w:type="dxa"/>
              <w:end w:w="100" w:type="dxa"/>
            </w:tcMar>
            <w:vAlign w:val="top"/>
          </w:tcPr>
          <w:p>
            <w:r>
              <w:rPr>
                <w:sz w:val="16"/>
              </w:rPr>
              <w:t>Lending</w:t>
            </w:r>
          </w:p>
        </w:tc>
        <w:tc>
          <w:tcPr>
            <w:tcW w:type="dxa" w:w="8064"/>
            <w:tcMar>
              <w:top w:w="90" w:type="dxa"/>
              <w:start w:w="100" w:type="dxa"/>
              <w:bottom w:w="90" w:type="dxa"/>
              <w:end w:w="100" w:type="dxa"/>
            </w:tcMar>
            <w:vAlign w:val="top"/>
          </w:tcPr>
          <w:p>
            <w:r>
              <w:rPr>
                <w:sz w:val="16"/>
              </w:rPr>
              <w:t>Print borrowing/return and electronic sessions bounded by licensed/held quantity.</w:t>
            </w:r>
          </w:p>
        </w:tc>
      </w:tr>
      <w:tr>
        <w:trPr>
          <w:cantSplit/>
        </w:trPr>
        <w:tc>
          <w:tcPr>
            <w:tcW w:type="dxa" w:w="648"/>
            <w:tcMar>
              <w:top w:w="90" w:type="dxa"/>
              <w:start w:w="100" w:type="dxa"/>
              <w:bottom w:w="90" w:type="dxa"/>
              <w:end w:w="100" w:type="dxa"/>
            </w:tcMar>
            <w:vAlign w:val="top"/>
          </w:tcPr>
          <w:p>
            <w:r>
              <w:rPr>
                <w:sz w:val="16"/>
              </w:rPr>
              <w:t>Q15</w:t>
            </w:r>
          </w:p>
        </w:tc>
        <w:tc>
          <w:tcPr>
            <w:tcW w:type="dxa" w:w="2088"/>
            <w:tcMar>
              <w:top w:w="90" w:type="dxa"/>
              <w:start w:w="100" w:type="dxa"/>
              <w:bottom w:w="90" w:type="dxa"/>
              <w:end w:w="100" w:type="dxa"/>
            </w:tcMar>
            <w:vAlign w:val="top"/>
          </w:tcPr>
          <w:p>
            <w:r>
              <w:rPr>
                <w:sz w:val="16"/>
              </w:rPr>
              <w:t>Money</w:t>
            </w:r>
          </w:p>
        </w:tc>
        <w:tc>
          <w:tcPr>
            <w:tcW w:type="dxa" w:w="8064"/>
            <w:tcMar>
              <w:top w:w="90" w:type="dxa"/>
              <w:start w:w="100" w:type="dxa"/>
              <w:bottom w:w="90" w:type="dxa"/>
              <w:end w:w="100" w:type="dxa"/>
            </w:tcMar>
            <w:vAlign w:val="top"/>
          </w:tcPr>
          <w:p>
            <w:r>
              <w:rPr>
                <w:sz w:val="16"/>
              </w:rPr>
              <w:t>3-letter currency codes; same-currency arithmetic; mixed-currency rejection.</w:t>
            </w:r>
          </w:p>
        </w:tc>
      </w:tr>
      <w:tr>
        <w:trPr>
          <w:cantSplit/>
        </w:trPr>
        <w:tc>
          <w:tcPr>
            <w:tcW w:type="dxa" w:w="648"/>
            <w:tcMar>
              <w:top w:w="90" w:type="dxa"/>
              <w:start w:w="100" w:type="dxa"/>
              <w:bottom w:w="90" w:type="dxa"/>
              <w:end w:w="100" w:type="dxa"/>
            </w:tcMar>
            <w:vAlign w:val="top"/>
          </w:tcPr>
          <w:p>
            <w:r>
              <w:rPr>
                <w:sz w:val="16"/>
              </w:rPr>
              <w:t>Q16</w:t>
            </w:r>
          </w:p>
        </w:tc>
        <w:tc>
          <w:tcPr>
            <w:tcW w:type="dxa" w:w="2088"/>
            <w:tcMar>
              <w:top w:w="90" w:type="dxa"/>
              <w:start w:w="100" w:type="dxa"/>
              <w:bottom w:w="90" w:type="dxa"/>
              <w:end w:w="100" w:type="dxa"/>
            </w:tcMar>
            <w:vAlign w:val="top"/>
          </w:tcPr>
          <w:p>
            <w:r>
              <w:rPr>
                <w:sz w:val="16"/>
              </w:rPr>
              <w:t>Testing</w:t>
            </w:r>
          </w:p>
        </w:tc>
        <w:tc>
          <w:tcPr>
            <w:tcW w:type="dxa" w:w="8064"/>
            <w:tcMar>
              <w:top w:w="90" w:type="dxa"/>
              <w:start w:w="100" w:type="dxa"/>
              <w:bottom w:w="90" w:type="dxa"/>
              <w:end w:w="100" w:type="dxa"/>
            </w:tcMar>
            <w:vAlign w:val="top"/>
          </w:tcPr>
          <w:p>
            <w:r>
              <w:rPr>
                <w:sz w:val="16"/>
              </w:rPr>
              <w:t>Standard assert-based tests replacing custom CHECK macros.</w:t>
            </w:r>
          </w:p>
        </w:tc>
      </w:tr>
    </w:tbl>
    <w:p/>
    <w:p>
      <w:pPr>
        <w:pStyle w:val="Heading1"/>
      </w:pPr>
      <w:r>
        <w:t>What V1 Added</w:t>
      </w:r>
    </w:p>
    <w:p>
      <w:pPr>
        <w:keepNext w:val="0"/>
      </w:pPr>
      <w:r>
        <w:t>V1 introduced engineering capabilities around the academic core. The goal of each change was to make future persistence/API integration safer without changing the original domain meaning.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504"/>
            <w:shd w:fill="244A73"/>
            <w:tcMar>
              <w:top w:w="90" w:type="dxa"/>
              <w:start w:w="100" w:type="dxa"/>
              <w:bottom w:w="90" w:type="dxa"/>
              <w:end w:w="100" w:type="dxa"/>
            </w:tcMar>
          </w:tcPr>
          <w:p>
            <w:r>
              <w:rPr>
                <w:b/>
                <w:color w:val="FFFFFF"/>
                <w:sz w:val="15"/>
              </w:rPr>
              <w:t>#</w:t>
            </w:r>
          </w:p>
        </w:tc>
        <w:tc>
          <w:tcPr>
            <w:tcW w:type="dxa" w:w="2160"/>
            <w:shd w:fill="244A73"/>
            <w:tcMar>
              <w:top w:w="90" w:type="dxa"/>
              <w:start w:w="100" w:type="dxa"/>
              <w:bottom w:w="90" w:type="dxa"/>
              <w:end w:w="100" w:type="dxa"/>
            </w:tcMar>
          </w:tcPr>
          <w:p>
            <w:r>
              <w:rPr>
                <w:b/>
                <w:color w:val="FFFFFF"/>
                <w:sz w:val="15"/>
              </w:rPr>
              <w:t>Improvement</w:t>
            </w:r>
          </w:p>
        </w:tc>
        <w:tc>
          <w:tcPr>
            <w:tcW w:type="dxa" w:w="3816"/>
            <w:shd w:fill="244A73"/>
            <w:tcMar>
              <w:top w:w="90" w:type="dxa"/>
              <w:start w:w="100" w:type="dxa"/>
              <w:bottom w:w="90" w:type="dxa"/>
              <w:end w:w="100" w:type="dxa"/>
            </w:tcMar>
          </w:tcPr>
          <w:p>
            <w:r>
              <w:rPr>
                <w:b/>
                <w:color w:val="FFFFFF"/>
                <w:sz w:val="15"/>
              </w:rPr>
              <w:t>What changed</w:t>
            </w:r>
          </w:p>
        </w:tc>
        <w:tc>
          <w:tcPr>
            <w:tcW w:type="dxa" w:w="4320"/>
            <w:shd w:fill="244A73"/>
            <w:tcMar>
              <w:top w:w="90" w:type="dxa"/>
              <w:start w:w="100" w:type="dxa"/>
              <w:bottom w:w="90" w:type="dxa"/>
              <w:end w:w="100" w:type="dxa"/>
            </w:tcMar>
          </w:tcPr>
          <w:p>
            <w:r>
              <w:rPr>
                <w:b/>
                <w:color w:val="FFFFFF"/>
                <w:sz w:val="15"/>
              </w:rPr>
              <w:t>Why</w:t>
            </w:r>
          </w:p>
        </w:tc>
      </w:tr>
      <w:tr>
        <w:trPr>
          <w:cantSplit/>
        </w:trPr>
        <w:tc>
          <w:tcPr>
            <w:tcW w:type="dxa" w:w="504"/>
            <w:tcMar>
              <w:top w:w="90" w:type="dxa"/>
              <w:start w:w="100" w:type="dxa"/>
              <w:bottom w:w="90" w:type="dxa"/>
              <w:end w:w="100" w:type="dxa"/>
            </w:tcMar>
            <w:vAlign w:val="top"/>
          </w:tcPr>
          <w:p>
            <w:r>
              <w:rPr>
                <w:sz w:val="15"/>
              </w:rPr>
              <w:t>1</w:t>
            </w:r>
          </w:p>
        </w:tc>
        <w:tc>
          <w:tcPr>
            <w:tcW w:type="dxa" w:w="2160"/>
            <w:tcMar>
              <w:top w:w="90" w:type="dxa"/>
              <w:start w:w="100" w:type="dxa"/>
              <w:bottom w:w="90" w:type="dxa"/>
              <w:end w:w="100" w:type="dxa"/>
            </w:tcMar>
            <w:vAlign w:val="top"/>
          </w:tcPr>
          <w:p>
            <w:r>
              <w:rPr>
                <w:sz w:val="15"/>
              </w:rPr>
              <w:t>Responsibility cleanup</w:t>
            </w:r>
          </w:p>
        </w:tc>
        <w:tc>
          <w:tcPr>
            <w:tcW w:type="dxa" w:w="3816"/>
            <w:tcMar>
              <w:top w:w="90" w:type="dxa"/>
              <w:start w:w="100" w:type="dxa"/>
              <w:bottom w:w="90" w:type="dxa"/>
              <w:end w:w="100" w:type="dxa"/>
            </w:tcMar>
            <w:vAlign w:val="top"/>
          </w:tcPr>
          <w:p>
            <w:r>
              <w:rPr>
                <w:sz w:val="15"/>
              </w:rPr>
              <w:t>Acquisition internals were organized more clearly without breaking the public API.</w:t>
            </w:r>
          </w:p>
        </w:tc>
        <w:tc>
          <w:tcPr>
            <w:tcW w:type="dxa" w:w="4320"/>
            <w:tcMar>
              <w:top w:w="90" w:type="dxa"/>
              <w:start w:w="100" w:type="dxa"/>
              <w:bottom w:w="90" w:type="dxa"/>
              <w:end w:w="100" w:type="dxa"/>
            </w:tcMar>
            <w:vAlign w:val="top"/>
          </w:tcPr>
          <w:p>
            <w:r>
              <w:rPr>
                <w:sz w:val="15"/>
              </w:rPr>
              <w:t>Improve readability and reduce coordination complexity.</w:t>
            </w:r>
          </w:p>
        </w:tc>
      </w:tr>
      <w:tr>
        <w:trPr>
          <w:cantSplit/>
        </w:trPr>
        <w:tc>
          <w:tcPr>
            <w:tcW w:type="dxa" w:w="504"/>
            <w:tcMar>
              <w:top w:w="90" w:type="dxa"/>
              <w:start w:w="100" w:type="dxa"/>
              <w:bottom w:w="90" w:type="dxa"/>
              <w:end w:w="100" w:type="dxa"/>
            </w:tcMar>
            <w:vAlign w:val="top"/>
          </w:tcPr>
          <w:p>
            <w:r>
              <w:rPr>
                <w:sz w:val="15"/>
              </w:rPr>
              <w:t>2</w:t>
            </w:r>
          </w:p>
        </w:tc>
        <w:tc>
          <w:tcPr>
            <w:tcW w:type="dxa" w:w="2160"/>
            <w:tcMar>
              <w:top w:w="90" w:type="dxa"/>
              <w:start w:w="100" w:type="dxa"/>
              <w:bottom w:w="90" w:type="dxa"/>
              <w:end w:w="100" w:type="dxa"/>
            </w:tcMar>
            <w:vAlign w:val="top"/>
          </w:tcPr>
          <w:p>
            <w:r>
              <w:rPr>
                <w:sz w:val="15"/>
              </w:rPr>
              <w:t>Centralized validation</w:t>
            </w:r>
          </w:p>
        </w:tc>
        <w:tc>
          <w:tcPr>
            <w:tcW w:type="dxa" w:w="3816"/>
            <w:tcMar>
              <w:top w:w="90" w:type="dxa"/>
              <w:start w:w="100" w:type="dxa"/>
              <w:bottom w:w="90" w:type="dxa"/>
              <w:end w:w="100" w:type="dxa"/>
            </w:tcMar>
            <w:vAlign w:val="top"/>
          </w:tcPr>
          <w:p>
            <w:r>
              <w:rPr>
                <w:sz w:val="15"/>
              </w:rPr>
              <w:t>Reusable validation for nonblank IDs and common input checks.</w:t>
            </w:r>
          </w:p>
        </w:tc>
        <w:tc>
          <w:tcPr>
            <w:tcW w:type="dxa" w:w="4320"/>
            <w:tcMar>
              <w:top w:w="90" w:type="dxa"/>
              <w:start w:w="100" w:type="dxa"/>
              <w:bottom w:w="90" w:type="dxa"/>
              <w:end w:w="100" w:type="dxa"/>
            </w:tcMar>
            <w:vAlign w:val="top"/>
          </w:tcPr>
          <w:p>
            <w:r>
              <w:rPr>
                <w:sz w:val="15"/>
              </w:rPr>
              <w:t>Avoid duplicated validation and inconsistent behavior.</w:t>
            </w:r>
          </w:p>
        </w:tc>
      </w:tr>
      <w:tr>
        <w:trPr>
          <w:cantSplit/>
        </w:trPr>
        <w:tc>
          <w:tcPr>
            <w:tcW w:type="dxa" w:w="504"/>
            <w:tcMar>
              <w:top w:w="90" w:type="dxa"/>
              <w:start w:w="100" w:type="dxa"/>
              <w:bottom w:w="90" w:type="dxa"/>
              <w:end w:w="100" w:type="dxa"/>
            </w:tcMar>
            <w:vAlign w:val="top"/>
          </w:tcPr>
          <w:p>
            <w:r>
              <w:rPr>
                <w:sz w:val="15"/>
              </w:rPr>
              <w:t>3</w:t>
            </w:r>
          </w:p>
        </w:tc>
        <w:tc>
          <w:tcPr>
            <w:tcW w:type="dxa" w:w="2160"/>
            <w:tcMar>
              <w:top w:w="90" w:type="dxa"/>
              <w:start w:w="100" w:type="dxa"/>
              <w:bottom w:w="90" w:type="dxa"/>
              <w:end w:w="100" w:type="dxa"/>
            </w:tcMar>
            <w:vAlign w:val="top"/>
          </w:tcPr>
          <w:p>
            <w:r>
              <w:rPr>
                <w:sz w:val="15"/>
              </w:rPr>
              <w:t>Combined search</w:t>
            </w:r>
          </w:p>
        </w:tc>
        <w:tc>
          <w:tcPr>
            <w:tcW w:type="dxa" w:w="3816"/>
            <w:tcMar>
              <w:top w:w="90" w:type="dxa"/>
              <w:start w:w="100" w:type="dxa"/>
              <w:bottom w:w="90" w:type="dxa"/>
              <w:end w:w="100" w:type="dxa"/>
            </w:tcMar>
            <w:vAlign w:val="top"/>
          </w:tcPr>
          <w:p>
            <w:r>
              <w:rPr>
                <w:sz w:val="15"/>
              </w:rPr>
              <w:t>Added SearchQuery + Catalog::search() to combine filters.</w:t>
            </w:r>
          </w:p>
        </w:tc>
        <w:tc>
          <w:tcPr>
            <w:tcW w:type="dxa" w:w="4320"/>
            <w:tcMar>
              <w:top w:w="90" w:type="dxa"/>
              <w:start w:w="100" w:type="dxa"/>
              <w:bottom w:w="90" w:type="dxa"/>
              <w:end w:w="100" w:type="dxa"/>
            </w:tcMar>
            <w:vAlign w:val="top"/>
          </w:tcPr>
          <w:p>
            <w:r>
              <w:rPr>
                <w:sz w:val="15"/>
              </w:rPr>
              <w:t>Support realistic multi-condition queries and future DB/API replacement.</w:t>
            </w:r>
          </w:p>
        </w:tc>
      </w:tr>
      <w:tr>
        <w:trPr>
          <w:cantSplit/>
        </w:trPr>
        <w:tc>
          <w:tcPr>
            <w:tcW w:type="dxa" w:w="504"/>
            <w:tcMar>
              <w:top w:w="90" w:type="dxa"/>
              <w:start w:w="100" w:type="dxa"/>
              <w:bottom w:w="90" w:type="dxa"/>
              <w:end w:w="100" w:type="dxa"/>
            </w:tcMar>
            <w:vAlign w:val="top"/>
          </w:tcPr>
          <w:p>
            <w:r>
              <w:rPr>
                <w:sz w:val="15"/>
              </w:rPr>
              <w:t>4</w:t>
            </w:r>
          </w:p>
        </w:tc>
        <w:tc>
          <w:tcPr>
            <w:tcW w:type="dxa" w:w="2160"/>
            <w:tcMar>
              <w:top w:w="90" w:type="dxa"/>
              <w:start w:w="100" w:type="dxa"/>
              <w:bottom w:w="90" w:type="dxa"/>
              <w:end w:w="100" w:type="dxa"/>
            </w:tcMar>
            <w:vAlign w:val="top"/>
          </w:tcPr>
          <w:p>
            <w:r>
              <w:rPr>
                <w:sz w:val="15"/>
              </w:rPr>
              <w:t>Search sorting</w:t>
            </w:r>
          </w:p>
        </w:tc>
        <w:tc>
          <w:tcPr>
            <w:tcW w:type="dxa" w:w="3816"/>
            <w:tcMar>
              <w:top w:w="90" w:type="dxa"/>
              <w:start w:w="100" w:type="dxa"/>
              <w:bottom w:w="90" w:type="dxa"/>
              <w:end w:w="100" w:type="dxa"/>
            </w:tcMar>
            <w:vAlign w:val="top"/>
          </w:tcPr>
          <w:p>
            <w:r>
              <w:rPr>
                <w:sz w:val="15"/>
              </w:rPr>
              <w:t>Added title/year/price ascending and descending modes with deterministic tie breaking.</w:t>
            </w:r>
          </w:p>
        </w:tc>
        <w:tc>
          <w:tcPr>
            <w:tcW w:type="dxa" w:w="4320"/>
            <w:tcMar>
              <w:top w:w="90" w:type="dxa"/>
              <w:start w:w="100" w:type="dxa"/>
              <w:bottom w:w="90" w:type="dxa"/>
              <w:end w:w="100" w:type="dxa"/>
            </w:tcMar>
            <w:vAlign w:val="top"/>
          </w:tcPr>
          <w:p>
            <w:r>
              <w:rPr>
                <w:sz w:val="15"/>
              </w:rPr>
              <w:t>Make search results predictable and useful.</w:t>
            </w:r>
          </w:p>
        </w:tc>
      </w:tr>
      <w:tr>
        <w:trPr>
          <w:cantSplit/>
        </w:trPr>
        <w:tc>
          <w:tcPr>
            <w:tcW w:type="dxa" w:w="504"/>
            <w:tcMar>
              <w:top w:w="90" w:type="dxa"/>
              <w:start w:w="100" w:type="dxa"/>
              <w:bottom w:w="90" w:type="dxa"/>
              <w:end w:w="100" w:type="dxa"/>
            </w:tcMar>
            <w:vAlign w:val="top"/>
          </w:tcPr>
          <w:p>
            <w:r>
              <w:rPr>
                <w:sz w:val="15"/>
              </w:rPr>
              <w:t>5</w:t>
            </w:r>
          </w:p>
        </w:tc>
        <w:tc>
          <w:tcPr>
            <w:tcW w:type="dxa" w:w="2160"/>
            <w:tcMar>
              <w:top w:w="90" w:type="dxa"/>
              <w:start w:w="100" w:type="dxa"/>
              <w:bottom w:w="90" w:type="dxa"/>
              <w:end w:w="100" w:type="dxa"/>
            </w:tcMar>
            <w:vAlign w:val="top"/>
          </w:tcPr>
          <w:p>
            <w:r>
              <w:rPr>
                <w:sz w:val="15"/>
              </w:rPr>
              <w:t>Borrower-aware lending</w:t>
            </w:r>
          </w:p>
        </w:tc>
        <w:tc>
          <w:tcPr>
            <w:tcW w:type="dxa" w:w="3816"/>
            <w:tcMar>
              <w:top w:w="90" w:type="dxa"/>
              <w:start w:w="100" w:type="dxa"/>
              <w:bottom w:w="90" w:type="dxa"/>
              <w:end w:w="100" w:type="dxa"/>
            </w:tcMar>
            <w:vAlign w:val="top"/>
          </w:tcPr>
          <w:p>
            <w:r>
              <w:rPr>
                <w:sz w:val="15"/>
              </w:rPr>
              <w:t>Added Loan records, borrower ID, loan ID, quantity and status.</w:t>
            </w:r>
          </w:p>
        </w:tc>
        <w:tc>
          <w:tcPr>
            <w:tcW w:type="dxa" w:w="4320"/>
            <w:tcMar>
              <w:top w:w="90" w:type="dxa"/>
              <w:start w:w="100" w:type="dxa"/>
              <w:bottom w:w="90" w:type="dxa"/>
              <w:end w:w="100" w:type="dxa"/>
            </w:tcMar>
            <w:vAlign w:val="top"/>
          </w:tcPr>
          <w:p>
            <w:r>
              <w:rPr>
                <w:sz w:val="15"/>
              </w:rPr>
              <w:t>Answer who borrowed what and support richer future APIs.</w:t>
            </w:r>
          </w:p>
        </w:tc>
      </w:tr>
      <w:tr>
        <w:trPr>
          <w:cantSplit/>
        </w:trPr>
        <w:tc>
          <w:tcPr>
            <w:tcW w:type="dxa" w:w="504"/>
            <w:tcMar>
              <w:top w:w="90" w:type="dxa"/>
              <w:start w:w="100" w:type="dxa"/>
              <w:bottom w:w="90" w:type="dxa"/>
              <w:end w:w="100" w:type="dxa"/>
            </w:tcMar>
            <w:vAlign w:val="top"/>
          </w:tcPr>
          <w:p>
            <w:r>
              <w:rPr>
                <w:sz w:val="15"/>
              </w:rPr>
              <w:t>6</w:t>
            </w:r>
          </w:p>
        </w:tc>
        <w:tc>
          <w:tcPr>
            <w:tcW w:type="dxa" w:w="2160"/>
            <w:tcMar>
              <w:top w:w="90" w:type="dxa"/>
              <w:start w:w="100" w:type="dxa"/>
              <w:bottom w:w="90" w:type="dxa"/>
              <w:end w:w="100" w:type="dxa"/>
            </w:tcMar>
            <w:vAlign w:val="top"/>
          </w:tcPr>
          <w:p>
            <w:r>
              <w:rPr>
                <w:sz w:val="15"/>
              </w:rPr>
              <w:t>Dates and due dates</w:t>
            </w:r>
          </w:p>
        </w:tc>
        <w:tc>
          <w:tcPr>
            <w:tcW w:type="dxa" w:w="3816"/>
            <w:tcMar>
              <w:top w:w="90" w:type="dxa"/>
              <w:start w:w="100" w:type="dxa"/>
              <w:bottom w:w="90" w:type="dxa"/>
              <w:end w:w="100" w:type="dxa"/>
            </w:tcMar>
            <w:vAlign w:val="top"/>
          </w:tcPr>
          <w:p>
            <w:r>
              <w:rPr>
                <w:sz w:val="15"/>
              </w:rPr>
              <w:t>Borrow timestamp, configurable due date, optional return timestamp.</w:t>
            </w:r>
          </w:p>
        </w:tc>
        <w:tc>
          <w:tcPr>
            <w:tcW w:type="dxa" w:w="4320"/>
            <w:tcMar>
              <w:top w:w="90" w:type="dxa"/>
              <w:start w:w="100" w:type="dxa"/>
              <w:bottom w:w="90" w:type="dxa"/>
              <w:end w:w="100" w:type="dxa"/>
            </w:tcMar>
            <w:vAlign w:val="top"/>
          </w:tcPr>
          <w:p>
            <w:r>
              <w:rPr>
                <w:sz w:val="15"/>
              </w:rPr>
              <w:t>Represent real loan lifecycle without adding fines yet.</w:t>
            </w:r>
          </w:p>
        </w:tc>
      </w:tr>
      <w:tr>
        <w:trPr>
          <w:cantSplit/>
        </w:trPr>
        <w:tc>
          <w:tcPr>
            <w:tcW w:type="dxa" w:w="504"/>
            <w:tcMar>
              <w:top w:w="90" w:type="dxa"/>
              <w:start w:w="100" w:type="dxa"/>
              <w:bottom w:w="90" w:type="dxa"/>
              <w:end w:w="100" w:type="dxa"/>
            </w:tcMar>
            <w:vAlign w:val="top"/>
          </w:tcPr>
          <w:p>
            <w:r>
              <w:rPr>
                <w:sz w:val="15"/>
              </w:rPr>
              <w:t>7</w:t>
            </w:r>
          </w:p>
        </w:tc>
        <w:tc>
          <w:tcPr>
            <w:tcW w:type="dxa" w:w="2160"/>
            <w:tcMar>
              <w:top w:w="90" w:type="dxa"/>
              <w:start w:w="100" w:type="dxa"/>
              <w:bottom w:w="90" w:type="dxa"/>
              <w:end w:w="100" w:type="dxa"/>
            </w:tcMar>
            <w:vAlign w:val="top"/>
          </w:tcPr>
          <w:p>
            <w:r>
              <w:rPr>
                <w:sz w:val="15"/>
              </w:rPr>
              <w:t>Acquisition status</w:t>
            </w:r>
          </w:p>
        </w:tc>
        <w:tc>
          <w:tcPr>
            <w:tcW w:type="dxa" w:w="3816"/>
            <w:tcMar>
              <w:top w:w="90" w:type="dxa"/>
              <w:start w:w="100" w:type="dxa"/>
              <w:bottom w:w="90" w:type="dxa"/>
              <w:end w:w="100" w:type="dxa"/>
            </w:tcMar>
            <w:vAlign w:val="top"/>
          </w:tcPr>
          <w:p>
            <w:r>
              <w:rPr>
                <w:sz w:val="15"/>
              </w:rPr>
              <w:t>Introduced Requested/Approved/Rejected/Cancelled states.</w:t>
            </w:r>
          </w:p>
        </w:tc>
        <w:tc>
          <w:tcPr>
            <w:tcW w:type="dxa" w:w="4320"/>
            <w:tcMar>
              <w:top w:w="90" w:type="dxa"/>
              <w:start w:w="100" w:type="dxa"/>
              <w:bottom w:w="90" w:type="dxa"/>
              <w:end w:w="100" w:type="dxa"/>
            </w:tcMar>
            <w:vAlign w:val="top"/>
          </w:tcPr>
          <w:p>
            <w:r>
              <w:rPr>
                <w:sz w:val="15"/>
              </w:rPr>
              <w:t>Replace ambiguous boolean-only workflow representation.</w:t>
            </w:r>
          </w:p>
        </w:tc>
      </w:tr>
      <w:tr>
        <w:trPr>
          <w:cantSplit/>
        </w:trPr>
        <w:tc>
          <w:tcPr>
            <w:tcW w:type="dxa" w:w="504"/>
            <w:tcMar>
              <w:top w:w="90" w:type="dxa"/>
              <w:start w:w="100" w:type="dxa"/>
              <w:bottom w:w="90" w:type="dxa"/>
              <w:end w:w="100" w:type="dxa"/>
            </w:tcMar>
            <w:vAlign w:val="top"/>
          </w:tcPr>
          <w:p>
            <w:r>
              <w:rPr>
                <w:sz w:val="15"/>
              </w:rPr>
              <w:t>8</w:t>
            </w:r>
          </w:p>
        </w:tc>
        <w:tc>
          <w:tcPr>
            <w:tcW w:type="dxa" w:w="2160"/>
            <w:tcMar>
              <w:top w:w="90" w:type="dxa"/>
              <w:start w:w="100" w:type="dxa"/>
              <w:bottom w:w="90" w:type="dxa"/>
              <w:end w:w="100" w:type="dxa"/>
            </w:tcMar>
            <w:vAlign w:val="top"/>
          </w:tcPr>
          <w:p>
            <w:r>
              <w:rPr>
                <w:sz w:val="15"/>
              </w:rPr>
              <w:t>Richer vendor metadata</w:t>
            </w:r>
          </w:p>
        </w:tc>
        <w:tc>
          <w:tcPr>
            <w:tcW w:type="dxa" w:w="3816"/>
            <w:tcMar>
              <w:top w:w="90" w:type="dxa"/>
              <w:start w:w="100" w:type="dxa"/>
              <w:bottom w:w="90" w:type="dxa"/>
              <w:end w:w="100" w:type="dxa"/>
            </w:tcMar>
            <w:vAlign w:val="top"/>
          </w:tcPr>
          <w:p>
            <w:r>
              <w:rPr>
                <w:sz w:val="15"/>
              </w:rPr>
              <w:t>Added vendor ID, rating and estimated delivery days.</w:t>
            </w:r>
          </w:p>
        </w:tc>
        <w:tc>
          <w:tcPr>
            <w:tcW w:type="dxa" w:w="4320"/>
            <w:tcMar>
              <w:top w:w="90" w:type="dxa"/>
              <w:start w:w="100" w:type="dxa"/>
              <w:bottom w:w="90" w:type="dxa"/>
              <w:end w:w="100" w:type="dxa"/>
            </w:tcMar>
            <w:vAlign w:val="top"/>
          </w:tcPr>
          <w:p>
            <w:r>
              <w:rPr>
                <w:sz w:val="15"/>
              </w:rPr>
              <w:t>Support more meaningful deterministic vendor choices.</w:t>
            </w:r>
          </w:p>
        </w:tc>
      </w:tr>
      <w:tr>
        <w:trPr>
          <w:cantSplit/>
        </w:trPr>
        <w:tc>
          <w:tcPr>
            <w:tcW w:type="dxa" w:w="504"/>
            <w:tcMar>
              <w:top w:w="90" w:type="dxa"/>
              <w:start w:w="100" w:type="dxa"/>
              <w:bottom w:w="90" w:type="dxa"/>
              <w:end w:w="100" w:type="dxa"/>
            </w:tcMar>
            <w:vAlign w:val="top"/>
          </w:tcPr>
          <w:p>
            <w:r>
              <w:rPr>
                <w:sz w:val="15"/>
              </w:rPr>
              <w:t>9</w:t>
            </w:r>
          </w:p>
        </w:tc>
        <w:tc>
          <w:tcPr>
            <w:tcW w:type="dxa" w:w="2160"/>
            <w:tcMar>
              <w:top w:w="90" w:type="dxa"/>
              <w:start w:w="100" w:type="dxa"/>
              <w:bottom w:w="90" w:type="dxa"/>
              <w:end w:w="100" w:type="dxa"/>
            </w:tcMar>
            <w:vAlign w:val="top"/>
          </w:tcPr>
          <w:p>
            <w:r>
              <w:rPr>
                <w:sz w:val="15"/>
              </w:rPr>
              <w:t>Vendor selection modes</w:t>
            </w:r>
          </w:p>
        </w:tc>
        <w:tc>
          <w:tcPr>
            <w:tcW w:type="dxa" w:w="3816"/>
            <w:tcMar>
              <w:top w:w="90" w:type="dxa"/>
              <w:start w:w="100" w:type="dxa"/>
              <w:bottom w:w="90" w:type="dxa"/>
              <w:end w:w="100" w:type="dxa"/>
            </w:tcMar>
            <w:vAlign w:val="top"/>
          </w:tcPr>
          <w:p>
            <w:r>
              <w:rPr>
                <w:sz w:val="15"/>
              </w:rPr>
              <w:t>Cheapest, Fastest and HighestRated modes with deterministic ties.</w:t>
            </w:r>
          </w:p>
        </w:tc>
        <w:tc>
          <w:tcPr>
            <w:tcW w:type="dxa" w:w="4320"/>
            <w:tcMar>
              <w:top w:w="90" w:type="dxa"/>
              <w:start w:w="100" w:type="dxa"/>
              <w:bottom w:w="90" w:type="dxa"/>
              <w:end w:w="100" w:type="dxa"/>
            </w:tcMar>
            <w:vAlign w:val="top"/>
          </w:tcPr>
          <w:p>
            <w:r>
              <w:rPr>
                <w:sz w:val="15"/>
              </w:rPr>
              <w:t>Improve procurement behavior without ML complexity.</w:t>
            </w:r>
          </w:p>
        </w:tc>
      </w:tr>
      <w:tr>
        <w:trPr>
          <w:cantSplit/>
        </w:trPr>
        <w:tc>
          <w:tcPr>
            <w:tcW w:type="dxa" w:w="504"/>
            <w:tcMar>
              <w:top w:w="90" w:type="dxa"/>
              <w:start w:w="100" w:type="dxa"/>
              <w:bottom w:w="90" w:type="dxa"/>
              <w:end w:w="100" w:type="dxa"/>
            </w:tcMar>
            <w:vAlign w:val="top"/>
          </w:tcPr>
          <w:p>
            <w:r>
              <w:rPr>
                <w:sz w:val="15"/>
              </w:rPr>
              <w:t>10</w:t>
            </w:r>
          </w:p>
        </w:tc>
        <w:tc>
          <w:tcPr>
            <w:tcW w:type="dxa" w:w="2160"/>
            <w:tcMar>
              <w:top w:w="90" w:type="dxa"/>
              <w:start w:w="100" w:type="dxa"/>
              <w:bottom w:w="90" w:type="dxa"/>
              <w:end w:w="100" w:type="dxa"/>
            </w:tcMar>
            <w:vAlign w:val="top"/>
          </w:tcPr>
          <w:p>
            <w:r>
              <w:rPr>
                <w:sz w:val="15"/>
              </w:rPr>
              <w:t>Structured reporting</w:t>
            </w:r>
          </w:p>
        </w:tc>
        <w:tc>
          <w:tcPr>
            <w:tcW w:type="dxa" w:w="3816"/>
            <w:tcMar>
              <w:top w:w="90" w:type="dxa"/>
              <w:start w:w="100" w:type="dxa"/>
              <w:bottom w:w="90" w:type="dxa"/>
              <w:end w:w="100" w:type="dxa"/>
            </w:tcMar>
            <w:vAlign w:val="top"/>
          </w:tcPr>
          <w:p>
            <w:r>
              <w:rPr>
                <w:sz w:val="15"/>
              </w:rPr>
              <w:t>Added summary structs for budgets, categories, departments, acquisition and lending.</w:t>
            </w:r>
          </w:p>
        </w:tc>
        <w:tc>
          <w:tcPr>
            <w:tcW w:type="dxa" w:w="4320"/>
            <w:tcMar>
              <w:top w:w="90" w:type="dxa"/>
              <w:start w:w="100" w:type="dxa"/>
              <w:bottom w:w="90" w:type="dxa"/>
              <w:end w:w="100" w:type="dxa"/>
            </w:tcMar>
            <w:vAlign w:val="top"/>
          </w:tcPr>
          <w:p>
            <w:r>
              <w:rPr>
                <w:sz w:val="15"/>
              </w:rPr>
              <w:t>Future external layers should consume data, not parse console text.</w:t>
            </w:r>
          </w:p>
        </w:tc>
      </w:tr>
      <w:tr>
        <w:trPr>
          <w:cantSplit/>
        </w:trPr>
        <w:tc>
          <w:tcPr>
            <w:tcW w:type="dxa" w:w="504"/>
            <w:tcMar>
              <w:top w:w="90" w:type="dxa"/>
              <w:start w:w="100" w:type="dxa"/>
              <w:bottom w:w="90" w:type="dxa"/>
              <w:end w:w="100" w:type="dxa"/>
            </w:tcMar>
            <w:vAlign w:val="top"/>
          </w:tcPr>
          <w:p>
            <w:r>
              <w:rPr>
                <w:sz w:val="15"/>
              </w:rPr>
              <w:t>11</w:t>
            </w:r>
          </w:p>
        </w:tc>
        <w:tc>
          <w:tcPr>
            <w:tcW w:type="dxa" w:w="2160"/>
            <w:tcMar>
              <w:top w:w="90" w:type="dxa"/>
              <w:start w:w="100" w:type="dxa"/>
              <w:bottom w:w="90" w:type="dxa"/>
              <w:end w:w="100" w:type="dxa"/>
            </w:tcMar>
            <w:vAlign w:val="top"/>
          </w:tcPr>
          <w:p>
            <w:r>
              <w:rPr>
                <w:sz w:val="15"/>
              </w:rPr>
              <w:t>Utilization metrics</w:t>
            </w:r>
          </w:p>
        </w:tc>
        <w:tc>
          <w:tcPr>
            <w:tcW w:type="dxa" w:w="3816"/>
            <w:tcMar>
              <w:top w:w="90" w:type="dxa"/>
              <w:start w:w="100" w:type="dxa"/>
              <w:bottom w:w="90" w:type="dxa"/>
              <w:end w:w="100" w:type="dxa"/>
            </w:tcMar>
            <w:vAlign w:val="top"/>
          </w:tcPr>
          <w:p>
            <w:r>
              <w:rPr>
                <w:sz w:val="15"/>
              </w:rPr>
              <w:t>Added budget/category/unit/title utilization percentages.</w:t>
            </w:r>
          </w:p>
        </w:tc>
        <w:tc>
          <w:tcPr>
            <w:tcW w:type="dxa" w:w="4320"/>
            <w:tcMar>
              <w:top w:w="90" w:type="dxa"/>
              <w:start w:w="100" w:type="dxa"/>
              <w:bottom w:w="90" w:type="dxa"/>
              <w:end w:w="100" w:type="dxa"/>
            </w:tcMar>
            <w:vAlign w:val="top"/>
          </w:tcPr>
          <w:p>
            <w:r>
              <w:rPr>
                <w:sz w:val="15"/>
              </w:rPr>
              <w:t>Improve observability and decision support.</w:t>
            </w:r>
          </w:p>
        </w:tc>
      </w:tr>
      <w:tr>
        <w:trPr>
          <w:cantSplit/>
        </w:trPr>
        <w:tc>
          <w:tcPr>
            <w:tcW w:type="dxa" w:w="504"/>
            <w:tcMar>
              <w:top w:w="90" w:type="dxa"/>
              <w:start w:w="100" w:type="dxa"/>
              <w:bottom w:w="90" w:type="dxa"/>
              <w:end w:w="100" w:type="dxa"/>
            </w:tcMar>
            <w:vAlign w:val="top"/>
          </w:tcPr>
          <w:p>
            <w:r>
              <w:rPr>
                <w:sz w:val="15"/>
              </w:rPr>
              <w:t>12</w:t>
            </w:r>
          </w:p>
        </w:tc>
        <w:tc>
          <w:tcPr>
            <w:tcW w:type="dxa" w:w="2160"/>
            <w:tcMar>
              <w:top w:w="90" w:type="dxa"/>
              <w:start w:w="100" w:type="dxa"/>
              <w:bottom w:w="90" w:type="dxa"/>
              <w:end w:w="100" w:type="dxa"/>
            </w:tcMar>
            <w:vAlign w:val="top"/>
          </w:tcPr>
          <w:p>
            <w:r>
              <w:rPr>
                <w:sz w:val="15"/>
              </w:rPr>
              <w:t>Event history</w:t>
            </w:r>
          </w:p>
        </w:tc>
        <w:tc>
          <w:tcPr>
            <w:tcW w:type="dxa" w:w="3816"/>
            <w:tcMar>
              <w:top w:w="90" w:type="dxa"/>
              <w:start w:w="100" w:type="dxa"/>
              <w:bottom w:w="90" w:type="dxa"/>
              <w:end w:w="100" w:type="dxa"/>
            </w:tcMar>
            <w:vAlign w:val="top"/>
          </w:tcPr>
          <w:p>
            <w:r>
              <w:rPr>
                <w:sz w:val="15"/>
              </w:rPr>
              <w:t>Added lightweight Purchase/Cancel/Borrow/Return chronological events.</w:t>
            </w:r>
          </w:p>
        </w:tc>
        <w:tc>
          <w:tcPr>
            <w:tcW w:type="dxa" w:w="4320"/>
            <w:tcMar>
              <w:top w:w="90" w:type="dxa"/>
              <w:start w:w="100" w:type="dxa"/>
              <w:bottom w:w="90" w:type="dxa"/>
              <w:end w:w="100" w:type="dxa"/>
            </w:tcMar>
            <w:vAlign w:val="top"/>
          </w:tcPr>
          <w:p>
            <w:r>
              <w:rPr>
                <w:sz w:val="15"/>
              </w:rPr>
              <w:t>Prepare for audit, analytics and future AI explanations.</w:t>
            </w:r>
          </w:p>
        </w:tc>
      </w:tr>
      <w:tr>
        <w:trPr>
          <w:cantSplit/>
        </w:trPr>
        <w:tc>
          <w:tcPr>
            <w:tcW w:type="dxa" w:w="504"/>
            <w:tcMar>
              <w:top w:w="90" w:type="dxa"/>
              <w:start w:w="100" w:type="dxa"/>
              <w:bottom w:w="90" w:type="dxa"/>
              <w:end w:w="100" w:type="dxa"/>
            </w:tcMar>
            <w:vAlign w:val="top"/>
          </w:tcPr>
          <w:p>
            <w:r>
              <w:rPr>
                <w:sz w:val="15"/>
              </w:rPr>
              <w:t>13</w:t>
            </w:r>
          </w:p>
        </w:tc>
        <w:tc>
          <w:tcPr>
            <w:tcW w:type="dxa" w:w="2160"/>
            <w:tcMar>
              <w:top w:w="90" w:type="dxa"/>
              <w:start w:w="100" w:type="dxa"/>
              <w:bottom w:w="90" w:type="dxa"/>
              <w:end w:w="100" w:type="dxa"/>
            </w:tcMar>
            <w:vAlign w:val="top"/>
          </w:tcPr>
          <w:p>
            <w:r>
              <w:rPr>
                <w:sz w:val="15"/>
              </w:rPr>
              <w:t>Configuration cleanup</w:t>
            </w:r>
          </w:p>
        </w:tc>
        <w:tc>
          <w:tcPr>
            <w:tcW w:type="dxa" w:w="3816"/>
            <w:tcMar>
              <w:top w:w="90" w:type="dxa"/>
              <w:start w:w="100" w:type="dxa"/>
              <w:bottom w:w="90" w:type="dxa"/>
              <w:end w:w="100" w:type="dxa"/>
            </w:tcMar>
            <w:vAlign w:val="top"/>
          </w:tcPr>
          <w:p>
            <w:r>
              <w:rPr>
                <w:sz w:val="15"/>
              </w:rPr>
              <w:t>Consolidated defaults such as tax rates, loan period and vendor selection.</w:t>
            </w:r>
          </w:p>
        </w:tc>
        <w:tc>
          <w:tcPr>
            <w:tcW w:type="dxa" w:w="4320"/>
            <w:tcMar>
              <w:top w:w="90" w:type="dxa"/>
              <w:start w:w="100" w:type="dxa"/>
              <w:bottom w:w="90" w:type="dxa"/>
              <w:end w:w="100" w:type="dxa"/>
            </w:tcMar>
            <w:vAlign w:val="top"/>
          </w:tcPr>
          <w:p>
            <w:r>
              <w:rPr>
                <w:sz w:val="15"/>
              </w:rPr>
              <w:t>Reduce scattered hardcoding.</w:t>
            </w:r>
          </w:p>
        </w:tc>
      </w:tr>
      <w:tr>
        <w:trPr>
          <w:cantSplit/>
        </w:trPr>
        <w:tc>
          <w:tcPr>
            <w:tcW w:type="dxa" w:w="504"/>
            <w:tcMar>
              <w:top w:w="90" w:type="dxa"/>
              <w:start w:w="100" w:type="dxa"/>
              <w:bottom w:w="90" w:type="dxa"/>
              <w:end w:w="100" w:type="dxa"/>
            </w:tcMar>
            <w:vAlign w:val="top"/>
          </w:tcPr>
          <w:p>
            <w:r>
              <w:rPr>
                <w:sz w:val="15"/>
              </w:rPr>
              <w:t>14</w:t>
            </w:r>
          </w:p>
        </w:tc>
        <w:tc>
          <w:tcPr>
            <w:tcW w:type="dxa" w:w="2160"/>
            <w:tcMar>
              <w:top w:w="90" w:type="dxa"/>
              <w:start w:w="100" w:type="dxa"/>
              <w:bottom w:w="90" w:type="dxa"/>
              <w:end w:w="100" w:type="dxa"/>
            </w:tcMar>
            <w:vAlign w:val="top"/>
          </w:tcPr>
          <w:p>
            <w:r>
              <w:rPr>
                <w:sz w:val="15"/>
              </w:rPr>
              <w:t>Money polish</w:t>
            </w:r>
          </w:p>
        </w:tc>
        <w:tc>
          <w:tcPr>
            <w:tcW w:type="dxa" w:w="3816"/>
            <w:tcMar>
              <w:top w:w="90" w:type="dxa"/>
              <w:start w:w="100" w:type="dxa"/>
              <w:bottom w:w="90" w:type="dxa"/>
              <w:end w:w="100" w:type="dxa"/>
            </w:tcMar>
            <w:vAlign w:val="top"/>
          </w:tcPr>
          <w:p>
            <w:r>
              <w:rPr>
                <w:sz w:val="15"/>
              </w:rPr>
              <w:t>Added explicit currency-aware formatting while retaining numeric-only legacy format.</w:t>
            </w:r>
          </w:p>
        </w:tc>
        <w:tc>
          <w:tcPr>
            <w:tcW w:type="dxa" w:w="4320"/>
            <w:tcMar>
              <w:top w:w="90" w:type="dxa"/>
              <w:start w:w="100" w:type="dxa"/>
              <w:bottom w:w="90" w:type="dxa"/>
              <w:end w:w="100" w:type="dxa"/>
            </w:tcMar>
            <w:vAlign w:val="top"/>
          </w:tcPr>
          <w:p>
            <w:r>
              <w:rPr>
                <w:sz w:val="15"/>
              </w:rPr>
              <w:t>Improve display without breaking old reports.</w:t>
            </w:r>
          </w:p>
        </w:tc>
      </w:tr>
      <w:tr>
        <w:trPr>
          <w:cantSplit/>
        </w:trPr>
        <w:tc>
          <w:tcPr>
            <w:tcW w:type="dxa" w:w="504"/>
            <w:tcMar>
              <w:top w:w="90" w:type="dxa"/>
              <w:start w:w="100" w:type="dxa"/>
              <w:bottom w:w="90" w:type="dxa"/>
              <w:end w:w="100" w:type="dxa"/>
            </w:tcMar>
            <w:vAlign w:val="top"/>
          </w:tcPr>
          <w:p>
            <w:r>
              <w:rPr>
                <w:sz w:val="15"/>
              </w:rPr>
              <w:t>15</w:t>
            </w:r>
          </w:p>
        </w:tc>
        <w:tc>
          <w:tcPr>
            <w:tcW w:type="dxa" w:w="2160"/>
            <w:tcMar>
              <w:top w:w="90" w:type="dxa"/>
              <w:start w:w="100" w:type="dxa"/>
              <w:bottom w:w="90" w:type="dxa"/>
              <w:end w:w="100" w:type="dxa"/>
            </w:tcMar>
            <w:vAlign w:val="top"/>
          </w:tcPr>
          <w:p>
            <w:r>
              <w:rPr>
                <w:sz w:val="15"/>
              </w:rPr>
              <w:t>Synthetic data generation</w:t>
            </w:r>
          </w:p>
        </w:tc>
        <w:tc>
          <w:tcPr>
            <w:tcW w:type="dxa" w:w="3816"/>
            <w:tcMar>
              <w:top w:w="90" w:type="dxa"/>
              <w:start w:w="100" w:type="dxa"/>
              <w:bottom w:w="90" w:type="dxa"/>
              <w:end w:w="100" w:type="dxa"/>
            </w:tcMar>
            <w:vAlign w:val="top"/>
          </w:tcPr>
          <w:p>
            <w:r>
              <w:rPr>
                <w:sz w:val="15"/>
              </w:rPr>
              <w:t>Added deterministic mixed-resource catalog generation.</w:t>
            </w:r>
          </w:p>
        </w:tc>
        <w:tc>
          <w:tcPr>
            <w:tcW w:type="dxa" w:w="4320"/>
            <w:tcMar>
              <w:top w:w="90" w:type="dxa"/>
              <w:start w:w="100" w:type="dxa"/>
              <w:bottom w:w="90" w:type="dxa"/>
              <w:end w:w="100" w:type="dxa"/>
            </w:tcMar>
            <w:vAlign w:val="top"/>
          </w:tcPr>
          <w:p>
            <w:r>
              <w:rPr>
                <w:sz w:val="15"/>
              </w:rPr>
              <w:t>Enable reproducible large-data testing.</w:t>
            </w:r>
          </w:p>
        </w:tc>
      </w:tr>
      <w:tr>
        <w:trPr>
          <w:cantSplit/>
        </w:trPr>
        <w:tc>
          <w:tcPr>
            <w:tcW w:type="dxa" w:w="504"/>
            <w:tcMar>
              <w:top w:w="90" w:type="dxa"/>
              <w:start w:w="100" w:type="dxa"/>
              <w:bottom w:w="90" w:type="dxa"/>
              <w:end w:w="100" w:type="dxa"/>
            </w:tcMar>
            <w:vAlign w:val="top"/>
          </w:tcPr>
          <w:p>
            <w:r>
              <w:rPr>
                <w:sz w:val="15"/>
              </w:rPr>
              <w:t>16</w:t>
            </w:r>
          </w:p>
        </w:tc>
        <w:tc>
          <w:tcPr>
            <w:tcW w:type="dxa" w:w="2160"/>
            <w:tcMar>
              <w:top w:w="90" w:type="dxa"/>
              <w:start w:w="100" w:type="dxa"/>
              <w:bottom w:w="90" w:type="dxa"/>
              <w:end w:w="100" w:type="dxa"/>
            </w:tcMar>
            <w:vAlign w:val="top"/>
          </w:tcPr>
          <w:p>
            <w:r>
              <w:rPr>
                <w:sz w:val="15"/>
              </w:rPr>
              <w:t>Performance benchmark</w:t>
            </w:r>
          </w:p>
        </w:tc>
        <w:tc>
          <w:tcPr>
            <w:tcW w:type="dxa" w:w="3816"/>
            <w:tcMar>
              <w:top w:w="90" w:type="dxa"/>
              <w:start w:w="100" w:type="dxa"/>
              <w:bottom w:w="90" w:type="dxa"/>
              <w:end w:w="100" w:type="dxa"/>
            </w:tcMar>
            <w:vAlign w:val="top"/>
          </w:tcPr>
          <w:p>
            <w:r>
              <w:rPr>
                <w:sz w:val="15"/>
              </w:rPr>
              <w:t>Measured generation, ID lookup and multiple search operations.</w:t>
            </w:r>
          </w:p>
        </w:tc>
        <w:tc>
          <w:tcPr>
            <w:tcW w:type="dxa" w:w="4320"/>
            <w:tcMar>
              <w:top w:w="90" w:type="dxa"/>
              <w:start w:w="100" w:type="dxa"/>
              <w:bottom w:w="90" w:type="dxa"/>
              <w:end w:w="100" w:type="dxa"/>
            </w:tcMar>
            <w:vAlign w:val="top"/>
          </w:tcPr>
          <w:p>
            <w:r>
              <w:rPr>
                <w:sz w:val="15"/>
              </w:rPr>
              <w:t>Quantify in-memory scalability and establish a V2 baseline.</w:t>
            </w:r>
          </w:p>
        </w:tc>
      </w:tr>
      <w:tr>
        <w:trPr>
          <w:cantSplit/>
        </w:trPr>
        <w:tc>
          <w:tcPr>
            <w:tcW w:type="dxa" w:w="504"/>
            <w:tcMar>
              <w:top w:w="90" w:type="dxa"/>
              <w:start w:w="100" w:type="dxa"/>
              <w:bottom w:w="90" w:type="dxa"/>
              <w:end w:w="100" w:type="dxa"/>
            </w:tcMar>
            <w:vAlign w:val="top"/>
          </w:tcPr>
          <w:p>
            <w:r>
              <w:rPr>
                <w:sz w:val="15"/>
              </w:rPr>
              <w:t>17</w:t>
            </w:r>
          </w:p>
        </w:tc>
        <w:tc>
          <w:tcPr>
            <w:tcW w:type="dxa" w:w="2160"/>
            <w:tcMar>
              <w:top w:w="90" w:type="dxa"/>
              <w:start w:w="100" w:type="dxa"/>
              <w:bottom w:w="90" w:type="dxa"/>
              <w:end w:w="100" w:type="dxa"/>
            </w:tcMar>
            <w:vAlign w:val="top"/>
          </w:tcPr>
          <w:p>
            <w:r>
              <w:rPr>
                <w:sz w:val="15"/>
              </w:rPr>
              <w:t>Test reorganization</w:t>
            </w:r>
          </w:p>
        </w:tc>
        <w:tc>
          <w:tcPr>
            <w:tcW w:type="dxa" w:w="3816"/>
            <w:tcMar>
              <w:top w:w="90" w:type="dxa"/>
              <w:start w:w="100" w:type="dxa"/>
              <w:bottom w:w="90" w:type="dxa"/>
              <w:end w:w="100" w:type="dxa"/>
            </w:tcMar>
            <w:vAlign w:val="top"/>
          </w:tcPr>
          <w:p>
            <w:r>
              <w:rPr>
                <w:sz w:val="15"/>
              </w:rPr>
              <w:t>Split tests into logical files while retaining assert semantics.</w:t>
            </w:r>
          </w:p>
        </w:tc>
        <w:tc>
          <w:tcPr>
            <w:tcW w:type="dxa" w:w="4320"/>
            <w:tcMar>
              <w:top w:w="90" w:type="dxa"/>
              <w:start w:w="100" w:type="dxa"/>
              <w:bottom w:w="90" w:type="dxa"/>
              <w:end w:w="100" w:type="dxa"/>
            </w:tcMar>
            <w:vAlign w:val="top"/>
          </w:tcPr>
          <w:p>
            <w:r>
              <w:rPr>
                <w:sz w:val="15"/>
              </w:rPr>
              <w:t>Improve maintainability and future regression work.</w:t>
            </w:r>
          </w:p>
        </w:tc>
      </w:tr>
      <w:tr>
        <w:trPr>
          <w:cantSplit/>
        </w:trPr>
        <w:tc>
          <w:tcPr>
            <w:tcW w:type="dxa" w:w="504"/>
            <w:tcMar>
              <w:top w:w="90" w:type="dxa"/>
              <w:start w:w="100" w:type="dxa"/>
              <w:bottom w:w="90" w:type="dxa"/>
              <w:end w:w="100" w:type="dxa"/>
            </w:tcMar>
            <w:vAlign w:val="top"/>
          </w:tcPr>
          <w:p>
            <w:r>
              <w:rPr>
                <w:sz w:val="15"/>
              </w:rPr>
              <w:t>18</w:t>
            </w:r>
          </w:p>
        </w:tc>
        <w:tc>
          <w:tcPr>
            <w:tcW w:type="dxa" w:w="2160"/>
            <w:tcMar>
              <w:top w:w="90" w:type="dxa"/>
              <w:start w:w="100" w:type="dxa"/>
              <w:bottom w:w="90" w:type="dxa"/>
              <w:end w:w="100" w:type="dxa"/>
            </w:tcMar>
            <w:vAlign w:val="top"/>
          </w:tcPr>
          <w:p>
            <w:r>
              <w:rPr>
                <w:sz w:val="15"/>
              </w:rPr>
              <w:t>Exception safety</w:t>
            </w:r>
          </w:p>
        </w:tc>
        <w:tc>
          <w:tcPr>
            <w:tcW w:type="dxa" w:w="3816"/>
            <w:tcMar>
              <w:top w:w="90" w:type="dxa"/>
              <w:start w:w="100" w:type="dxa"/>
              <w:bottom w:w="90" w:type="dxa"/>
              <w:end w:w="100" w:type="dxa"/>
            </w:tcMar>
            <w:vAlign w:val="top"/>
          </w:tcPr>
          <w:p>
            <w:r>
              <w:rPr>
                <w:sz w:val="15"/>
              </w:rPr>
              <w:t>Strengthened transaction-safe ordering of validation/calculation/commit.</w:t>
            </w:r>
          </w:p>
        </w:tc>
        <w:tc>
          <w:tcPr>
            <w:tcW w:type="dxa" w:w="4320"/>
            <w:tcMar>
              <w:top w:w="90" w:type="dxa"/>
              <w:start w:w="100" w:type="dxa"/>
              <w:bottom w:w="90" w:type="dxa"/>
              <w:end w:w="100" w:type="dxa"/>
            </w:tcMar>
            <w:vAlign w:val="top"/>
          </w:tcPr>
          <w:p>
            <w:r>
              <w:rPr>
                <w:sz w:val="15"/>
              </w:rPr>
              <w:t>Avoid partially committed state on failure.</w:t>
            </w:r>
          </w:p>
        </w:tc>
      </w:tr>
      <w:tr>
        <w:trPr>
          <w:cantSplit/>
        </w:trPr>
        <w:tc>
          <w:tcPr>
            <w:tcW w:type="dxa" w:w="504"/>
            <w:tcMar>
              <w:top w:w="90" w:type="dxa"/>
              <w:start w:w="100" w:type="dxa"/>
              <w:bottom w:w="90" w:type="dxa"/>
              <w:end w:w="100" w:type="dxa"/>
            </w:tcMar>
            <w:vAlign w:val="top"/>
          </w:tcPr>
          <w:p>
            <w:r>
              <w:rPr>
                <w:sz w:val="15"/>
              </w:rPr>
              <w:t>19</w:t>
            </w:r>
          </w:p>
        </w:tc>
        <w:tc>
          <w:tcPr>
            <w:tcW w:type="dxa" w:w="2160"/>
            <w:tcMar>
              <w:top w:w="90" w:type="dxa"/>
              <w:start w:w="100" w:type="dxa"/>
              <w:bottom w:w="90" w:type="dxa"/>
              <w:end w:w="100" w:type="dxa"/>
            </w:tcMar>
            <w:vAlign w:val="top"/>
          </w:tcPr>
          <w:p>
            <w:r>
              <w:rPr>
                <w:sz w:val="15"/>
              </w:rPr>
              <w:t>Fault injection</w:t>
            </w:r>
          </w:p>
        </w:tc>
        <w:tc>
          <w:tcPr>
            <w:tcW w:type="dxa" w:w="3816"/>
            <w:tcMar>
              <w:top w:w="90" w:type="dxa"/>
              <w:start w:w="100" w:type="dxa"/>
              <w:bottom w:w="90" w:type="dxa"/>
              <w:end w:w="100" w:type="dxa"/>
            </w:tcMar>
            <w:vAlign w:val="top"/>
          </w:tcPr>
          <w:p>
            <w:r>
              <w:rPr>
                <w:sz w:val="15"/>
              </w:rPr>
              <w:t>Added allocation-failure rollback tests.</w:t>
            </w:r>
          </w:p>
        </w:tc>
        <w:tc>
          <w:tcPr>
            <w:tcW w:type="dxa" w:w="4320"/>
            <w:tcMar>
              <w:top w:w="90" w:type="dxa"/>
              <w:start w:w="100" w:type="dxa"/>
              <w:bottom w:w="90" w:type="dxa"/>
              <w:end w:w="100" w:type="dxa"/>
            </w:tcMar>
            <w:vAlign w:val="top"/>
          </w:tcPr>
          <w:p>
            <w:r>
              <w:rPr>
                <w:sz w:val="15"/>
              </w:rPr>
              <w:t>Verify strong exception-safety behavior under memory allocation failure.</w:t>
            </w:r>
          </w:p>
        </w:tc>
      </w:tr>
      <w:tr>
        <w:trPr>
          <w:cantSplit/>
        </w:trPr>
        <w:tc>
          <w:tcPr>
            <w:tcW w:type="dxa" w:w="504"/>
            <w:tcMar>
              <w:top w:w="90" w:type="dxa"/>
              <w:start w:w="100" w:type="dxa"/>
              <w:bottom w:w="90" w:type="dxa"/>
              <w:end w:w="100" w:type="dxa"/>
            </w:tcMar>
            <w:vAlign w:val="top"/>
          </w:tcPr>
          <w:p>
            <w:r>
              <w:rPr>
                <w:sz w:val="15"/>
              </w:rPr>
              <w:t>20</w:t>
            </w:r>
          </w:p>
        </w:tc>
        <w:tc>
          <w:tcPr>
            <w:tcW w:type="dxa" w:w="2160"/>
            <w:tcMar>
              <w:top w:w="90" w:type="dxa"/>
              <w:start w:w="100" w:type="dxa"/>
              <w:bottom w:w="90" w:type="dxa"/>
              <w:end w:w="100" w:type="dxa"/>
            </w:tcMar>
            <w:vAlign w:val="top"/>
          </w:tcPr>
          <w:p>
            <w:r>
              <w:rPr>
                <w:sz w:val="15"/>
              </w:rPr>
              <w:t>Release stabilization</w:t>
            </w:r>
          </w:p>
        </w:tc>
        <w:tc>
          <w:tcPr>
            <w:tcW w:type="dxa" w:w="3816"/>
            <w:tcMar>
              <w:top w:w="90" w:type="dxa"/>
              <w:start w:w="100" w:type="dxa"/>
              <w:bottom w:w="90" w:type="dxa"/>
              <w:end w:w="100" w:type="dxa"/>
            </w:tcMar>
            <w:vAlign w:val="top"/>
          </w:tcPr>
          <w:p>
            <w:r>
              <w:rPr>
                <w:sz w:val="15"/>
              </w:rPr>
              <w:t>README, benchmark timing, demo visibility, comments and .gitignore were polished without changing domain semantics.</w:t>
            </w:r>
          </w:p>
        </w:tc>
        <w:tc>
          <w:tcPr>
            <w:tcW w:type="dxa" w:w="4320"/>
            <w:tcMar>
              <w:top w:w="90" w:type="dxa"/>
              <w:start w:w="100" w:type="dxa"/>
              <w:bottom w:w="90" w:type="dxa"/>
              <w:end w:w="100" w:type="dxa"/>
            </w:tcMar>
            <w:vAlign w:val="top"/>
          </w:tcPr>
          <w:p>
            <w:r>
              <w:rPr>
                <w:sz w:val="15"/>
              </w:rPr>
              <w:t>Freeze V1 safely instead of adding new scope.</w:t>
            </w:r>
          </w:p>
        </w:tc>
      </w:tr>
    </w:tbl>
    <w:p/>
    <w:p>
      <w:pPr>
        <w:pStyle w:val="Heading1"/>
      </w:pPr>
      <w:r>
        <w:t>Architecture and Component Responsibilities</w:t>
      </w:r>
    </w:p>
    <w:p>
      <w:pPr>
        <w:keepNext w:val="0"/>
      </w:pPr>
      <w:r>
        <w:t>V1 is a modular in-memory domain system. There is no database repository abstraction yet; object state lives in process memory. The architecture is intentionally simple enough that domain rules can be tested directly and deterministically.</w:t>
      </w:r>
    </w:p>
    <w:p>
      <w:pPr>
        <w:pStyle w:val="Heading2"/>
      </w:pPr>
      <w:r>
        <w:t>High-level flow</w:t>
      </w:r>
    </w:p>
    <w:p>
      <w:pPr>
        <w:pStyle w:val="CodeBlock"/>
        <w:keepNext w:val="0"/>
        <w:keepLines/>
        <w:shd w:fill="F5F7F9"/>
      </w:pPr>
      <w:r>
        <w:t>Caller / demo / tests</w:t>
      </w:r>
      <w:r>
        <w:br/>
      </w:r>
      <w:r>
        <w:t xml:space="preserve">        |</w:t>
      </w:r>
      <w:r>
        <w:br/>
      </w:r>
      <w:r>
        <w:t xml:space="preserve">        v</w:t>
      </w:r>
      <w:r>
        <w:br/>
      </w:r>
      <w:r>
        <w:t>AcquisitionManager -----&gt; Vendor offers</w:t>
      </w:r>
      <w:r>
        <w:br/>
      </w:r>
      <w:r>
        <w:t xml:space="preserve">        |                      |</w:t>
      </w:r>
      <w:r>
        <w:br/>
      </w:r>
      <w:r>
        <w:t xml:space="preserve">        v                      v</w:t>
      </w:r>
      <w:r>
        <w:br/>
      </w:r>
      <w:r>
        <w:t xml:space="preserve">      Resource ----------&gt; Resource pricing rules</w:t>
      </w:r>
      <w:r>
        <w:br/>
      </w:r>
      <w:r>
        <w:t xml:space="preserve">        |</w:t>
      </w:r>
      <w:r>
        <w:br/>
      </w:r>
      <w:r>
        <w:t xml:space="preserve">        +----&gt; Budget (allocation / quota / refund)</w:t>
      </w:r>
      <w:r>
        <w:br/>
      </w:r>
      <w:r>
        <w:t xml:space="preserve">        |</w:t>
      </w:r>
      <w:r>
        <w:br/>
      </w:r>
      <w:r>
        <w:t xml:space="preserve">        +----&gt; Catalog (resource ownership / holdings / history)</w:t>
      </w:r>
      <w:r>
        <w:br/>
      </w:r>
      <w:r>
        <w:t xml:space="preserve">                     |</w:t>
      </w:r>
      <w:r>
        <w:br/>
      </w:r>
      <w:r>
        <w:t xml:space="preserve">                     +----&gt; Lending (loans / due dates / returns)</w:t>
      </w:r>
    </w:p>
    <w:p>
      <w:pPr>
        <w:pStyle w:val="Heading2"/>
      </w:pPr>
      <w:r>
        <w:t>Separation of concerns</w:t>
      </w:r>
    </w:p>
    <w:p>
      <w:pPr>
        <w:pStyle w:val="ListBullet"/>
      </w:pPr>
      <w:r>
        <w:t>Resource subclasses calculate intrinsic pre-tax cost; they do not enforce department budgets.</w:t>
      </w:r>
    </w:p>
    <w:p>
      <w:pPr>
        <w:pStyle w:val="ListBullet"/>
      </w:pPr>
      <w:r>
        <w:t>AcquisitionManager applies tax and coordinates vendor, budget and inventory state.</w:t>
      </w:r>
    </w:p>
    <w:p>
      <w:pPr>
        <w:pStyle w:val="ListBullet"/>
      </w:pPr>
      <w:r>
        <w:t>Budget owns financial allocation/quota state; it does not own physical holdings.</w:t>
      </w:r>
    </w:p>
    <w:p>
      <w:pPr>
        <w:pStyle w:val="ListBullet"/>
      </w:pPr>
      <w:r>
        <w:t>Catalog owns resources and holdings and exposes lending/search/history operations.</w:t>
      </w:r>
    </w:p>
    <w:p>
      <w:pPr>
        <w:pStyle w:val="ListBullet"/>
      </w:pPr>
      <w:r>
        <w:t>Structured reports expose data so future layers do not need to parse console output.</w:t>
      </w:r>
    </w:p>
    <w:p>
      <w:pPr>
        <w:pStyle w:val="Heading1"/>
      </w:pPr>
      <w:r>
        <w:t>Domain Model and Resource Hierarchy</w:t>
      </w:r>
    </w:p>
    <w:p>
      <w:pPr>
        <w:keepNext w:val="0"/>
      </w:pPr>
      <w:r>
        <w:t>The resource hierarchy captures differences in metadata and intrinsic pricing. Category is a business concept and is not identical to the inheritance hierarchy; for example, Thesis is a direct Resource-derived type while still using Book business-category semantics.</w:t>
      </w:r>
    </w:p>
    <w:p>
      <w:pPr>
        <w:pStyle w:val="CodeBlock"/>
        <w:keepNext w:val="0"/>
        <w:keepLines/>
        <w:shd w:fill="F5F7F9"/>
      </w:pPr>
      <w:r>
        <w:t>Resource</w:t>
      </w:r>
      <w:r>
        <w:br/>
      </w:r>
      <w:r>
        <w:t>├── Book</w:t>
      </w:r>
      <w:r>
        <w:br/>
      </w:r>
      <w:r>
        <w:t>├── Journal</w:t>
      </w:r>
      <w:r>
        <w:br/>
      </w:r>
      <w:r>
        <w:t>├── Thesis</w:t>
      </w:r>
      <w:r>
        <w:br/>
      </w:r>
      <w:r>
        <w:t>└── ElectronicResource</w:t>
      </w:r>
      <w:r>
        <w:br/>
      </w:r>
      <w:r>
        <w:t xml:space="preserve">    ├── EBook</w:t>
      </w:r>
      <w:r>
        <w:br/>
      </w:r>
      <w:r>
        <w:t xml:space="preserve">    └── AudioBook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44A73"/>
            <w:tcMar>
              <w:top w:w="90" w:type="dxa"/>
              <w:start w:w="100" w:type="dxa"/>
              <w:bottom w:w="90" w:type="dxa"/>
              <w:end w:w="100" w:type="dxa"/>
            </w:tcMar>
          </w:tcPr>
          <w:p>
            <w:r>
              <w:rPr>
                <w:b/>
                <w:color w:val="FFFFFF"/>
                <w:sz w:val="16"/>
              </w:rPr>
              <w:t>Type</w:t>
            </w:r>
          </w:p>
        </w:tc>
        <w:tc>
          <w:tcPr>
            <w:tcW w:type="dxa" w:w="8352"/>
            <w:shd w:fill="244A73"/>
            <w:tcMar>
              <w:top w:w="90" w:type="dxa"/>
              <w:start w:w="100" w:type="dxa"/>
              <w:bottom w:w="90" w:type="dxa"/>
              <w:end w:w="100" w:type="dxa"/>
            </w:tcMar>
          </w:tcPr>
          <w:p>
            <w:r>
              <w:rPr>
                <w:b/>
                <w:color w:val="FFFFFF"/>
                <w:sz w:val="16"/>
              </w:rPr>
              <w:t>Distinct metadata / role</w:t>
            </w:r>
          </w:p>
        </w:tc>
      </w:tr>
      <w:tr>
        <w:trPr>
          <w:cantSplit/>
        </w:trPr>
        <w:tc>
          <w:tcPr>
            <w:tcW w:type="dxa" w:w="2448"/>
            <w:tcMar>
              <w:top w:w="90" w:type="dxa"/>
              <w:start w:w="100" w:type="dxa"/>
              <w:bottom w:w="90" w:type="dxa"/>
              <w:end w:w="100" w:type="dxa"/>
            </w:tcMar>
            <w:vAlign w:val="top"/>
          </w:tcPr>
          <w:p>
            <w:r>
              <w:rPr>
                <w:sz w:val="16"/>
              </w:rPr>
              <w:t>Resource</w:t>
            </w:r>
          </w:p>
        </w:tc>
        <w:tc>
          <w:tcPr>
            <w:tcW w:type="dxa" w:w="8352"/>
            <w:tcMar>
              <w:top w:w="90" w:type="dxa"/>
              <w:start w:w="100" w:type="dxa"/>
              <w:bottom w:w="90" w:type="dxa"/>
              <w:end w:w="100" w:type="dxa"/>
            </w:tcMar>
            <w:vAlign w:val="top"/>
          </w:tcPr>
          <w:p>
            <w:r>
              <w:rPr>
                <w:sz w:val="16"/>
              </w:rPr>
              <w:t>Stable ID, title, publisher/year, base Money, category, common validation.</w:t>
            </w:r>
          </w:p>
        </w:tc>
      </w:tr>
      <w:tr>
        <w:trPr>
          <w:cantSplit/>
        </w:trPr>
        <w:tc>
          <w:tcPr>
            <w:tcW w:type="dxa" w:w="2448"/>
            <w:tcMar>
              <w:top w:w="90" w:type="dxa"/>
              <w:start w:w="100" w:type="dxa"/>
              <w:bottom w:w="90" w:type="dxa"/>
              <w:end w:w="100" w:type="dxa"/>
            </w:tcMar>
            <w:vAlign w:val="top"/>
          </w:tcPr>
          <w:p>
            <w:r>
              <w:rPr>
                <w:sz w:val="16"/>
              </w:rPr>
              <w:t>Book</w:t>
            </w:r>
          </w:p>
        </w:tc>
        <w:tc>
          <w:tcPr>
            <w:tcW w:type="dxa" w:w="8352"/>
            <w:tcMar>
              <w:top w:w="90" w:type="dxa"/>
              <w:start w:w="100" w:type="dxa"/>
              <w:bottom w:w="90" w:type="dxa"/>
              <w:end w:w="100" w:type="dxa"/>
            </w:tcMar>
            <w:vAlign w:val="top"/>
          </w:tcPr>
          <w:p>
            <w:r>
              <w:rPr>
                <w:sz w:val="16"/>
              </w:rPr>
              <w:t>Authors, ISBN, binding/edition; hardcover pricing behavior.</w:t>
            </w:r>
          </w:p>
        </w:tc>
      </w:tr>
      <w:tr>
        <w:trPr>
          <w:cantSplit/>
        </w:trPr>
        <w:tc>
          <w:tcPr>
            <w:tcW w:type="dxa" w:w="2448"/>
            <w:tcMar>
              <w:top w:w="90" w:type="dxa"/>
              <w:start w:w="100" w:type="dxa"/>
              <w:bottom w:w="90" w:type="dxa"/>
              <w:end w:w="100" w:type="dxa"/>
            </w:tcMar>
            <w:vAlign w:val="top"/>
          </w:tcPr>
          <w:p>
            <w:r>
              <w:rPr>
                <w:sz w:val="16"/>
              </w:rPr>
              <w:t>Journal</w:t>
            </w:r>
          </w:p>
        </w:tc>
        <w:tc>
          <w:tcPr>
            <w:tcW w:type="dxa" w:w="8352"/>
            <w:tcMar>
              <w:top w:w="90" w:type="dxa"/>
              <w:start w:w="100" w:type="dxa"/>
              <w:bottom w:w="90" w:type="dxa"/>
              <w:end w:w="100" w:type="dxa"/>
            </w:tcMar>
            <w:vAlign w:val="top"/>
          </w:tcPr>
          <w:p>
            <w:r>
              <w:rPr>
                <w:sz w:val="16"/>
              </w:rPr>
              <w:t>ISSN, issues/year, subscription years; subscription multiplication.</w:t>
            </w:r>
          </w:p>
        </w:tc>
      </w:tr>
      <w:tr>
        <w:trPr>
          <w:cantSplit/>
        </w:trPr>
        <w:tc>
          <w:tcPr>
            <w:tcW w:type="dxa" w:w="2448"/>
            <w:tcMar>
              <w:top w:w="90" w:type="dxa"/>
              <w:start w:w="100" w:type="dxa"/>
              <w:bottom w:w="90" w:type="dxa"/>
              <w:end w:w="100" w:type="dxa"/>
            </w:tcMar>
            <w:vAlign w:val="top"/>
          </w:tcPr>
          <w:p>
            <w:r>
              <w:rPr>
                <w:sz w:val="16"/>
              </w:rPr>
              <w:t>Thesis</w:t>
            </w:r>
          </w:p>
        </w:tc>
        <w:tc>
          <w:tcPr>
            <w:tcW w:type="dxa" w:w="8352"/>
            <w:tcMar>
              <w:top w:w="90" w:type="dxa"/>
              <w:start w:w="100" w:type="dxa"/>
              <w:bottom w:w="90" w:type="dxa"/>
              <w:end w:w="100" w:type="dxa"/>
            </w:tcMar>
            <w:vAlign w:val="top"/>
          </w:tcPr>
          <w:p>
            <w:r>
              <w:rPr>
                <w:sz w:val="16"/>
              </w:rPr>
              <w:t>University, degree, supervisor; book-category business behavior.</w:t>
            </w:r>
          </w:p>
        </w:tc>
      </w:tr>
      <w:tr>
        <w:trPr>
          <w:cantSplit/>
        </w:trPr>
        <w:tc>
          <w:tcPr>
            <w:tcW w:type="dxa" w:w="2448"/>
            <w:tcMar>
              <w:top w:w="90" w:type="dxa"/>
              <w:start w:w="100" w:type="dxa"/>
              <w:bottom w:w="90" w:type="dxa"/>
              <w:end w:w="100" w:type="dxa"/>
            </w:tcMar>
            <w:vAlign w:val="top"/>
          </w:tcPr>
          <w:p>
            <w:r>
              <w:rPr>
                <w:sz w:val="16"/>
              </w:rPr>
              <w:t>ElectronicResource</w:t>
            </w:r>
          </w:p>
        </w:tc>
        <w:tc>
          <w:tcPr>
            <w:tcW w:type="dxa" w:w="8352"/>
            <w:tcMar>
              <w:top w:w="90" w:type="dxa"/>
              <w:start w:w="100" w:type="dxa"/>
              <w:bottom w:w="90" w:type="dxa"/>
              <w:end w:w="100" w:type="dxa"/>
            </w:tcMar>
            <w:vAlign w:val="top"/>
          </w:tcPr>
          <w:p>
            <w:r>
              <w:rPr>
                <w:sz w:val="16"/>
              </w:rPr>
              <w:t>Electronic access/platform semantics.</w:t>
            </w:r>
          </w:p>
        </w:tc>
      </w:tr>
      <w:tr>
        <w:trPr>
          <w:cantSplit/>
        </w:trPr>
        <w:tc>
          <w:tcPr>
            <w:tcW w:type="dxa" w:w="2448"/>
            <w:tcMar>
              <w:top w:w="90" w:type="dxa"/>
              <w:start w:w="100" w:type="dxa"/>
              <w:bottom w:w="90" w:type="dxa"/>
              <w:end w:w="100" w:type="dxa"/>
            </w:tcMar>
            <w:vAlign w:val="top"/>
          </w:tcPr>
          <w:p>
            <w:r>
              <w:rPr>
                <w:sz w:val="16"/>
              </w:rPr>
              <w:t>EBook</w:t>
            </w:r>
          </w:p>
        </w:tc>
        <w:tc>
          <w:tcPr>
            <w:tcW w:type="dxa" w:w="8352"/>
            <w:tcMar>
              <w:top w:w="90" w:type="dxa"/>
              <w:start w:w="100" w:type="dxa"/>
              <w:bottom w:w="90" w:type="dxa"/>
              <w:end w:w="100" w:type="dxa"/>
            </w:tcMar>
            <w:vAlign w:val="top"/>
          </w:tcPr>
          <w:p>
            <w:r>
              <w:rPr>
                <w:sz w:val="16"/>
              </w:rPr>
              <w:t>Authors, ISBN, format, DRM.</w:t>
            </w:r>
          </w:p>
        </w:tc>
      </w:tr>
      <w:tr>
        <w:trPr>
          <w:cantSplit/>
        </w:trPr>
        <w:tc>
          <w:tcPr>
            <w:tcW w:type="dxa" w:w="2448"/>
            <w:tcMar>
              <w:top w:w="90" w:type="dxa"/>
              <w:start w:w="100" w:type="dxa"/>
              <w:bottom w:w="90" w:type="dxa"/>
              <w:end w:w="100" w:type="dxa"/>
            </w:tcMar>
            <w:vAlign w:val="top"/>
          </w:tcPr>
          <w:p>
            <w:r>
              <w:rPr>
                <w:sz w:val="16"/>
              </w:rPr>
              <w:t>AudioBook</w:t>
            </w:r>
          </w:p>
        </w:tc>
        <w:tc>
          <w:tcPr>
            <w:tcW w:type="dxa" w:w="8352"/>
            <w:tcMar>
              <w:top w:w="90" w:type="dxa"/>
              <w:start w:w="100" w:type="dxa"/>
              <w:bottom w:w="90" w:type="dxa"/>
              <w:end w:w="100" w:type="dxa"/>
            </w:tcMar>
            <w:vAlign w:val="top"/>
          </w:tcPr>
          <w:p>
            <w:r>
              <w:rPr>
                <w:sz w:val="16"/>
              </w:rPr>
              <w:t>Narrator and duration.</w:t>
            </w:r>
          </w:p>
        </w:tc>
      </w:tr>
    </w:tbl>
    <w:p/>
    <w:p>
      <w:pPr>
        <w:pStyle w:val="Heading1"/>
      </w:pPr>
      <w:r>
        <w:t>Money and Pricing Semantics</w:t>
      </w:r>
    </w:p>
    <w:p>
      <w:pPr>
        <w:keepNext w:val="0"/>
      </w:pPr>
      <w:r>
        <w:t>Money is a foundational invariant. V1 avoids floating-point financial arithmetic by storing integer minor units with an explicit three-letter currency code. Pricing combines resource-specific rules, vendor price substitution, bulk logic and tax at clearly separated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4A73"/>
            <w:tcMar>
              <w:top w:w="90" w:type="dxa"/>
              <w:start w:w="100" w:type="dxa"/>
              <w:bottom w:w="90" w:type="dxa"/>
              <w:end w:w="100" w:type="dxa"/>
            </w:tcMar>
          </w:tcPr>
          <w:p>
            <w:r>
              <w:rPr>
                <w:b/>
                <w:color w:val="FFFFFF"/>
                <w:sz w:val="16"/>
              </w:rPr>
              <w:t>Rule / invariant</w:t>
            </w:r>
          </w:p>
        </w:tc>
        <w:tc>
          <w:tcPr>
            <w:tcW w:type="dxa" w:w="7920"/>
            <w:shd w:fill="244A73"/>
            <w:tcMar>
              <w:top w:w="90" w:type="dxa"/>
              <w:start w:w="100" w:type="dxa"/>
              <w:bottom w:w="90" w:type="dxa"/>
              <w:end w:w="100" w:type="dxa"/>
            </w:tcMar>
          </w:tcPr>
          <w:p>
            <w:r>
              <w:rPr>
                <w:b/>
                <w:color w:val="FFFFFF"/>
                <w:sz w:val="16"/>
              </w:rPr>
              <w:t>Canonical definition</w:t>
            </w:r>
          </w:p>
        </w:tc>
      </w:tr>
      <w:tr>
        <w:trPr>
          <w:cantSplit/>
        </w:trPr>
        <w:tc>
          <w:tcPr>
            <w:tcW w:type="dxa" w:w="2880"/>
            <w:tcMar>
              <w:top w:w="90" w:type="dxa"/>
              <w:start w:w="100" w:type="dxa"/>
              <w:bottom w:w="90" w:type="dxa"/>
              <w:end w:w="100" w:type="dxa"/>
            </w:tcMar>
            <w:vAlign w:val="top"/>
          </w:tcPr>
          <w:p>
            <w:r>
              <w:rPr>
                <w:sz w:val="16"/>
              </w:rPr>
              <w:t>Money representation</w:t>
            </w:r>
          </w:p>
        </w:tc>
        <w:tc>
          <w:tcPr>
            <w:tcW w:type="dxa" w:w="7920"/>
            <w:tcMar>
              <w:top w:w="90" w:type="dxa"/>
              <w:start w:w="100" w:type="dxa"/>
              <w:bottom w:w="90" w:type="dxa"/>
              <w:end w:w="100" w:type="dxa"/>
            </w:tcMar>
            <w:vAlign w:val="top"/>
          </w:tcPr>
          <w:p>
            <w:r>
              <w:rPr>
                <w:sz w:val="16"/>
              </w:rPr>
              <w:t>Money uses signed 64-bit integer minor units; raw double should not replace it.</w:t>
            </w:r>
          </w:p>
        </w:tc>
      </w:tr>
      <w:tr>
        <w:trPr>
          <w:cantSplit/>
        </w:trPr>
        <w:tc>
          <w:tcPr>
            <w:tcW w:type="dxa" w:w="2880"/>
            <w:tcMar>
              <w:top w:w="90" w:type="dxa"/>
              <w:start w:w="100" w:type="dxa"/>
              <w:bottom w:w="90" w:type="dxa"/>
              <w:end w:w="100" w:type="dxa"/>
            </w:tcMar>
            <w:vAlign w:val="top"/>
          </w:tcPr>
          <w:p>
            <w:r>
              <w:rPr>
                <w:sz w:val="16"/>
              </w:rPr>
              <w:t>Currency semantics</w:t>
            </w:r>
          </w:p>
        </w:tc>
        <w:tc>
          <w:tcPr>
            <w:tcW w:type="dxa" w:w="7920"/>
            <w:tcMar>
              <w:top w:w="90" w:type="dxa"/>
              <w:start w:w="100" w:type="dxa"/>
              <w:bottom w:w="90" w:type="dxa"/>
              <w:end w:w="100" w:type="dxa"/>
            </w:tcMar>
            <w:vAlign w:val="top"/>
          </w:tcPr>
          <w:p>
            <w:r>
              <w:rPr>
                <w:sz w:val="16"/>
              </w:rPr>
              <w:t>Currency codes are 3-letter alphabetic uppercase-normalized; mixed-currency arithmetic/comparison throws.</w:t>
            </w:r>
          </w:p>
        </w:tc>
      </w:tr>
      <w:tr>
        <w:trPr>
          <w:cantSplit/>
        </w:trPr>
        <w:tc>
          <w:tcPr>
            <w:tcW w:type="dxa" w:w="2880"/>
            <w:tcMar>
              <w:top w:w="90" w:type="dxa"/>
              <w:start w:w="100" w:type="dxa"/>
              <w:bottom w:w="90" w:type="dxa"/>
              <w:end w:w="100" w:type="dxa"/>
            </w:tcMar>
            <w:vAlign w:val="top"/>
          </w:tcPr>
          <w:p>
            <w:r>
              <w:rPr>
                <w:sz w:val="16"/>
              </w:rPr>
              <w:t>Vendor pricing</w:t>
            </w:r>
          </w:p>
        </w:tc>
        <w:tc>
          <w:tcPr>
            <w:tcW w:type="dxa" w:w="7920"/>
            <w:tcMar>
              <w:top w:w="90" w:type="dxa"/>
              <w:start w:w="100" w:type="dxa"/>
              <w:bottom w:w="90" w:type="dxa"/>
              <w:end w:w="100" w:type="dxa"/>
            </w:tcMar>
            <w:vAlign w:val="top"/>
          </w:tcPr>
          <w:p>
            <w:r>
              <w:rPr>
                <w:sz w:val="16"/>
              </w:rPr>
              <w:t>Vendor selection changes input unit price only; resource-specific pricing rules still apply via costForAtPrice().</w:t>
            </w:r>
          </w:p>
        </w:tc>
      </w:tr>
      <w:tr>
        <w:trPr>
          <w:cantSplit/>
        </w:trPr>
        <w:tc>
          <w:tcPr>
            <w:tcW w:type="dxa" w:w="2880"/>
            <w:tcMar>
              <w:top w:w="90" w:type="dxa"/>
              <w:start w:w="100" w:type="dxa"/>
              <w:bottom w:w="90" w:type="dxa"/>
              <w:end w:w="100" w:type="dxa"/>
            </w:tcMar>
            <w:vAlign w:val="top"/>
          </w:tcPr>
          <w:p>
            <w:r>
              <w:rPr>
                <w:sz w:val="16"/>
              </w:rPr>
              <w:t>Hardcover rule</w:t>
            </w:r>
          </w:p>
        </w:tc>
        <w:tc>
          <w:tcPr>
            <w:tcW w:type="dxa" w:w="7920"/>
            <w:tcMar>
              <w:top w:w="90" w:type="dxa"/>
              <w:start w:w="100" w:type="dxa"/>
              <w:bottom w:w="90" w:type="dxa"/>
              <w:end w:w="100" w:type="dxa"/>
            </w:tcMar>
            <w:vAlign w:val="top"/>
          </w:tcPr>
          <w:p>
            <w:r>
              <w:rPr>
                <w:sz w:val="16"/>
              </w:rPr>
              <w:t>Hardcover books cost 20% more than listed/vendor unit price.</w:t>
            </w:r>
          </w:p>
        </w:tc>
      </w:tr>
      <w:tr>
        <w:trPr>
          <w:cantSplit/>
        </w:trPr>
        <w:tc>
          <w:tcPr>
            <w:tcW w:type="dxa" w:w="2880"/>
            <w:tcMar>
              <w:top w:w="90" w:type="dxa"/>
              <w:start w:w="100" w:type="dxa"/>
              <w:bottom w:w="90" w:type="dxa"/>
              <w:end w:w="100" w:type="dxa"/>
            </w:tcMar>
            <w:vAlign w:val="top"/>
          </w:tcPr>
          <w:p>
            <w:r>
              <w:rPr>
                <w:sz w:val="16"/>
              </w:rPr>
              <w:t>Print bulk rule</w:t>
            </w:r>
          </w:p>
        </w:tc>
        <w:tc>
          <w:tcPr>
            <w:tcW w:type="dxa" w:w="7920"/>
            <w:tcMar>
              <w:top w:w="90" w:type="dxa"/>
              <w:start w:w="100" w:type="dxa"/>
              <w:bottom w:w="90" w:type="dxa"/>
              <w:end w:w="100" w:type="dxa"/>
            </w:tcMar>
            <w:vAlign w:val="top"/>
          </w:tcPr>
          <w:p>
            <w:r>
              <w:rPr>
                <w:sz w:val="16"/>
              </w:rPr>
              <w:t>Print resources receive 10% discount when quantity &gt;= 10.</w:t>
            </w:r>
          </w:p>
        </w:tc>
      </w:tr>
      <w:tr>
        <w:trPr>
          <w:cantSplit/>
        </w:trPr>
        <w:tc>
          <w:tcPr>
            <w:tcW w:type="dxa" w:w="2880"/>
            <w:tcMar>
              <w:top w:w="90" w:type="dxa"/>
              <w:start w:w="100" w:type="dxa"/>
              <w:bottom w:w="90" w:type="dxa"/>
              <w:end w:w="100" w:type="dxa"/>
            </w:tcMar>
            <w:vAlign w:val="top"/>
          </w:tcPr>
          <w:p>
            <w:r>
              <w:rPr>
                <w:sz w:val="16"/>
              </w:rPr>
              <w:t>Journal rule</w:t>
            </w:r>
          </w:p>
        </w:tc>
        <w:tc>
          <w:tcPr>
            <w:tcW w:type="dxa" w:w="7920"/>
            <w:tcMar>
              <w:top w:w="90" w:type="dxa"/>
              <w:start w:w="100" w:type="dxa"/>
              <w:bottom w:w="90" w:type="dxa"/>
              <w:end w:w="100" w:type="dxa"/>
            </w:tcMar>
            <w:vAlign w:val="top"/>
          </w:tcPr>
          <w:p>
            <w:r>
              <w:rPr>
                <w:sz w:val="16"/>
              </w:rPr>
              <w:t>Annual subscription price × copies × subscription years, then applicable print bulk logic.</w:t>
            </w:r>
          </w:p>
        </w:tc>
      </w:tr>
      <w:tr>
        <w:trPr>
          <w:cantSplit/>
        </w:trPr>
        <w:tc>
          <w:tcPr>
            <w:tcW w:type="dxa" w:w="2880"/>
            <w:tcMar>
              <w:top w:w="90" w:type="dxa"/>
              <w:start w:w="100" w:type="dxa"/>
              <w:bottom w:w="90" w:type="dxa"/>
              <w:end w:w="100" w:type="dxa"/>
            </w:tcMar>
            <w:vAlign w:val="top"/>
          </w:tcPr>
          <w:p>
            <w:r>
              <w:rPr>
                <w:sz w:val="16"/>
              </w:rPr>
              <w:t>Electronic rule</w:t>
            </w:r>
          </w:p>
        </w:tc>
        <w:tc>
          <w:tcPr>
            <w:tcW w:type="dxa" w:w="7920"/>
            <w:tcMar>
              <w:top w:w="90" w:type="dxa"/>
              <w:start w:w="100" w:type="dxa"/>
              <w:bottom w:w="90" w:type="dxa"/>
              <w:end w:w="100" w:type="dxa"/>
            </w:tcMar>
            <w:vAlign w:val="top"/>
          </w:tcPr>
          <w:p>
            <w:r>
              <w:rPr>
                <w:sz w:val="16"/>
              </w:rPr>
              <w:t>Platform fee + first 50 seats at full price + seats above 50 at half price.</w:t>
            </w:r>
          </w:p>
        </w:tc>
      </w:tr>
      <w:tr>
        <w:trPr>
          <w:cantSplit/>
        </w:trPr>
        <w:tc>
          <w:tcPr>
            <w:tcW w:type="dxa" w:w="2880"/>
            <w:tcMar>
              <w:top w:w="90" w:type="dxa"/>
              <w:start w:w="100" w:type="dxa"/>
              <w:bottom w:w="90" w:type="dxa"/>
              <w:end w:w="100" w:type="dxa"/>
            </w:tcMar>
            <w:vAlign w:val="top"/>
          </w:tcPr>
          <w:p>
            <w:r>
              <w:rPr>
                <w:sz w:val="16"/>
              </w:rPr>
              <w:t>Tax boundary</w:t>
            </w:r>
          </w:p>
        </w:tc>
        <w:tc>
          <w:tcPr>
            <w:tcW w:type="dxa" w:w="7920"/>
            <w:tcMar>
              <w:top w:w="90" w:type="dxa"/>
              <w:start w:w="100" w:type="dxa"/>
              <w:bottom w:w="90" w:type="dxa"/>
              <w:end w:w="100" w:type="dxa"/>
            </w:tcMar>
            <w:vAlign w:val="top"/>
          </w:tcPr>
          <w:p>
            <w:r>
              <w:rPr>
                <w:sz w:val="16"/>
              </w:rPr>
              <w:t>Resources compute pre-tax price; AcquisitionManager applies print/electronic tax.</w:t>
            </w:r>
          </w:p>
        </w:tc>
      </w:tr>
      <w:tr>
        <w:trPr>
          <w:cantSplit/>
        </w:trPr>
        <w:tc>
          <w:tcPr>
            <w:tcW w:type="dxa" w:w="2880"/>
            <w:tcMar>
              <w:top w:w="90" w:type="dxa"/>
              <w:start w:w="100" w:type="dxa"/>
              <w:bottom w:w="90" w:type="dxa"/>
              <w:end w:w="100" w:type="dxa"/>
            </w:tcMar>
            <w:vAlign w:val="top"/>
          </w:tcPr>
          <w:p>
            <w:r>
              <w:rPr>
                <w:sz w:val="16"/>
              </w:rPr>
              <w:t>Budget authority</w:t>
            </w:r>
          </w:p>
        </w:tc>
        <w:tc>
          <w:tcPr>
            <w:tcW w:type="dxa" w:w="7920"/>
            <w:tcMar>
              <w:top w:w="90" w:type="dxa"/>
              <w:start w:w="100" w:type="dxa"/>
              <w:bottom w:w="90" w:type="dxa"/>
              <w:end w:w="100" w:type="dxa"/>
            </w:tcMar>
            <w:vAlign w:val="top"/>
          </w:tcPr>
          <w:p>
            <w:r>
              <w:rPr>
                <w:sz w:val="16"/>
              </w:rPr>
              <w:t>Budget and quota checks use post-tax cost.</w:t>
            </w:r>
          </w:p>
        </w:tc>
      </w:tr>
    </w:tbl>
    <w:p/>
    <w:p>
      <w:pPr>
        <w:pStyle w:val="Heading2"/>
      </w:pPr>
      <w:r>
        <w:t>Pricing order</w:t>
      </w:r>
    </w:p>
    <w:p>
      <w:pPr>
        <w:ind w:left="259" w:hanging="259"/>
      </w:pPr>
      <w:r>
        <w:rPr>
          <w:b/>
        </w:rPr>
        <w:t xml:space="preserve">1. </w:t>
      </w:r>
      <w:r>
        <w:t>Choose the applicable resource/vendor unit price.</w:t>
      </w:r>
    </w:p>
    <w:p>
      <w:pPr>
        <w:ind w:left="259" w:hanging="259"/>
      </w:pPr>
      <w:r>
        <w:rPr>
          <w:b/>
        </w:rPr>
        <w:t xml:space="preserve">2. </w:t>
      </w:r>
      <w:r>
        <w:t>Apply the resource subtype pricing rule through costForAtPrice().</w:t>
      </w:r>
    </w:p>
    <w:p>
      <w:pPr>
        <w:ind w:left="259" w:hanging="259"/>
      </w:pPr>
      <w:r>
        <w:rPr>
          <w:b/>
        </w:rPr>
        <w:t xml:space="preserve">3. </w:t>
      </w:r>
      <w:r>
        <w:t>Compute the pre-tax total using Money.</w:t>
      </w:r>
    </w:p>
    <w:p>
      <w:pPr>
        <w:ind w:left="259" w:hanging="259"/>
      </w:pPr>
      <w:r>
        <w:rPr>
          <w:b/>
        </w:rPr>
        <w:t xml:space="preserve">4. </w:t>
      </w:r>
      <w:r>
        <w:t>AcquisitionManager applies configured print/electronic tax.</w:t>
      </w:r>
    </w:p>
    <w:p>
      <w:pPr>
        <w:ind w:left="259" w:hanging="259"/>
      </w:pPr>
      <w:r>
        <w:rPr>
          <w:b/>
        </w:rPr>
        <w:t xml:space="preserve">5. </w:t>
      </w:r>
      <w:r>
        <w:t>Budget and spend-quota checks use the post-tax total.</w:t>
      </w:r>
    </w:p>
    <w:p>
      <w:pPr>
        <w:ind w:left="259" w:hanging="259"/>
      </w:pPr>
      <w:r>
        <w:rPr>
          <w:b/>
        </w:rPr>
        <w:t xml:space="preserve">6. </w:t>
      </w:r>
      <w:r>
        <w:t>Only after all validation succeeds should holdings/budget/history be committed.</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Do not change: </w:t>
            </w:r>
            <w:r>
              <w:t>A future persistence/API layer may expose Money differently, but it must never replace authoritative minor-unit arithmetic with double/float.</w:t>
            </w:r>
          </w:p>
        </w:tc>
      </w:tr>
    </w:tbl>
    <w:p/>
    <w:p>
      <w:pPr>
        <w:pStyle w:val="Heading1"/>
      </w:pPr>
      <w:r>
        <w:t>Catalog, Search and Sorting</w:t>
      </w:r>
    </w:p>
    <w:p>
      <w:pPr>
        <w:keepNext w:val="0"/>
      </w:pPr>
      <w:r>
        <w:t>Catalog is the central owner of resource objects and inventory state. V1 expanded its search model from isolated helper methods to a combined SearchQuery with AND-composed filters and deterministic sort modes.</w:t>
      </w:r>
    </w:p>
    <w:p>
      <w:pPr>
        <w:pStyle w:val="ListBullet"/>
      </w:pPr>
      <w:r>
        <w:t>Legacy search remains available: title, author, ISBN/ISSN/identifier and year range.</w:t>
      </w:r>
    </w:p>
    <w:p>
      <w:pPr>
        <w:pStyle w:val="ListBullet"/>
      </w:pPr>
      <w:r>
        <w:t>Combined search supports title, author, identifier and inclusive year filters together.</w:t>
      </w:r>
    </w:p>
    <w:p>
      <w:pPr>
        <w:pStyle w:val="ListBullet"/>
      </w:pPr>
      <w:r>
        <w:t>Title/author matching is case-insensitive substring; identifier matching is case-insensitive exact.</w:t>
      </w:r>
    </w:p>
    <w:p>
      <w:pPr>
        <w:pStyle w:val="ListBullet"/>
      </w:pPr>
      <w:r>
        <w:t>Sort modes include title/year/price ascending and descending.</w:t>
      </w:r>
    </w:p>
    <w:p>
      <w:pPr>
        <w:pStyle w:val="ListBullet"/>
      </w:pPr>
      <w:r>
        <w:t>Resource ID is the deterministic fallback tie-breaker.</w:t>
      </w:r>
    </w:p>
    <w:p>
      <w:pPr>
        <w:pStyle w:val="ListBullet"/>
      </w:pPr>
      <w:r>
        <w:t>Catalog uses std::map: ID lookup O(log N), scan filters O(N), result sorting O(M log M).</w:t>
      </w:r>
    </w:p>
    <w:p>
      <w:pPr>
        <w:pStyle w:val="Heading1"/>
      </w:pPr>
      <w:r>
        <w:t>Lending Model</w:t>
      </w:r>
    </w:p>
    <w:p>
      <w:pPr>
        <w:keepNext w:val="0"/>
      </w:pPr>
      <w:r>
        <w:t>V1 moved from anonymous quantity-only lending to explicit borrower-aware loan records while retaining the old public methods for compatibility. Loan state is sufficiently rich for future persistence but intentionally does not include fines or calendar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44A73"/>
            <w:tcMar>
              <w:top w:w="90" w:type="dxa"/>
              <w:start w:w="100" w:type="dxa"/>
              <w:bottom w:w="90" w:type="dxa"/>
              <w:end w:w="100" w:type="dxa"/>
            </w:tcMar>
          </w:tcPr>
          <w:p>
            <w:r>
              <w:rPr>
                <w:b/>
                <w:color w:val="FFFFFF"/>
                <w:sz w:val="16"/>
              </w:rPr>
              <w:t>Loan field</w:t>
            </w:r>
          </w:p>
        </w:tc>
        <w:tc>
          <w:tcPr>
            <w:tcW w:type="dxa" w:w="8208"/>
            <w:shd w:fill="244A73"/>
            <w:tcMar>
              <w:top w:w="90" w:type="dxa"/>
              <w:start w:w="100" w:type="dxa"/>
              <w:bottom w:w="90" w:type="dxa"/>
              <w:end w:w="100" w:type="dxa"/>
            </w:tcMar>
          </w:tcPr>
          <w:p>
            <w:r>
              <w:rPr>
                <w:b/>
                <w:color w:val="FFFFFF"/>
                <w:sz w:val="16"/>
              </w:rPr>
              <w:t>Meaning</w:t>
            </w:r>
          </w:p>
        </w:tc>
      </w:tr>
      <w:tr>
        <w:trPr>
          <w:cantSplit/>
        </w:trPr>
        <w:tc>
          <w:tcPr>
            <w:tcW w:type="dxa" w:w="2592"/>
            <w:tcMar>
              <w:top w:w="90" w:type="dxa"/>
              <w:start w:w="100" w:type="dxa"/>
              <w:bottom w:w="90" w:type="dxa"/>
              <w:end w:w="100" w:type="dxa"/>
            </w:tcMar>
            <w:vAlign w:val="top"/>
          </w:tcPr>
          <w:p>
            <w:r>
              <w:rPr>
                <w:sz w:val="16"/>
              </w:rPr>
              <w:t>loan_id</w:t>
            </w:r>
          </w:p>
        </w:tc>
        <w:tc>
          <w:tcPr>
            <w:tcW w:type="dxa" w:w="8208"/>
            <w:tcMar>
              <w:top w:w="90" w:type="dxa"/>
              <w:start w:w="100" w:type="dxa"/>
              <w:bottom w:w="90" w:type="dxa"/>
              <w:end w:w="100" w:type="dxa"/>
            </w:tcMar>
            <w:vAlign w:val="top"/>
          </w:tcPr>
          <w:p>
            <w:r>
              <w:rPr>
                <w:sz w:val="16"/>
              </w:rPr>
              <w:t>Stable loan identity.</w:t>
            </w:r>
          </w:p>
        </w:tc>
      </w:tr>
      <w:tr>
        <w:trPr>
          <w:cantSplit/>
        </w:trPr>
        <w:tc>
          <w:tcPr>
            <w:tcW w:type="dxa" w:w="2592"/>
            <w:tcMar>
              <w:top w:w="90" w:type="dxa"/>
              <w:start w:w="100" w:type="dxa"/>
              <w:bottom w:w="90" w:type="dxa"/>
              <w:end w:w="100" w:type="dxa"/>
            </w:tcMar>
            <w:vAlign w:val="top"/>
          </w:tcPr>
          <w:p>
            <w:r>
              <w:rPr>
                <w:sz w:val="16"/>
              </w:rPr>
              <w:t>resource_id</w:t>
            </w:r>
          </w:p>
        </w:tc>
        <w:tc>
          <w:tcPr>
            <w:tcW w:type="dxa" w:w="8208"/>
            <w:tcMar>
              <w:top w:w="90" w:type="dxa"/>
              <w:start w:w="100" w:type="dxa"/>
              <w:bottom w:w="90" w:type="dxa"/>
              <w:end w:w="100" w:type="dxa"/>
            </w:tcMar>
            <w:vAlign w:val="top"/>
          </w:tcPr>
          <w:p>
            <w:r>
              <w:rPr>
                <w:sz w:val="16"/>
              </w:rPr>
              <w:t>Borrowed resource.</w:t>
            </w:r>
          </w:p>
        </w:tc>
      </w:tr>
      <w:tr>
        <w:trPr>
          <w:cantSplit/>
        </w:trPr>
        <w:tc>
          <w:tcPr>
            <w:tcW w:type="dxa" w:w="2592"/>
            <w:tcMar>
              <w:top w:w="90" w:type="dxa"/>
              <w:start w:w="100" w:type="dxa"/>
              <w:bottom w:w="90" w:type="dxa"/>
              <w:end w:w="100" w:type="dxa"/>
            </w:tcMar>
            <w:vAlign w:val="top"/>
          </w:tcPr>
          <w:p>
            <w:r>
              <w:rPr>
                <w:sz w:val="16"/>
              </w:rPr>
              <w:t>borrower_id</w:t>
            </w:r>
          </w:p>
        </w:tc>
        <w:tc>
          <w:tcPr>
            <w:tcW w:type="dxa" w:w="8208"/>
            <w:tcMar>
              <w:top w:w="90" w:type="dxa"/>
              <w:start w:w="100" w:type="dxa"/>
              <w:bottom w:w="90" w:type="dxa"/>
              <w:end w:w="100" w:type="dxa"/>
            </w:tcMar>
            <w:vAlign w:val="top"/>
          </w:tcPr>
          <w:p>
            <w:r>
              <w:rPr>
                <w:sz w:val="16"/>
              </w:rPr>
              <w:t>Who borrowed it; legacy calls may use anonymous identity.</w:t>
            </w:r>
          </w:p>
        </w:tc>
      </w:tr>
      <w:tr>
        <w:trPr>
          <w:cantSplit/>
        </w:trPr>
        <w:tc>
          <w:tcPr>
            <w:tcW w:type="dxa" w:w="2592"/>
            <w:tcMar>
              <w:top w:w="90" w:type="dxa"/>
              <w:start w:w="100" w:type="dxa"/>
              <w:bottom w:w="90" w:type="dxa"/>
              <w:end w:w="100" w:type="dxa"/>
            </w:tcMar>
            <w:vAlign w:val="top"/>
          </w:tcPr>
          <w:p>
            <w:r>
              <w:rPr>
                <w:sz w:val="16"/>
              </w:rPr>
              <w:t>original_quantity</w:t>
            </w:r>
          </w:p>
        </w:tc>
        <w:tc>
          <w:tcPr>
            <w:tcW w:type="dxa" w:w="8208"/>
            <w:tcMar>
              <w:top w:w="90" w:type="dxa"/>
              <w:start w:w="100" w:type="dxa"/>
              <w:bottom w:w="90" w:type="dxa"/>
              <w:end w:w="100" w:type="dxa"/>
            </w:tcMar>
            <w:vAlign w:val="top"/>
          </w:tcPr>
          <w:p>
            <w:r>
              <w:rPr>
                <w:sz w:val="16"/>
              </w:rPr>
              <w:t>Initial borrowed units.</w:t>
            </w:r>
          </w:p>
        </w:tc>
      </w:tr>
      <w:tr>
        <w:trPr>
          <w:cantSplit/>
        </w:trPr>
        <w:tc>
          <w:tcPr>
            <w:tcW w:type="dxa" w:w="2592"/>
            <w:tcMar>
              <w:top w:w="90" w:type="dxa"/>
              <w:start w:w="100" w:type="dxa"/>
              <w:bottom w:w="90" w:type="dxa"/>
              <w:end w:w="100" w:type="dxa"/>
            </w:tcMar>
            <w:vAlign w:val="top"/>
          </w:tcPr>
          <w:p>
            <w:r>
              <w:rPr>
                <w:sz w:val="16"/>
              </w:rPr>
              <w:t>returned_quantity</w:t>
            </w:r>
          </w:p>
        </w:tc>
        <w:tc>
          <w:tcPr>
            <w:tcW w:type="dxa" w:w="8208"/>
            <w:tcMar>
              <w:top w:w="90" w:type="dxa"/>
              <w:start w:w="100" w:type="dxa"/>
              <w:bottom w:w="90" w:type="dxa"/>
              <w:end w:w="100" w:type="dxa"/>
            </w:tcMar>
            <w:vAlign w:val="top"/>
          </w:tcPr>
          <w:p>
            <w:r>
              <w:rPr>
                <w:sz w:val="16"/>
              </w:rPr>
              <w:t>Cumulative returned units.</w:t>
            </w:r>
          </w:p>
        </w:tc>
      </w:tr>
      <w:tr>
        <w:trPr>
          <w:cantSplit/>
        </w:trPr>
        <w:tc>
          <w:tcPr>
            <w:tcW w:type="dxa" w:w="2592"/>
            <w:tcMar>
              <w:top w:w="90" w:type="dxa"/>
              <w:start w:w="100" w:type="dxa"/>
              <w:bottom w:w="90" w:type="dxa"/>
              <w:end w:w="100" w:type="dxa"/>
            </w:tcMar>
            <w:vAlign w:val="top"/>
          </w:tcPr>
          <w:p>
            <w:r>
              <w:rPr>
                <w:sz w:val="16"/>
              </w:rPr>
              <w:t>borrowed_at</w:t>
            </w:r>
          </w:p>
        </w:tc>
        <w:tc>
          <w:tcPr>
            <w:tcW w:type="dxa" w:w="8208"/>
            <w:tcMar>
              <w:top w:w="90" w:type="dxa"/>
              <w:start w:w="100" w:type="dxa"/>
              <w:bottom w:w="90" w:type="dxa"/>
              <w:end w:w="100" w:type="dxa"/>
            </w:tcMar>
            <w:vAlign w:val="top"/>
          </w:tcPr>
          <w:p>
            <w:r>
              <w:rPr>
                <w:sz w:val="16"/>
              </w:rPr>
              <w:t>Borrow timestamp.</w:t>
            </w:r>
          </w:p>
        </w:tc>
      </w:tr>
      <w:tr>
        <w:trPr>
          <w:cantSplit/>
        </w:trPr>
        <w:tc>
          <w:tcPr>
            <w:tcW w:type="dxa" w:w="2592"/>
            <w:tcMar>
              <w:top w:w="90" w:type="dxa"/>
              <w:start w:w="100" w:type="dxa"/>
              <w:bottom w:w="90" w:type="dxa"/>
              <w:end w:w="100" w:type="dxa"/>
            </w:tcMar>
            <w:vAlign w:val="top"/>
          </w:tcPr>
          <w:p>
            <w:r>
              <w:rPr>
                <w:sz w:val="16"/>
              </w:rPr>
              <w:t>due_at</w:t>
            </w:r>
          </w:p>
        </w:tc>
        <w:tc>
          <w:tcPr>
            <w:tcW w:type="dxa" w:w="8208"/>
            <w:tcMar>
              <w:top w:w="90" w:type="dxa"/>
              <w:start w:w="100" w:type="dxa"/>
              <w:bottom w:w="90" w:type="dxa"/>
              <w:end w:w="100" w:type="dxa"/>
            </w:tcMar>
            <w:vAlign w:val="top"/>
          </w:tcPr>
          <w:p>
            <w:r>
              <w:rPr>
                <w:sz w:val="16"/>
              </w:rPr>
              <w:t>Borrow time + configured elapsed duration.</w:t>
            </w:r>
          </w:p>
        </w:tc>
      </w:tr>
      <w:tr>
        <w:trPr>
          <w:cantSplit/>
        </w:trPr>
        <w:tc>
          <w:tcPr>
            <w:tcW w:type="dxa" w:w="2592"/>
            <w:tcMar>
              <w:top w:w="90" w:type="dxa"/>
              <w:start w:w="100" w:type="dxa"/>
              <w:bottom w:w="90" w:type="dxa"/>
              <w:end w:w="100" w:type="dxa"/>
            </w:tcMar>
            <w:vAlign w:val="top"/>
          </w:tcPr>
          <w:p>
            <w:r>
              <w:rPr>
                <w:sz w:val="16"/>
              </w:rPr>
              <w:t>returned_at</w:t>
            </w:r>
          </w:p>
        </w:tc>
        <w:tc>
          <w:tcPr>
            <w:tcW w:type="dxa" w:w="8208"/>
            <w:tcMar>
              <w:top w:w="90" w:type="dxa"/>
              <w:start w:w="100" w:type="dxa"/>
              <w:bottom w:w="90" w:type="dxa"/>
              <w:end w:w="100" w:type="dxa"/>
            </w:tcMar>
            <w:vAlign w:val="top"/>
          </w:tcPr>
          <w:p>
            <w:r>
              <w:rPr>
                <w:sz w:val="16"/>
              </w:rPr>
              <w:t>Set when fully returned.</w:t>
            </w:r>
          </w:p>
        </w:tc>
      </w:tr>
      <w:tr>
        <w:trPr>
          <w:cantSplit/>
        </w:trPr>
        <w:tc>
          <w:tcPr>
            <w:tcW w:type="dxa" w:w="2592"/>
            <w:tcMar>
              <w:top w:w="90" w:type="dxa"/>
              <w:start w:w="100" w:type="dxa"/>
              <w:bottom w:w="90" w:type="dxa"/>
              <w:end w:w="100" w:type="dxa"/>
            </w:tcMar>
            <w:vAlign w:val="top"/>
          </w:tcPr>
          <w:p>
            <w:r>
              <w:rPr>
                <w:sz w:val="16"/>
              </w:rPr>
              <w:t>status</w:t>
            </w:r>
          </w:p>
        </w:tc>
        <w:tc>
          <w:tcPr>
            <w:tcW w:type="dxa" w:w="8208"/>
            <w:tcMar>
              <w:top w:w="90" w:type="dxa"/>
              <w:start w:w="100" w:type="dxa"/>
              <w:bottom w:w="90" w:type="dxa"/>
              <w:end w:w="100" w:type="dxa"/>
            </w:tcMar>
            <w:vAlign w:val="top"/>
          </w:tcPr>
          <w:p>
            <w:r>
              <w:rPr>
                <w:sz w:val="16"/>
              </w:rPr>
              <w:t>Active or Returned.</w:t>
            </w:r>
          </w:p>
        </w:tc>
      </w:tr>
    </w:tbl>
    <w:p/>
    <w:p>
      <w:pPr>
        <w:pStyle w:val="ListBullet"/>
      </w:pPr>
      <w:r>
        <w:t>Partial returns are supported and must never exceed original quantity.</w:t>
      </w:r>
    </w:p>
    <w:p>
      <w:pPr>
        <w:pStyle w:val="ListBullet"/>
      </w:pPr>
      <w:r>
        <w:t>Availability must remain consistent with holdings and active loan/session quantities.</w:t>
      </w:r>
    </w:p>
    <w:p>
      <w:pPr>
        <w:pStyle w:val="ListBullet"/>
      </w:pPr>
      <w:r>
        <w:t>Due dates use std::chrono elapsed durations; V1 does not model local calendars, holidays, grace periods or fines.</w:t>
      </w:r>
    </w:p>
    <w:p>
      <w:pPr>
        <w:pStyle w:val="Heading1"/>
      </w:pPr>
      <w:r>
        <w:t>Budget and Department Finance</w:t>
      </w:r>
    </w:p>
    <w:p>
      <w:pPr>
        <w:keepNext w:val="0"/>
      </w:pPr>
      <w:r>
        <w:t>Budget tracks allocation and quota usage independently of inventory. Department budgets are financially separate while Catalog holdings remain global. This distinction is critical and must not be collapsed in future versions.</w:t>
      </w:r>
    </w:p>
    <w:p>
      <w:pPr>
        <w:pStyle w:val="ListBullet"/>
      </w:pPr>
      <w:r>
        <w:t>Budget exposes total, spent and remaining amounts.</w:t>
      </w:r>
    </w:p>
    <w:p>
      <w:pPr>
        <w:pStyle w:val="ListBullet"/>
      </w:pPr>
      <w:r>
        <w:t>Quota dimensions include units, spend and number of different titles per category.</w:t>
      </w:r>
    </w:p>
    <w:p>
      <w:pPr>
        <w:pStyle w:val="ListBullet"/>
      </w:pPr>
      <w:r>
        <w:t>Additional copies of a currently active title do not consume an additional title slot.</w:t>
      </w:r>
    </w:p>
    <w:p>
      <w:pPr>
        <w:pStyle w:val="ListBullet"/>
      </w:pPr>
      <w:r>
        <w:t>Cancellation refunds the exact originally charged post-tax amount and releases associated quota usage.</w:t>
      </w:r>
    </w:p>
    <w:p>
      <w:pPr>
        <w:pStyle w:val="ListBullet"/>
      </w:pPr>
      <w:r>
        <w:t>Rollover carries a configured percentage of unspent allocation into the next year.</w:t>
      </w:r>
    </w:p>
    <w:p>
      <w:pPr>
        <w:pStyle w:val="ListBullet"/>
      </w:pPr>
      <w:r>
        <w:t>Currency mismatches remain invalid through Money semantics.</w:t>
      </w:r>
    </w:p>
    <w:p>
      <w:pPr>
        <w:pStyle w:val="Heading1"/>
      </w:pPr>
      <w:r>
        <w:t>Acquisition and Vendor Selection</w:t>
      </w:r>
    </w:p>
    <w:p>
      <w:pPr>
        <w:keepNext w:val="0"/>
      </w:pPr>
      <w:r>
        <w:t>AcquisitionManager is the transaction coordinator of V1. It connects resource pricing, vendor selection, tax, budget/quota validation, holdings and historical records.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244A73"/>
            <w:tcMar>
              <w:top w:w="90" w:type="dxa"/>
              <w:start w:w="100" w:type="dxa"/>
              <w:bottom w:w="90" w:type="dxa"/>
              <w:end w:w="100" w:type="dxa"/>
            </w:tcMar>
          </w:tcPr>
          <w:p>
            <w:r>
              <w:rPr>
                <w:b/>
                <w:color w:val="FFFFFF"/>
                <w:sz w:val="16"/>
              </w:rPr>
              <w:t>Vendor policy</w:t>
            </w:r>
          </w:p>
        </w:tc>
        <w:tc>
          <w:tcPr>
            <w:tcW w:type="dxa" w:w="3168"/>
            <w:shd w:fill="244A73"/>
            <w:tcMar>
              <w:top w:w="90" w:type="dxa"/>
              <w:start w:w="100" w:type="dxa"/>
              <w:bottom w:w="90" w:type="dxa"/>
              <w:end w:w="100" w:type="dxa"/>
            </w:tcMar>
          </w:tcPr>
          <w:p>
            <w:r>
              <w:rPr>
                <w:b/>
                <w:color w:val="FFFFFF"/>
                <w:sz w:val="16"/>
              </w:rPr>
              <w:t>Primary ordering</w:t>
            </w:r>
          </w:p>
        </w:tc>
        <w:tc>
          <w:tcPr>
            <w:tcW w:type="dxa" w:w="5328"/>
            <w:shd w:fill="244A73"/>
            <w:tcMar>
              <w:top w:w="90" w:type="dxa"/>
              <w:start w:w="100" w:type="dxa"/>
              <w:bottom w:w="90" w:type="dxa"/>
              <w:end w:w="100" w:type="dxa"/>
            </w:tcMar>
          </w:tcPr>
          <w:p>
            <w:r>
              <w:rPr>
                <w:b/>
                <w:color w:val="FFFFFF"/>
                <w:sz w:val="16"/>
              </w:rPr>
              <w:t>Deterministic tie sequence</w:t>
            </w:r>
          </w:p>
        </w:tc>
      </w:tr>
      <w:tr>
        <w:trPr>
          <w:cantSplit/>
        </w:trPr>
        <w:tc>
          <w:tcPr>
            <w:tcW w:type="dxa" w:w="2304"/>
            <w:tcMar>
              <w:top w:w="90" w:type="dxa"/>
              <w:start w:w="100" w:type="dxa"/>
              <w:bottom w:w="90" w:type="dxa"/>
              <w:end w:w="100" w:type="dxa"/>
            </w:tcMar>
            <w:vAlign w:val="top"/>
          </w:tcPr>
          <w:p>
            <w:r>
              <w:rPr>
                <w:sz w:val="16"/>
              </w:rPr>
              <w:t>Cheapest</w:t>
            </w:r>
          </w:p>
        </w:tc>
        <w:tc>
          <w:tcPr>
            <w:tcW w:type="dxa" w:w="3168"/>
            <w:tcMar>
              <w:top w:w="90" w:type="dxa"/>
              <w:start w:w="100" w:type="dxa"/>
              <w:bottom w:w="90" w:type="dxa"/>
              <w:end w:w="100" w:type="dxa"/>
            </w:tcMar>
            <w:vAlign w:val="top"/>
          </w:tcPr>
          <w:p>
            <w:r>
              <w:rPr>
                <w:sz w:val="16"/>
              </w:rPr>
              <w:t>Price ascending</w:t>
            </w:r>
          </w:p>
        </w:tc>
        <w:tc>
          <w:tcPr>
            <w:tcW w:type="dxa" w:w="5328"/>
            <w:tcMar>
              <w:top w:w="90" w:type="dxa"/>
              <w:start w:w="100" w:type="dxa"/>
              <w:bottom w:w="90" w:type="dxa"/>
              <w:end w:w="100" w:type="dxa"/>
            </w:tcMar>
            <w:vAlign w:val="top"/>
          </w:tcPr>
          <w:p>
            <w:r>
              <w:rPr>
                <w:sz w:val="16"/>
              </w:rPr>
              <w:t>rating descending → delivery ascending → vendor ID ascending</w:t>
            </w:r>
          </w:p>
        </w:tc>
      </w:tr>
      <w:tr>
        <w:trPr>
          <w:cantSplit/>
        </w:trPr>
        <w:tc>
          <w:tcPr>
            <w:tcW w:type="dxa" w:w="2304"/>
            <w:tcMar>
              <w:top w:w="90" w:type="dxa"/>
              <w:start w:w="100" w:type="dxa"/>
              <w:bottom w:w="90" w:type="dxa"/>
              <w:end w:w="100" w:type="dxa"/>
            </w:tcMar>
            <w:vAlign w:val="top"/>
          </w:tcPr>
          <w:p>
            <w:r>
              <w:rPr>
                <w:sz w:val="16"/>
              </w:rPr>
              <w:t>Fastest</w:t>
            </w:r>
          </w:p>
        </w:tc>
        <w:tc>
          <w:tcPr>
            <w:tcW w:type="dxa" w:w="3168"/>
            <w:tcMar>
              <w:top w:w="90" w:type="dxa"/>
              <w:start w:w="100" w:type="dxa"/>
              <w:bottom w:w="90" w:type="dxa"/>
              <w:end w:w="100" w:type="dxa"/>
            </w:tcMar>
            <w:vAlign w:val="top"/>
          </w:tcPr>
          <w:p>
            <w:r>
              <w:rPr>
                <w:sz w:val="16"/>
              </w:rPr>
              <w:t>Delivery days ascending</w:t>
            </w:r>
          </w:p>
        </w:tc>
        <w:tc>
          <w:tcPr>
            <w:tcW w:type="dxa" w:w="5328"/>
            <w:tcMar>
              <w:top w:w="90" w:type="dxa"/>
              <w:start w:w="100" w:type="dxa"/>
              <w:bottom w:w="90" w:type="dxa"/>
              <w:end w:w="100" w:type="dxa"/>
            </w:tcMar>
            <w:vAlign w:val="top"/>
          </w:tcPr>
          <w:p>
            <w:r>
              <w:rPr>
                <w:sz w:val="16"/>
              </w:rPr>
              <w:t>price ascending → rating descending → vendor ID ascending</w:t>
            </w:r>
          </w:p>
        </w:tc>
      </w:tr>
      <w:tr>
        <w:trPr>
          <w:cantSplit/>
        </w:trPr>
        <w:tc>
          <w:tcPr>
            <w:tcW w:type="dxa" w:w="2304"/>
            <w:tcMar>
              <w:top w:w="90" w:type="dxa"/>
              <w:start w:w="100" w:type="dxa"/>
              <w:bottom w:w="90" w:type="dxa"/>
              <w:end w:w="100" w:type="dxa"/>
            </w:tcMar>
            <w:vAlign w:val="top"/>
          </w:tcPr>
          <w:p>
            <w:r>
              <w:rPr>
                <w:sz w:val="16"/>
              </w:rPr>
              <w:t>HighestRated</w:t>
            </w:r>
          </w:p>
        </w:tc>
        <w:tc>
          <w:tcPr>
            <w:tcW w:type="dxa" w:w="3168"/>
            <w:tcMar>
              <w:top w:w="90" w:type="dxa"/>
              <w:start w:w="100" w:type="dxa"/>
              <w:bottom w:w="90" w:type="dxa"/>
              <w:end w:w="100" w:type="dxa"/>
            </w:tcMar>
            <w:vAlign w:val="top"/>
          </w:tcPr>
          <w:p>
            <w:r>
              <w:rPr>
                <w:sz w:val="16"/>
              </w:rPr>
              <w:t>Rating descending</w:t>
            </w:r>
          </w:p>
        </w:tc>
        <w:tc>
          <w:tcPr>
            <w:tcW w:type="dxa" w:w="5328"/>
            <w:tcMar>
              <w:top w:w="90" w:type="dxa"/>
              <w:start w:w="100" w:type="dxa"/>
              <w:bottom w:w="90" w:type="dxa"/>
              <w:end w:w="100" w:type="dxa"/>
            </w:tcMar>
            <w:vAlign w:val="top"/>
          </w:tcPr>
          <w:p>
            <w:r>
              <w:rPr>
                <w:sz w:val="16"/>
              </w:rPr>
              <w:t>price ascending → delivery ascending → vendor ID ascending</w:t>
            </w:r>
          </w:p>
        </w:tc>
      </w:tr>
    </w:tbl>
    <w:p/>
    <w:p>
      <w:pPr>
        <w:pStyle w:val="Heading2"/>
      </w:pPr>
      <w:r>
        <w:t>Purchase lifecycle</w:t>
      </w:r>
    </w:p>
    <w:p>
      <w:pPr>
        <w:ind w:left="259" w:hanging="259"/>
      </w:pPr>
      <w:r>
        <w:rPr>
          <w:b/>
        </w:rPr>
        <w:t xml:space="preserve">1. </w:t>
      </w:r>
      <w:r>
        <w:t>Validate request/resource/quantity/department inputs.</w:t>
      </w:r>
    </w:p>
    <w:p>
      <w:pPr>
        <w:ind w:left="259" w:hanging="259"/>
      </w:pPr>
      <w:r>
        <w:rPr>
          <w:b/>
        </w:rPr>
        <w:t xml:space="preserve">2. </w:t>
      </w:r>
      <w:r>
        <w:t>Resolve vendor offer using the configured selection policy.</w:t>
      </w:r>
    </w:p>
    <w:p>
      <w:pPr>
        <w:ind w:left="259" w:hanging="259"/>
      </w:pPr>
      <w:r>
        <w:rPr>
          <w:b/>
        </w:rPr>
        <w:t xml:space="preserve">3. </w:t>
      </w:r>
      <w:r>
        <w:t>Calculate pre-tax resource cost using the selected unit price.</w:t>
      </w:r>
    </w:p>
    <w:p>
      <w:pPr>
        <w:ind w:left="259" w:hanging="259"/>
      </w:pPr>
      <w:r>
        <w:rPr>
          <w:b/>
        </w:rPr>
        <w:t xml:space="preserve">4. </w:t>
      </w:r>
      <w:r>
        <w:t>Apply configured tax.</w:t>
      </w:r>
    </w:p>
    <w:p>
      <w:pPr>
        <w:ind w:left="259" w:hanging="259"/>
      </w:pPr>
      <w:r>
        <w:rPr>
          <w:b/>
        </w:rPr>
        <w:t xml:space="preserve">5. </w:t>
      </w:r>
      <w:r>
        <w:t>Validate budget, spend/unit/title quotas and any department constraints.</w:t>
      </w:r>
    </w:p>
    <w:p>
      <w:pPr>
        <w:ind w:left="259" w:hanging="259"/>
      </w:pPr>
      <w:r>
        <w:rPr>
          <w:b/>
        </w:rPr>
        <w:t xml:space="preserve">6. </w:t>
      </w:r>
      <w:r>
        <w:t>Prepare purchase/history changes.</w:t>
      </w:r>
    </w:p>
    <w:p>
      <w:pPr>
        <w:ind w:left="259" w:hanging="259"/>
      </w:pPr>
      <w:r>
        <w:rPr>
          <w:b/>
        </w:rPr>
        <w:t xml:space="preserve">7. </w:t>
      </w:r>
      <w:r>
        <w:t>Commit budget usage, holdings and purchase/event history only after all checks succeed.</w:t>
      </w:r>
    </w:p>
    <w:p>
      <w:pPr>
        <w:pStyle w:val="Heading1"/>
      </w:pPr>
      <w:r>
        <w:t>Cancellation, Batch and History Semantics</w:t>
      </w:r>
    </w:p>
    <w:p>
      <w:pPr>
        <w:keepNext w:val="0"/>
      </w:pPr>
      <w:r>
        <w:t>History in V1 is append-oriented. Successful events remain explainable after later changes; cancellation does not erase or mutate the original purchase record.</w:t>
      </w:r>
    </w:p>
    <w:p>
      <w:pPr>
        <w:pStyle w:val="ListBullet"/>
      </w:pPr>
      <w:r>
        <w:t>A valid cancellation reduces holdings and refunds the exact original post-tax charge.</w:t>
      </w:r>
    </w:p>
    <w:p>
      <w:pPr>
        <w:pStyle w:val="ListBullet"/>
      </w:pPr>
      <w:r>
        <w:t>Budget/quota/title usage is restored consistently.</w:t>
      </w:r>
    </w:p>
    <w:p>
      <w:pPr>
        <w:pStyle w:val="ListBullet"/>
      </w:pPr>
      <w:r>
        <w:t>The original purchase record and original vendor/department remain preserved.</w:t>
      </w:r>
    </w:p>
    <w:p>
      <w:pPr>
        <w:pStyle w:val="ListBullet"/>
      </w:pPr>
      <w:r>
        <w:t>A separate cancellation record/event is appended.</w:t>
      </w:r>
    </w:p>
    <w:p>
      <w:pPr>
        <w:pStyle w:val="ListBullet"/>
      </w:pPr>
      <w:r>
        <w:t>Double cancellation and cancellation of rejected/invalid records are rejected.</w:t>
      </w:r>
    </w:p>
    <w:p>
      <w:pPr>
        <w:pStyle w:val="ListBullet"/>
      </w:pPr>
      <w:r>
        <w:t>Independent batches allow per-item outcomes; atomic batches simulate all changes and commit only if the entire batch is valid.</w:t>
      </w:r>
    </w:p>
    <w:p>
      <w:pPr>
        <w:pStyle w:val="Heading1"/>
      </w:pPr>
      <w:r>
        <w:t>Configuration and Reporting</w:t>
      </w:r>
    </w:p>
    <w:p>
      <w:pPr>
        <w:keepNext w:val="0"/>
      </w:pPr>
      <w:r>
        <w:t>V1 moved important defaults into explicit configuration structures and created structured summary types so future APIs can consume data directly.</w:t>
      </w:r>
    </w:p>
    <w:p>
      <w:pPr>
        <w:pStyle w:val="ListBullet"/>
      </w:pPr>
      <w:r>
        <w:t>Configurable values include print/electronic tax rates, default loan duration and vendor selection.</w:t>
      </w:r>
    </w:p>
    <w:p>
      <w:pPr>
        <w:pStyle w:val="ListBullet"/>
      </w:pPr>
      <w:r>
        <w:t>Structured summaries include budget, category, department, acquisition and lending views.</w:t>
      </w:r>
    </w:p>
    <w:p>
      <w:pPr>
        <w:pStyle w:val="ListBullet"/>
      </w:pPr>
      <w:r>
        <w:t>Utilization percentages are defined safely for zero/unlimited limits.</w:t>
      </w:r>
    </w:p>
    <w:p>
      <w:pPr>
        <w:pStyle w:val="ListBullet"/>
      </w:pPr>
      <w:r>
        <w:t>Human-readable output remains useful for demos, but external layers should consume structured data rather than parse text.</w:t>
      </w:r>
    </w:p>
    <w:p>
      <w:pPr>
        <w:pStyle w:val="Heading1"/>
      </w:pPr>
      <w:r>
        <w:t>Exception Safety and Failure Semantics</w:t>
      </w:r>
    </w:p>
    <w:p>
      <w:pPr>
        <w:keepNext w:val="0"/>
      </w:pPr>
      <w:r>
        <w:t>V1 deliberately treats mutation ordering as a correctness feature. Operations are designed around strong exception-safety principles so an exception does not leave half-applied state.</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Mutation template: </w:t>
            </w:r>
            <w:r>
              <w:t>Validate → calculate → check constraints → prepare state → commit.</w:t>
            </w:r>
          </w:p>
        </w:tc>
      </w:tr>
    </w:tbl>
    <w:p/>
    <w:p>
      <w:pPr>
        <w:pStyle w:val="ListBullet"/>
      </w:pPr>
      <w:r>
        <w:t>Allocation failures were injected at many points to prove rollback behavior.</w:t>
      </w:r>
    </w:p>
    <w:p>
      <w:pPr>
        <w:pStyle w:val="ListBullet"/>
      </w:pPr>
      <w:r>
        <w:t>Mutation code should not update Budget before it knows Catalog/history changes can also be prepared safely.</w:t>
      </w:r>
    </w:p>
    <w:p>
      <w:pPr>
        <w:pStyle w:val="ListBullet"/>
      </w:pPr>
      <w:r>
        <w:t>A future database layer must preserve the same all-or-nothing semantics using real transactions.</w:t>
      </w:r>
    </w:p>
    <w:p>
      <w:pPr>
        <w:pStyle w:val="Heading1"/>
      </w:pPr>
      <w:r>
        <w:t>Testing Strategy and Evidence</w:t>
      </w:r>
    </w:p>
    <w:p>
      <w:pPr>
        <w:keepNext w:val="0"/>
      </w:pPr>
      <w:r>
        <w:t>V1 testing is deliberately layered: deterministic unit/regression tests prove business behavior, while fault injection proves mutation safety. The test organization was split by concern without replacing standard assert semantics.</w:t>
      </w:r>
    </w:p>
    <w:p>
      <w:pPr>
        <w:pStyle w:val="ListBullet"/>
      </w:pPr>
      <w:r>
        <w:t>26 logical test functions passed.</w:t>
      </w:r>
    </w:p>
    <w:p>
      <w:pPr>
        <w:pStyle w:val="ListBullet"/>
      </w:pPr>
      <w:r>
        <w:t>CTest 2/2 passed.</w:t>
      </w:r>
    </w:p>
    <w:p>
      <w:pPr>
        <w:pStyle w:val="ListBullet"/>
      </w:pPr>
      <w:r>
        <w:t>Fault-injection executable: 7 transaction scenarios / 58 allocation-failure points passed.</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Release evidence: </w:t>
            </w:r>
            <w:r>
              <w:t>The V1 release freeze recorded a warning-clean build, passing main tests, passing CTest and passing fault-injection scenarios.</w:t>
            </w:r>
          </w:p>
        </w:tc>
      </w:tr>
    </w:tbl>
    <w:p/>
    <w:p>
      <w:pPr>
        <w:pStyle w:val="Heading1"/>
      </w:pPr>
      <w:r>
        <w:t>Benchmarks and Scalability</w:t>
      </w:r>
    </w:p>
    <w:p>
      <w:pPr>
        <w:keepNext w:val="0"/>
      </w:pPr>
      <w:r>
        <w:t>Synthetic mixed-resource catalogs provide a reproducible performance baseline. These numbers describe the in-memory implementation and are not database benchmarks.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244A73"/>
            <w:tcMar>
              <w:top w:w="90" w:type="dxa"/>
              <w:start w:w="100" w:type="dxa"/>
              <w:bottom w:w="90" w:type="dxa"/>
              <w:end w:w="100" w:type="dxa"/>
            </w:tcMar>
          </w:tcPr>
          <w:p>
            <w:r>
              <w:rPr>
                <w:b/>
                <w:color w:val="FFFFFF"/>
                <w:sz w:val="15"/>
              </w:rPr>
              <w:t>Resources</w:t>
            </w:r>
          </w:p>
        </w:tc>
        <w:tc>
          <w:tcPr>
            <w:tcW w:type="dxa" w:w="1452"/>
            <w:shd w:fill="244A73"/>
            <w:tcMar>
              <w:top w:w="90" w:type="dxa"/>
              <w:start w:w="100" w:type="dxa"/>
              <w:bottom w:w="90" w:type="dxa"/>
              <w:end w:w="100" w:type="dxa"/>
            </w:tcMar>
          </w:tcPr>
          <w:p>
            <w:r>
              <w:rPr>
                <w:b/>
                <w:color w:val="FFFFFF"/>
                <w:sz w:val="15"/>
              </w:rPr>
              <w:t>Generation ms</w:t>
            </w:r>
          </w:p>
        </w:tc>
        <w:tc>
          <w:tcPr>
            <w:tcW w:type="dxa" w:w="1452"/>
            <w:shd w:fill="244A73"/>
            <w:tcMar>
              <w:top w:w="90" w:type="dxa"/>
              <w:start w:w="100" w:type="dxa"/>
              <w:bottom w:w="90" w:type="dxa"/>
              <w:end w:w="100" w:type="dxa"/>
            </w:tcMar>
          </w:tcPr>
          <w:p>
            <w:r>
              <w:rPr>
                <w:b/>
                <w:color w:val="FFFFFF"/>
                <w:sz w:val="15"/>
              </w:rPr>
              <w:t>10K ID lookups</w:t>
            </w:r>
          </w:p>
        </w:tc>
        <w:tc>
          <w:tcPr>
            <w:tcW w:type="dxa" w:w="1452"/>
            <w:shd w:fill="244A73"/>
            <w:tcMar>
              <w:top w:w="90" w:type="dxa"/>
              <w:start w:w="100" w:type="dxa"/>
              <w:bottom w:w="90" w:type="dxa"/>
              <w:end w:w="100" w:type="dxa"/>
            </w:tcMar>
          </w:tcPr>
          <w:p>
            <w:r>
              <w:rPr>
                <w:b/>
                <w:color w:val="FFFFFF"/>
                <w:sz w:val="15"/>
              </w:rPr>
              <w:t>Title</w:t>
            </w:r>
          </w:p>
        </w:tc>
        <w:tc>
          <w:tcPr>
            <w:tcW w:type="dxa" w:w="1452"/>
            <w:shd w:fill="244A73"/>
            <w:tcMar>
              <w:top w:w="90" w:type="dxa"/>
              <w:start w:w="100" w:type="dxa"/>
              <w:bottom w:w="90" w:type="dxa"/>
              <w:end w:w="100" w:type="dxa"/>
            </w:tcMar>
          </w:tcPr>
          <w:p>
            <w:r>
              <w:rPr>
                <w:b/>
                <w:color w:val="FFFFFF"/>
                <w:sz w:val="15"/>
              </w:rPr>
              <w:t>Author</w:t>
            </w:r>
          </w:p>
        </w:tc>
        <w:tc>
          <w:tcPr>
            <w:tcW w:type="dxa" w:w="1452"/>
            <w:shd w:fill="244A73"/>
            <w:tcMar>
              <w:top w:w="90" w:type="dxa"/>
              <w:start w:w="100" w:type="dxa"/>
              <w:bottom w:w="90" w:type="dxa"/>
              <w:end w:w="100" w:type="dxa"/>
            </w:tcMar>
          </w:tcPr>
          <w:p>
            <w:r>
              <w:rPr>
                <w:b/>
                <w:color w:val="FFFFFF"/>
                <w:sz w:val="15"/>
              </w:rPr>
              <w:t>Combined</w:t>
            </w:r>
          </w:p>
        </w:tc>
        <w:tc>
          <w:tcPr>
            <w:tcW w:type="dxa" w:w="1452"/>
            <w:shd w:fill="244A73"/>
            <w:tcMar>
              <w:top w:w="90" w:type="dxa"/>
              <w:start w:w="100" w:type="dxa"/>
              <w:bottom w:w="90" w:type="dxa"/>
              <w:end w:w="100" w:type="dxa"/>
            </w:tcMar>
          </w:tcPr>
          <w:p>
            <w:r>
              <w:rPr>
                <w:b/>
                <w:color w:val="FFFFFF"/>
                <w:sz w:val="15"/>
              </w:rPr>
              <w:t>Year</w:t>
            </w:r>
          </w:p>
        </w:tc>
      </w:tr>
      <w:tr>
        <w:trPr>
          <w:cantSplit/>
        </w:trPr>
        <w:tc>
          <w:tcPr>
            <w:tcW w:type="dxa" w:w="1452"/>
            <w:tcMar>
              <w:top w:w="90" w:type="dxa"/>
              <w:start w:w="100" w:type="dxa"/>
              <w:bottom w:w="90" w:type="dxa"/>
              <w:end w:w="100" w:type="dxa"/>
            </w:tcMar>
            <w:vAlign w:val="top"/>
          </w:tcPr>
          <w:p>
            <w:r>
              <w:rPr>
                <w:sz w:val="15"/>
              </w:rPr>
              <w:t>10K</w:t>
            </w:r>
          </w:p>
        </w:tc>
        <w:tc>
          <w:tcPr>
            <w:tcW w:type="dxa" w:w="1452"/>
            <w:tcMar>
              <w:top w:w="90" w:type="dxa"/>
              <w:start w:w="100" w:type="dxa"/>
              <w:bottom w:w="90" w:type="dxa"/>
              <w:end w:w="100" w:type="dxa"/>
            </w:tcMar>
            <w:vAlign w:val="top"/>
          </w:tcPr>
          <w:p>
            <w:r>
              <w:rPr>
                <w:sz w:val="15"/>
              </w:rPr>
              <w:t>24.709</w:t>
            </w:r>
          </w:p>
        </w:tc>
        <w:tc>
          <w:tcPr>
            <w:tcW w:type="dxa" w:w="1452"/>
            <w:tcMar>
              <w:top w:w="90" w:type="dxa"/>
              <w:start w:w="100" w:type="dxa"/>
              <w:bottom w:w="90" w:type="dxa"/>
              <w:end w:w="100" w:type="dxa"/>
            </w:tcMar>
            <w:vAlign w:val="top"/>
          </w:tcPr>
          <w:p>
            <w:r>
              <w:rPr>
                <w:sz w:val="15"/>
              </w:rPr>
              <w:t>6.125</w:t>
            </w:r>
          </w:p>
        </w:tc>
        <w:tc>
          <w:tcPr>
            <w:tcW w:type="dxa" w:w="1452"/>
            <w:tcMar>
              <w:top w:w="90" w:type="dxa"/>
              <w:start w:w="100" w:type="dxa"/>
              <w:bottom w:w="90" w:type="dxa"/>
              <w:end w:w="100" w:type="dxa"/>
            </w:tcMar>
            <w:vAlign w:val="top"/>
          </w:tcPr>
          <w:p>
            <w:r>
              <w:rPr>
                <w:sz w:val="15"/>
              </w:rPr>
              <w:t>4.750</w:t>
            </w:r>
          </w:p>
        </w:tc>
        <w:tc>
          <w:tcPr>
            <w:tcW w:type="dxa" w:w="1452"/>
            <w:tcMar>
              <w:top w:w="90" w:type="dxa"/>
              <w:start w:w="100" w:type="dxa"/>
              <w:bottom w:w="90" w:type="dxa"/>
              <w:end w:w="100" w:type="dxa"/>
            </w:tcMar>
            <w:vAlign w:val="top"/>
          </w:tcPr>
          <w:p>
            <w:r>
              <w:rPr>
                <w:sz w:val="15"/>
              </w:rPr>
              <w:t>1.858</w:t>
            </w:r>
          </w:p>
        </w:tc>
        <w:tc>
          <w:tcPr>
            <w:tcW w:type="dxa" w:w="1452"/>
            <w:tcMar>
              <w:top w:w="90" w:type="dxa"/>
              <w:start w:w="100" w:type="dxa"/>
              <w:bottom w:w="90" w:type="dxa"/>
              <w:end w:w="100" w:type="dxa"/>
            </w:tcMar>
            <w:vAlign w:val="top"/>
          </w:tcPr>
          <w:p>
            <w:r>
              <w:rPr>
                <w:sz w:val="15"/>
              </w:rPr>
              <w:t>4.807</w:t>
            </w:r>
          </w:p>
        </w:tc>
        <w:tc>
          <w:tcPr>
            <w:tcW w:type="dxa" w:w="1452"/>
            <w:tcMar>
              <w:top w:w="90" w:type="dxa"/>
              <w:start w:w="100" w:type="dxa"/>
              <w:bottom w:w="90" w:type="dxa"/>
              <w:end w:w="100" w:type="dxa"/>
            </w:tcMar>
            <w:vAlign w:val="top"/>
          </w:tcPr>
          <w:p>
            <w:r>
              <w:rPr>
                <w:sz w:val="15"/>
              </w:rPr>
              <w:t>1.062</w:t>
            </w:r>
          </w:p>
        </w:tc>
      </w:tr>
      <w:tr>
        <w:trPr>
          <w:cantSplit/>
        </w:trPr>
        <w:tc>
          <w:tcPr>
            <w:tcW w:type="dxa" w:w="1452"/>
            <w:tcMar>
              <w:top w:w="90" w:type="dxa"/>
              <w:start w:w="100" w:type="dxa"/>
              <w:bottom w:w="90" w:type="dxa"/>
              <w:end w:w="100" w:type="dxa"/>
            </w:tcMar>
            <w:vAlign w:val="top"/>
          </w:tcPr>
          <w:p>
            <w:r>
              <w:rPr>
                <w:sz w:val="15"/>
              </w:rPr>
              <w:t>100K</w:t>
            </w:r>
          </w:p>
        </w:tc>
        <w:tc>
          <w:tcPr>
            <w:tcW w:type="dxa" w:w="1452"/>
            <w:tcMar>
              <w:top w:w="90" w:type="dxa"/>
              <w:start w:w="100" w:type="dxa"/>
              <w:bottom w:w="90" w:type="dxa"/>
              <w:end w:w="100" w:type="dxa"/>
            </w:tcMar>
            <w:vAlign w:val="top"/>
          </w:tcPr>
          <w:p>
            <w:r>
              <w:rPr>
                <w:sz w:val="15"/>
              </w:rPr>
              <w:t>268.512</w:t>
            </w:r>
          </w:p>
        </w:tc>
        <w:tc>
          <w:tcPr>
            <w:tcW w:type="dxa" w:w="1452"/>
            <w:tcMar>
              <w:top w:w="90" w:type="dxa"/>
              <w:start w:w="100" w:type="dxa"/>
              <w:bottom w:w="90" w:type="dxa"/>
              <w:end w:w="100" w:type="dxa"/>
            </w:tcMar>
            <w:vAlign w:val="top"/>
          </w:tcPr>
          <w:p>
            <w:r>
              <w:rPr>
                <w:sz w:val="15"/>
              </w:rPr>
              <w:t>12.339</w:t>
            </w:r>
          </w:p>
        </w:tc>
        <w:tc>
          <w:tcPr>
            <w:tcW w:type="dxa" w:w="1452"/>
            <w:tcMar>
              <w:top w:w="90" w:type="dxa"/>
              <w:start w:w="100" w:type="dxa"/>
              <w:bottom w:w="90" w:type="dxa"/>
              <w:end w:w="100" w:type="dxa"/>
            </w:tcMar>
            <w:vAlign w:val="top"/>
          </w:tcPr>
          <w:p>
            <w:r>
              <w:rPr>
                <w:sz w:val="15"/>
              </w:rPr>
              <w:t>54.594</w:t>
            </w:r>
          </w:p>
        </w:tc>
        <w:tc>
          <w:tcPr>
            <w:tcW w:type="dxa" w:w="1452"/>
            <w:tcMar>
              <w:top w:w="90" w:type="dxa"/>
              <w:start w:w="100" w:type="dxa"/>
              <w:bottom w:w="90" w:type="dxa"/>
              <w:end w:w="100" w:type="dxa"/>
            </w:tcMar>
            <w:vAlign w:val="top"/>
          </w:tcPr>
          <w:p>
            <w:r>
              <w:rPr>
                <w:sz w:val="15"/>
              </w:rPr>
              <w:t>22.209</w:t>
            </w:r>
          </w:p>
        </w:tc>
        <w:tc>
          <w:tcPr>
            <w:tcW w:type="dxa" w:w="1452"/>
            <w:tcMar>
              <w:top w:w="90" w:type="dxa"/>
              <w:start w:w="100" w:type="dxa"/>
              <w:bottom w:w="90" w:type="dxa"/>
              <w:end w:w="100" w:type="dxa"/>
            </w:tcMar>
            <w:vAlign w:val="top"/>
          </w:tcPr>
          <w:p>
            <w:r>
              <w:rPr>
                <w:sz w:val="15"/>
              </w:rPr>
              <w:t>51.026</w:t>
            </w:r>
          </w:p>
        </w:tc>
        <w:tc>
          <w:tcPr>
            <w:tcW w:type="dxa" w:w="1452"/>
            <w:tcMar>
              <w:top w:w="90" w:type="dxa"/>
              <w:start w:w="100" w:type="dxa"/>
              <w:bottom w:w="90" w:type="dxa"/>
              <w:end w:w="100" w:type="dxa"/>
            </w:tcMar>
            <w:vAlign w:val="top"/>
          </w:tcPr>
          <w:p>
            <w:r>
              <w:rPr>
                <w:sz w:val="15"/>
              </w:rPr>
              <w:t>13.914</w:t>
            </w:r>
          </w:p>
        </w:tc>
      </w:tr>
      <w:tr>
        <w:trPr>
          <w:cantSplit/>
        </w:trPr>
        <w:tc>
          <w:tcPr>
            <w:tcW w:type="dxa" w:w="1452"/>
            <w:tcMar>
              <w:top w:w="90" w:type="dxa"/>
              <w:start w:w="100" w:type="dxa"/>
              <w:bottom w:w="90" w:type="dxa"/>
              <w:end w:w="100" w:type="dxa"/>
            </w:tcMar>
            <w:vAlign w:val="top"/>
          </w:tcPr>
          <w:p>
            <w:r>
              <w:rPr>
                <w:sz w:val="15"/>
              </w:rPr>
              <w:t>1M</w:t>
            </w:r>
          </w:p>
        </w:tc>
        <w:tc>
          <w:tcPr>
            <w:tcW w:type="dxa" w:w="1452"/>
            <w:tcMar>
              <w:top w:w="90" w:type="dxa"/>
              <w:start w:w="100" w:type="dxa"/>
              <w:bottom w:w="90" w:type="dxa"/>
              <w:end w:w="100" w:type="dxa"/>
            </w:tcMar>
            <w:vAlign w:val="top"/>
          </w:tcPr>
          <w:p>
            <w:r>
              <w:rPr>
                <w:sz w:val="15"/>
              </w:rPr>
              <w:t>2834.960</w:t>
            </w:r>
          </w:p>
        </w:tc>
        <w:tc>
          <w:tcPr>
            <w:tcW w:type="dxa" w:w="1452"/>
            <w:tcMar>
              <w:top w:w="90" w:type="dxa"/>
              <w:start w:w="100" w:type="dxa"/>
              <w:bottom w:w="90" w:type="dxa"/>
              <w:end w:w="100" w:type="dxa"/>
            </w:tcMar>
            <w:vAlign w:val="top"/>
          </w:tcPr>
          <w:p>
            <w:r>
              <w:rPr>
                <w:sz w:val="15"/>
              </w:rPr>
              <w:t>15.440</w:t>
            </w:r>
          </w:p>
        </w:tc>
        <w:tc>
          <w:tcPr>
            <w:tcW w:type="dxa" w:w="1452"/>
            <w:tcMar>
              <w:top w:w="90" w:type="dxa"/>
              <w:start w:w="100" w:type="dxa"/>
              <w:bottom w:w="90" w:type="dxa"/>
              <w:end w:w="100" w:type="dxa"/>
            </w:tcMar>
            <w:vAlign w:val="top"/>
          </w:tcPr>
          <w:p>
            <w:r>
              <w:rPr>
                <w:sz w:val="15"/>
              </w:rPr>
              <w:t>531.468</w:t>
            </w:r>
          </w:p>
        </w:tc>
        <w:tc>
          <w:tcPr>
            <w:tcW w:type="dxa" w:w="1452"/>
            <w:tcMar>
              <w:top w:w="90" w:type="dxa"/>
              <w:start w:w="100" w:type="dxa"/>
              <w:bottom w:w="90" w:type="dxa"/>
              <w:end w:w="100" w:type="dxa"/>
            </w:tcMar>
            <w:vAlign w:val="top"/>
          </w:tcPr>
          <w:p>
            <w:r>
              <w:rPr>
                <w:sz w:val="15"/>
              </w:rPr>
              <w:t>197.178</w:t>
            </w:r>
          </w:p>
        </w:tc>
        <w:tc>
          <w:tcPr>
            <w:tcW w:type="dxa" w:w="1452"/>
            <w:tcMar>
              <w:top w:w="90" w:type="dxa"/>
              <w:start w:w="100" w:type="dxa"/>
              <w:bottom w:w="90" w:type="dxa"/>
              <w:end w:w="100" w:type="dxa"/>
            </w:tcMar>
            <w:vAlign w:val="top"/>
          </w:tcPr>
          <w:p>
            <w:r>
              <w:rPr>
                <w:sz w:val="15"/>
              </w:rPr>
              <w:t>518.135</w:t>
            </w:r>
          </w:p>
        </w:tc>
        <w:tc>
          <w:tcPr>
            <w:tcW w:type="dxa" w:w="1452"/>
            <w:tcMar>
              <w:top w:w="90" w:type="dxa"/>
              <w:start w:w="100" w:type="dxa"/>
              <w:bottom w:w="90" w:type="dxa"/>
              <w:end w:w="100" w:type="dxa"/>
            </w:tcMar>
            <w:vAlign w:val="top"/>
          </w:tcPr>
          <w:p>
            <w:r>
              <w:rPr>
                <w:sz w:val="15"/>
              </w:rPr>
              <w:t>128.449</w:t>
            </w:r>
          </w:p>
        </w:tc>
      </w:tr>
    </w:tbl>
    <w:p/>
    <w:p>
      <w:r>
        <w:t>Interpretation: map-based exact lookup scales well; scan-based filtering grows roughly with catalog size. This is an explicit reason persistent/indexed search became a V2 concern rather than a hidden V1 defect.</w:t>
      </w:r>
    </w:p>
    <w:p>
      <w:pPr>
        <w:pStyle w:val="Heading1"/>
      </w:pPr>
      <w:r>
        <w:t>Build, Run and Developer Workflow</w:t>
      </w:r>
    </w:p>
    <w:p>
      <w:pPr>
        <w:keepNext w:val="0"/>
      </w:pPr>
      <w:r>
        <w:t>The frozen release is intended to be reproducible from a clean build directory.</w:t>
      </w:r>
    </w:p>
    <w:p>
      <w:pPr>
        <w:pStyle w:val="CodeBlock"/>
        <w:keepNext w:val="0"/>
        <w:keepLines/>
        <w:shd w:fill="F5F7F9"/>
      </w:pPr>
      <w:r>
        <w:t>rm -rf build</w:t>
      </w:r>
      <w:r>
        <w:br/>
      </w:r>
      <w:r>
        <w:t>cmake -S . -B build</w:t>
      </w:r>
      <w:r>
        <w:br/>
      </w:r>
      <w:r>
        <w:t>cmake --build build --parallel</w:t>
      </w:r>
      <w:r>
        <w:br/>
      </w:r>
      <w:r>
        <w:t>ctest --test-dir build --output-on-failure</w:t>
      </w:r>
      <w:r>
        <w:br/>
      </w:r>
      <w:r>
        <w:t>./build/bookmgmt_tests</w:t>
      </w:r>
      <w:r>
        <w:br/>
      </w:r>
      <w:r>
        <w:t>./build/bookmgmt_fault_tests</w:t>
      </w:r>
      <w:r>
        <w:br/>
      </w:r>
      <w:r>
        <w:t>./build/demo</w:t>
      </w:r>
      <w:r>
        <w:br/>
      </w:r>
      <w:r>
        <w:t>./build/bookmgmt_benchmark</w:t>
      </w:r>
    </w:p>
    <w:p>
      <w:pPr>
        <w:pStyle w:val="ListBullet"/>
      </w:pPr>
      <w:r>
        <w:t>Treat warnings as defects during release stabilization.</w:t>
      </w:r>
    </w:p>
    <w:p>
      <w:pPr>
        <w:pStyle w:val="ListBullet"/>
      </w:pPr>
      <w:r>
        <w:t>Do not modify academic names casually; they were retained to preserve assignment compatibility.</w:t>
      </w:r>
    </w:p>
    <w:p>
      <w:pPr>
        <w:pStyle w:val="ListBullet"/>
      </w:pPr>
      <w:r>
        <w:t>Use structured reports and public APIs rather than reaching into internal containers from new code.</w:t>
      </w:r>
    </w:p>
    <w:p>
      <w:pPr>
        <w:pStyle w:val="Heading1"/>
      </w:pPr>
      <w:r>
        <w:t>File/Module Map</w:t>
      </w:r>
    </w:p>
    <w:p>
      <w:pPr>
        <w:keepNext w:val="0"/>
      </w:pPr>
      <w:r>
        <w:t>This map is a navigation aid, not an exhaustive directory listing. Start from the responsibility you need to change, then follow the listed files and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44A73"/>
            <w:tcMar>
              <w:top w:w="90" w:type="dxa"/>
              <w:start w:w="100" w:type="dxa"/>
              <w:bottom w:w="90" w:type="dxa"/>
              <w:end w:w="100" w:type="dxa"/>
            </w:tcMar>
          </w:tcPr>
          <w:p>
            <w:r>
              <w:rPr>
                <w:b/>
                <w:color w:val="FFFFFF"/>
                <w:sz w:val="16"/>
              </w:rPr>
              <w:t>Area</w:t>
            </w:r>
          </w:p>
        </w:tc>
        <w:tc>
          <w:tcPr>
            <w:tcW w:type="dxa" w:w="8640"/>
            <w:shd w:fill="244A73"/>
            <w:tcMar>
              <w:top w:w="90" w:type="dxa"/>
              <w:start w:w="100" w:type="dxa"/>
              <w:bottom w:w="90" w:type="dxa"/>
              <w:end w:w="100" w:type="dxa"/>
            </w:tcMar>
          </w:tcPr>
          <w:p>
            <w:r>
              <w:rPr>
                <w:b/>
                <w:color w:val="FFFFFF"/>
                <w:sz w:val="16"/>
              </w:rPr>
              <w:t>Representative files</w:t>
            </w:r>
          </w:p>
        </w:tc>
      </w:tr>
      <w:tr>
        <w:trPr>
          <w:cantSplit/>
        </w:trPr>
        <w:tc>
          <w:tcPr>
            <w:tcW w:type="dxa" w:w="2160"/>
            <w:tcMar>
              <w:top w:w="90" w:type="dxa"/>
              <w:start w:w="100" w:type="dxa"/>
              <w:bottom w:w="90" w:type="dxa"/>
              <w:end w:w="100" w:type="dxa"/>
            </w:tcMar>
            <w:vAlign w:val="top"/>
          </w:tcPr>
          <w:p>
            <w:r>
              <w:rPr>
                <w:sz w:val="16"/>
              </w:rPr>
              <w:t>Core resources</w:t>
            </w:r>
          </w:p>
        </w:tc>
        <w:tc>
          <w:tcPr>
            <w:tcW w:type="dxa" w:w="8640"/>
            <w:tcMar>
              <w:top w:w="90" w:type="dxa"/>
              <w:start w:w="100" w:type="dxa"/>
              <w:bottom w:w="90" w:type="dxa"/>
              <w:end w:w="100" w:type="dxa"/>
            </w:tcMar>
            <w:vAlign w:val="top"/>
          </w:tcPr>
          <w:p>
            <w:r>
              <w:rPr>
                <w:sz w:val="16"/>
              </w:rPr>
              <w:t>Resource.*, Book.*, MT26076_Journal.*, ElectronicResource.*, MT26076_EBook.*, MT26076_AudioBook.*, MT26076_Thesis.*</w:t>
            </w:r>
          </w:p>
        </w:tc>
      </w:tr>
      <w:tr>
        <w:trPr>
          <w:cantSplit/>
        </w:trPr>
        <w:tc>
          <w:tcPr>
            <w:tcW w:type="dxa" w:w="2160"/>
            <w:tcMar>
              <w:top w:w="90" w:type="dxa"/>
              <w:start w:w="100" w:type="dxa"/>
              <w:bottom w:w="90" w:type="dxa"/>
              <w:end w:w="100" w:type="dxa"/>
            </w:tcMar>
            <w:vAlign w:val="top"/>
          </w:tcPr>
          <w:p>
            <w:r>
              <w:rPr>
                <w:sz w:val="16"/>
              </w:rPr>
              <w:t>Core services</w:t>
            </w:r>
          </w:p>
        </w:tc>
        <w:tc>
          <w:tcPr>
            <w:tcW w:type="dxa" w:w="8640"/>
            <w:tcMar>
              <w:top w:w="90" w:type="dxa"/>
              <w:start w:w="100" w:type="dxa"/>
              <w:bottom w:w="90" w:type="dxa"/>
              <w:end w:w="100" w:type="dxa"/>
            </w:tcMar>
            <w:vAlign w:val="top"/>
          </w:tcPr>
          <w:p>
            <w:r>
              <w:rPr>
                <w:sz w:val="16"/>
              </w:rPr>
              <w:t>Catalog.*, Budget.*, Acquisition.*, Lending.*, Money.*, Validation.h, History.h</w:t>
            </w:r>
          </w:p>
        </w:tc>
      </w:tr>
      <w:tr>
        <w:trPr>
          <w:cantSplit/>
        </w:trPr>
        <w:tc>
          <w:tcPr>
            <w:tcW w:type="dxa" w:w="2160"/>
            <w:tcMar>
              <w:top w:w="90" w:type="dxa"/>
              <w:start w:w="100" w:type="dxa"/>
              <w:bottom w:w="90" w:type="dxa"/>
              <w:end w:w="100" w:type="dxa"/>
            </w:tcMar>
            <w:vAlign w:val="top"/>
          </w:tcPr>
          <w:p>
            <w:r>
              <w:rPr>
                <w:sz w:val="16"/>
              </w:rPr>
              <w:t>Tests</w:t>
            </w:r>
          </w:p>
        </w:tc>
        <w:tc>
          <w:tcPr>
            <w:tcW w:type="dxa" w:w="8640"/>
            <w:tcMar>
              <w:top w:w="90" w:type="dxa"/>
              <w:start w:w="100" w:type="dxa"/>
              <w:bottom w:w="90" w:type="dxa"/>
              <w:end w:w="100" w:type="dxa"/>
            </w:tcMar>
            <w:vAlign w:val="top"/>
          </w:tcPr>
          <w:p>
            <w:r>
              <w:rPr>
                <w:sz w:val="16"/>
              </w:rPr>
              <w:t>tests/test_*.cpp, tests/fault_injection.cpp</w:t>
            </w:r>
          </w:p>
        </w:tc>
      </w:tr>
      <w:tr>
        <w:trPr>
          <w:cantSplit/>
        </w:trPr>
        <w:tc>
          <w:tcPr>
            <w:tcW w:type="dxa" w:w="2160"/>
            <w:tcMar>
              <w:top w:w="90" w:type="dxa"/>
              <w:start w:w="100" w:type="dxa"/>
              <w:bottom w:w="90" w:type="dxa"/>
              <w:end w:w="100" w:type="dxa"/>
            </w:tcMar>
            <w:vAlign w:val="top"/>
          </w:tcPr>
          <w:p>
            <w:r>
              <w:rPr>
                <w:sz w:val="16"/>
              </w:rPr>
              <w:t>Benchmarks</w:t>
            </w:r>
          </w:p>
        </w:tc>
        <w:tc>
          <w:tcPr>
            <w:tcW w:type="dxa" w:w="8640"/>
            <w:tcMar>
              <w:top w:w="90" w:type="dxa"/>
              <w:start w:w="100" w:type="dxa"/>
              <w:bottom w:w="90" w:type="dxa"/>
              <w:end w:w="100" w:type="dxa"/>
            </w:tcMar>
            <w:vAlign w:val="top"/>
          </w:tcPr>
          <w:p>
            <w:r>
              <w:rPr>
                <w:sz w:val="16"/>
              </w:rPr>
              <w:t>benchmarks/SyntheticCatalog.h, benchmarks/benchmark_catalog.cpp</w:t>
            </w:r>
          </w:p>
        </w:tc>
      </w:tr>
      <w:tr>
        <w:trPr>
          <w:cantSplit/>
        </w:trPr>
        <w:tc>
          <w:tcPr>
            <w:tcW w:type="dxa" w:w="2160"/>
            <w:tcMar>
              <w:top w:w="90" w:type="dxa"/>
              <w:start w:w="100" w:type="dxa"/>
              <w:bottom w:w="90" w:type="dxa"/>
              <w:end w:w="100" w:type="dxa"/>
            </w:tcMar>
            <w:vAlign w:val="top"/>
          </w:tcPr>
          <w:p>
            <w:r>
              <w:rPr>
                <w:sz w:val="16"/>
              </w:rPr>
              <w:t>Docs</w:t>
            </w:r>
          </w:p>
        </w:tc>
        <w:tc>
          <w:tcPr>
            <w:tcW w:type="dxa" w:w="8640"/>
            <w:tcMar>
              <w:top w:w="90" w:type="dxa"/>
              <w:start w:w="100" w:type="dxa"/>
              <w:bottom w:w="90" w:type="dxa"/>
              <w:end w:w="100" w:type="dxa"/>
            </w:tcMar>
            <w:vAlign w:val="top"/>
          </w:tcPr>
          <w:p>
            <w:r>
              <w:rPr>
                <w:sz w:val="16"/>
              </w:rPr>
              <w:t>README.md, ANSWERS.md, docs/RELEASE_FREEZE_REPORT.md</w:t>
            </w:r>
          </w:p>
        </w:tc>
      </w:tr>
    </w:tbl>
    <w:p/>
    <w:p>
      <w:pPr>
        <w:pStyle w:val="Heading1"/>
      </w:pPr>
      <w:r>
        <w:t>Design Decisions and Rationale</w:t>
      </w:r>
    </w:p>
    <w:p>
      <w:pPr>
        <w:keepNext w:val="0"/>
      </w:pPr>
      <w:r>
        <w:t>The most important design knowledge is not what the code does, but why certain seemingly simpler alternatives were rejected.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244A73"/>
            <w:tcMar>
              <w:top w:w="90" w:type="dxa"/>
              <w:start w:w="100" w:type="dxa"/>
              <w:bottom w:w="90" w:type="dxa"/>
              <w:end w:w="100" w:type="dxa"/>
            </w:tcMar>
          </w:tcPr>
          <w:p>
            <w:r>
              <w:rPr>
                <w:b/>
                <w:color w:val="FFFFFF"/>
                <w:sz w:val="16"/>
              </w:rPr>
              <w:t>Decision</w:t>
            </w:r>
          </w:p>
        </w:tc>
        <w:tc>
          <w:tcPr>
            <w:tcW w:type="dxa" w:w="4752"/>
            <w:shd w:fill="244A73"/>
            <w:tcMar>
              <w:top w:w="90" w:type="dxa"/>
              <w:start w:w="100" w:type="dxa"/>
              <w:bottom w:w="90" w:type="dxa"/>
              <w:end w:w="100" w:type="dxa"/>
            </w:tcMar>
          </w:tcPr>
          <w:p>
            <w:r>
              <w:rPr>
                <w:b/>
                <w:color w:val="FFFFFF"/>
                <w:sz w:val="16"/>
              </w:rPr>
              <w:t>Why this choice was made</w:t>
            </w:r>
          </w:p>
        </w:tc>
        <w:tc>
          <w:tcPr>
            <w:tcW w:type="dxa" w:w="3456"/>
            <w:shd w:fill="244A73"/>
            <w:tcMar>
              <w:top w:w="90" w:type="dxa"/>
              <w:start w:w="100" w:type="dxa"/>
              <w:bottom w:w="90" w:type="dxa"/>
              <w:end w:w="100" w:type="dxa"/>
            </w:tcMar>
          </w:tcPr>
          <w:p>
            <w:r>
              <w:rPr>
                <w:b/>
                <w:color w:val="FFFFFF"/>
                <w:sz w:val="16"/>
              </w:rPr>
              <w:t>What not to do casually</w:t>
            </w:r>
          </w:p>
        </w:tc>
      </w:tr>
      <w:tr>
        <w:trPr>
          <w:cantSplit/>
        </w:trPr>
        <w:tc>
          <w:tcPr>
            <w:tcW w:type="dxa" w:w="2592"/>
            <w:tcMar>
              <w:top w:w="90" w:type="dxa"/>
              <w:start w:w="100" w:type="dxa"/>
              <w:bottom w:w="90" w:type="dxa"/>
              <w:end w:w="100" w:type="dxa"/>
            </w:tcMar>
            <w:vAlign w:val="top"/>
          </w:tcPr>
          <w:p>
            <w:r>
              <w:rPr>
                <w:sz w:val="16"/>
              </w:rPr>
              <w:t>Fixed-point Money</w:t>
            </w:r>
          </w:p>
        </w:tc>
        <w:tc>
          <w:tcPr>
            <w:tcW w:type="dxa" w:w="4752"/>
            <w:tcMar>
              <w:top w:w="90" w:type="dxa"/>
              <w:start w:w="100" w:type="dxa"/>
              <w:bottom w:w="90" w:type="dxa"/>
              <w:end w:w="100" w:type="dxa"/>
            </w:tcMar>
            <w:vAlign w:val="top"/>
          </w:tcPr>
          <w:p>
            <w:r>
              <w:rPr>
                <w:sz w:val="16"/>
              </w:rPr>
              <w:t>Financial rules require exact arithmetic and currency validation.</w:t>
            </w:r>
          </w:p>
        </w:tc>
        <w:tc>
          <w:tcPr>
            <w:tcW w:type="dxa" w:w="3456"/>
            <w:tcMar>
              <w:top w:w="90" w:type="dxa"/>
              <w:start w:w="100" w:type="dxa"/>
              <w:bottom w:w="90" w:type="dxa"/>
              <w:end w:w="100" w:type="dxa"/>
            </w:tcMar>
            <w:vAlign w:val="top"/>
          </w:tcPr>
          <w:p>
            <w:r>
              <w:rPr>
                <w:sz w:val="16"/>
              </w:rPr>
              <w:t>Do not replace with double.</w:t>
            </w:r>
          </w:p>
        </w:tc>
      </w:tr>
      <w:tr>
        <w:trPr>
          <w:cantSplit/>
        </w:trPr>
        <w:tc>
          <w:tcPr>
            <w:tcW w:type="dxa" w:w="2592"/>
            <w:tcMar>
              <w:top w:w="90" w:type="dxa"/>
              <w:start w:w="100" w:type="dxa"/>
              <w:bottom w:w="90" w:type="dxa"/>
              <w:end w:w="100" w:type="dxa"/>
            </w:tcMar>
            <w:vAlign w:val="top"/>
          </w:tcPr>
          <w:p>
            <w:r>
              <w:rPr>
                <w:sz w:val="16"/>
              </w:rPr>
              <w:t>Keep C++17</w:t>
            </w:r>
          </w:p>
        </w:tc>
        <w:tc>
          <w:tcPr>
            <w:tcW w:type="dxa" w:w="4752"/>
            <w:tcMar>
              <w:top w:w="90" w:type="dxa"/>
              <w:start w:w="100" w:type="dxa"/>
              <w:bottom w:w="90" w:type="dxa"/>
              <w:end w:w="100" w:type="dxa"/>
            </w:tcMar>
            <w:vAlign w:val="top"/>
          </w:tcPr>
          <w:p>
            <w:r>
              <w:rPr>
                <w:sz w:val="16"/>
              </w:rPr>
              <w:t>Academic/core compatibility and stable toolchain.</w:t>
            </w:r>
          </w:p>
        </w:tc>
        <w:tc>
          <w:tcPr>
            <w:tcW w:type="dxa" w:w="3456"/>
            <w:tcMar>
              <w:top w:w="90" w:type="dxa"/>
              <w:start w:w="100" w:type="dxa"/>
              <w:bottom w:w="90" w:type="dxa"/>
              <w:end w:w="100" w:type="dxa"/>
            </w:tcMar>
            <w:vAlign w:val="top"/>
          </w:tcPr>
          <w:p>
            <w:r>
              <w:rPr>
                <w:sz w:val="16"/>
              </w:rPr>
              <w:t>Do not upgrade language standard just for convenience without release-wide review.</w:t>
            </w:r>
          </w:p>
        </w:tc>
      </w:tr>
      <w:tr>
        <w:trPr>
          <w:cantSplit/>
        </w:trPr>
        <w:tc>
          <w:tcPr>
            <w:tcW w:type="dxa" w:w="2592"/>
            <w:tcMar>
              <w:top w:w="90" w:type="dxa"/>
              <w:start w:w="100" w:type="dxa"/>
              <w:bottom w:w="90" w:type="dxa"/>
              <w:end w:w="100" w:type="dxa"/>
            </w:tcMar>
            <w:vAlign w:val="top"/>
          </w:tcPr>
          <w:p>
            <w:r>
              <w:rPr>
                <w:sz w:val="16"/>
              </w:rPr>
              <w:t>Preserve legacy APIs</w:t>
            </w:r>
          </w:p>
        </w:tc>
        <w:tc>
          <w:tcPr>
            <w:tcW w:type="dxa" w:w="4752"/>
            <w:tcMar>
              <w:top w:w="90" w:type="dxa"/>
              <w:start w:w="100" w:type="dxa"/>
              <w:bottom w:w="90" w:type="dxa"/>
              <w:end w:w="100" w:type="dxa"/>
            </w:tcMar>
            <w:vAlign w:val="top"/>
          </w:tcPr>
          <w:p>
            <w:r>
              <w:rPr>
                <w:sz w:val="16"/>
              </w:rPr>
              <w:t>Assignment/demo compatibility matters.</w:t>
            </w:r>
          </w:p>
        </w:tc>
        <w:tc>
          <w:tcPr>
            <w:tcW w:type="dxa" w:w="3456"/>
            <w:tcMar>
              <w:top w:w="90" w:type="dxa"/>
              <w:start w:w="100" w:type="dxa"/>
              <w:bottom w:w="90" w:type="dxa"/>
              <w:end w:w="100" w:type="dxa"/>
            </w:tcMar>
            <w:vAlign w:val="top"/>
          </w:tcPr>
          <w:p>
            <w:r>
              <w:rPr>
                <w:sz w:val="16"/>
              </w:rPr>
              <w:t>Do not remove old lend/purchase entry points without migration plan.</w:t>
            </w:r>
          </w:p>
        </w:tc>
      </w:tr>
      <w:tr>
        <w:trPr>
          <w:cantSplit/>
        </w:trPr>
        <w:tc>
          <w:tcPr>
            <w:tcW w:type="dxa" w:w="2592"/>
            <w:tcMar>
              <w:top w:w="90" w:type="dxa"/>
              <w:start w:w="100" w:type="dxa"/>
              <w:bottom w:w="90" w:type="dxa"/>
              <w:end w:w="100" w:type="dxa"/>
            </w:tcMar>
            <w:vAlign w:val="top"/>
          </w:tcPr>
          <w:p>
            <w:r>
              <w:rPr>
                <w:sz w:val="16"/>
              </w:rPr>
              <w:t>Structured reports</w:t>
            </w:r>
          </w:p>
        </w:tc>
        <w:tc>
          <w:tcPr>
            <w:tcW w:type="dxa" w:w="4752"/>
            <w:tcMar>
              <w:top w:w="90" w:type="dxa"/>
              <w:start w:w="100" w:type="dxa"/>
              <w:bottom w:w="90" w:type="dxa"/>
              <w:end w:w="100" w:type="dxa"/>
            </w:tcMar>
            <w:vAlign w:val="top"/>
          </w:tcPr>
          <w:p>
            <w:r>
              <w:rPr>
                <w:sz w:val="16"/>
              </w:rPr>
              <w:t>Future layers need typed data.</w:t>
            </w:r>
          </w:p>
        </w:tc>
        <w:tc>
          <w:tcPr>
            <w:tcW w:type="dxa" w:w="3456"/>
            <w:tcMar>
              <w:top w:w="90" w:type="dxa"/>
              <w:start w:w="100" w:type="dxa"/>
              <w:bottom w:w="90" w:type="dxa"/>
              <w:end w:w="100" w:type="dxa"/>
            </w:tcMar>
            <w:vAlign w:val="top"/>
          </w:tcPr>
          <w:p>
            <w:r>
              <w:rPr>
                <w:sz w:val="16"/>
              </w:rPr>
              <w:t>Do not parse console strings in APIs.</w:t>
            </w:r>
          </w:p>
        </w:tc>
      </w:tr>
      <w:tr>
        <w:trPr>
          <w:cantSplit/>
        </w:trPr>
        <w:tc>
          <w:tcPr>
            <w:tcW w:type="dxa" w:w="2592"/>
            <w:tcMar>
              <w:top w:w="90" w:type="dxa"/>
              <w:start w:w="100" w:type="dxa"/>
              <w:bottom w:w="90" w:type="dxa"/>
              <w:end w:w="100" w:type="dxa"/>
            </w:tcMar>
            <w:vAlign w:val="top"/>
          </w:tcPr>
          <w:p>
            <w:r>
              <w:rPr>
                <w:sz w:val="16"/>
              </w:rPr>
              <w:t>Append history</w:t>
            </w:r>
          </w:p>
        </w:tc>
        <w:tc>
          <w:tcPr>
            <w:tcW w:type="dxa" w:w="4752"/>
            <w:tcMar>
              <w:top w:w="90" w:type="dxa"/>
              <w:start w:w="100" w:type="dxa"/>
              <w:bottom w:w="90" w:type="dxa"/>
              <w:end w:w="100" w:type="dxa"/>
            </w:tcMar>
            <w:vAlign w:val="top"/>
          </w:tcPr>
          <w:p>
            <w:r>
              <w:rPr>
                <w:sz w:val="16"/>
              </w:rPr>
              <w:t>Auditability and explainability.</w:t>
            </w:r>
          </w:p>
        </w:tc>
        <w:tc>
          <w:tcPr>
            <w:tcW w:type="dxa" w:w="3456"/>
            <w:tcMar>
              <w:top w:w="90" w:type="dxa"/>
              <w:start w:w="100" w:type="dxa"/>
              <w:bottom w:w="90" w:type="dxa"/>
              <w:end w:w="100" w:type="dxa"/>
            </w:tcMar>
            <w:vAlign w:val="top"/>
          </w:tcPr>
          <w:p>
            <w:r>
              <w:rPr>
                <w:sz w:val="16"/>
              </w:rPr>
              <w:t>Do not overwrite original purchase records.</w:t>
            </w:r>
          </w:p>
        </w:tc>
      </w:tr>
      <w:tr>
        <w:trPr>
          <w:cantSplit/>
        </w:trPr>
        <w:tc>
          <w:tcPr>
            <w:tcW w:type="dxa" w:w="2592"/>
            <w:tcMar>
              <w:top w:w="90" w:type="dxa"/>
              <w:start w:w="100" w:type="dxa"/>
              <w:bottom w:w="90" w:type="dxa"/>
              <w:end w:w="100" w:type="dxa"/>
            </w:tcMar>
            <w:vAlign w:val="top"/>
          </w:tcPr>
          <w:p>
            <w:r>
              <w:rPr>
                <w:sz w:val="16"/>
              </w:rPr>
              <w:t>Global inventory + department finance</w:t>
            </w:r>
          </w:p>
        </w:tc>
        <w:tc>
          <w:tcPr>
            <w:tcW w:type="dxa" w:w="4752"/>
            <w:tcMar>
              <w:top w:w="90" w:type="dxa"/>
              <w:start w:w="100" w:type="dxa"/>
              <w:bottom w:w="90" w:type="dxa"/>
              <w:end w:w="100" w:type="dxa"/>
            </w:tcMar>
            <w:vAlign w:val="top"/>
          </w:tcPr>
          <w:p>
            <w:r>
              <w:rPr>
                <w:sz w:val="16"/>
              </w:rPr>
              <w:t>Physical holdings and financial authority are different concepts.</w:t>
            </w:r>
          </w:p>
        </w:tc>
        <w:tc>
          <w:tcPr>
            <w:tcW w:type="dxa" w:w="3456"/>
            <w:tcMar>
              <w:top w:w="90" w:type="dxa"/>
              <w:start w:w="100" w:type="dxa"/>
              <w:bottom w:w="90" w:type="dxa"/>
              <w:end w:w="100" w:type="dxa"/>
            </w:tcMar>
            <w:vAlign w:val="top"/>
          </w:tcPr>
          <w:p>
            <w:r>
              <w:rPr>
                <w:sz w:val="16"/>
              </w:rPr>
              <w:t>Do not create duplicate department-specific catalogs unless requirements change.</w:t>
            </w:r>
          </w:p>
        </w:tc>
      </w:tr>
      <w:tr>
        <w:trPr>
          <w:cantSplit/>
        </w:trPr>
        <w:tc>
          <w:tcPr>
            <w:tcW w:type="dxa" w:w="2592"/>
            <w:tcMar>
              <w:top w:w="90" w:type="dxa"/>
              <w:start w:w="100" w:type="dxa"/>
              <w:bottom w:w="90" w:type="dxa"/>
              <w:end w:w="100" w:type="dxa"/>
            </w:tcMar>
            <w:vAlign w:val="top"/>
          </w:tcPr>
          <w:p>
            <w:r>
              <w:rPr>
                <w:sz w:val="16"/>
              </w:rPr>
              <w:t>No DB/API/AI in V1</w:t>
            </w:r>
          </w:p>
        </w:tc>
        <w:tc>
          <w:tcPr>
            <w:tcW w:type="dxa" w:w="4752"/>
            <w:tcMar>
              <w:top w:w="90" w:type="dxa"/>
              <w:start w:w="100" w:type="dxa"/>
              <w:bottom w:w="90" w:type="dxa"/>
              <w:end w:w="100" w:type="dxa"/>
            </w:tcMar>
            <w:vAlign w:val="top"/>
          </w:tcPr>
          <w:p>
            <w:r>
              <w:rPr>
                <w:sz w:val="16"/>
              </w:rPr>
              <w:t>Stabilize rules first.</w:t>
            </w:r>
          </w:p>
        </w:tc>
        <w:tc>
          <w:tcPr>
            <w:tcW w:type="dxa" w:w="3456"/>
            <w:tcMar>
              <w:top w:w="90" w:type="dxa"/>
              <w:start w:w="100" w:type="dxa"/>
              <w:bottom w:w="90" w:type="dxa"/>
              <w:end w:w="100" w:type="dxa"/>
            </w:tcMar>
            <w:vAlign w:val="top"/>
          </w:tcPr>
          <w:p>
            <w:r>
              <w:rPr>
                <w:sz w:val="16"/>
              </w:rPr>
              <w:t>Do not label deferred infrastructure as missing correctness.</w:t>
            </w:r>
          </w:p>
        </w:tc>
      </w:tr>
    </w:tbl>
    <w:p/>
    <w:p>
      <w:pPr>
        <w:pStyle w:val="Heading1"/>
      </w:pPr>
      <w:r>
        <w:t>Known Limitations and Deferred Scope</w:t>
      </w:r>
    </w:p>
    <w:p>
      <w:pPr>
        <w:keepNext w:val="0"/>
      </w:pPr>
      <w:r>
        <w:t>V1 is intentionally not a complete production library platform. Its limitations are explicit so later work can distinguish deliberate scope from accidental debt.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244A73"/>
            <w:tcMar>
              <w:top w:w="90" w:type="dxa"/>
              <w:start w:w="100" w:type="dxa"/>
              <w:bottom w:w="90" w:type="dxa"/>
              <w:end w:w="100" w:type="dxa"/>
            </w:tcMar>
          </w:tcPr>
          <w:p>
            <w:r>
              <w:rPr>
                <w:b/>
                <w:color w:val="FFFFFF"/>
                <w:sz w:val="16"/>
              </w:rPr>
              <w:t>Area</w:t>
            </w:r>
          </w:p>
        </w:tc>
        <w:tc>
          <w:tcPr>
            <w:tcW w:type="dxa" w:w="4752"/>
            <w:shd w:fill="244A73"/>
            <w:tcMar>
              <w:top w:w="90" w:type="dxa"/>
              <w:start w:w="100" w:type="dxa"/>
              <w:bottom w:w="90" w:type="dxa"/>
              <w:end w:w="100" w:type="dxa"/>
            </w:tcMar>
          </w:tcPr>
          <w:p>
            <w:r>
              <w:rPr>
                <w:b/>
                <w:color w:val="FFFFFF"/>
                <w:sz w:val="16"/>
              </w:rPr>
              <w:t>V1 limitation</w:t>
            </w:r>
          </w:p>
        </w:tc>
        <w:tc>
          <w:tcPr>
            <w:tcW w:type="dxa" w:w="3744"/>
            <w:shd w:fill="244A73"/>
            <w:tcMar>
              <w:top w:w="90" w:type="dxa"/>
              <w:start w:w="100" w:type="dxa"/>
              <w:bottom w:w="90" w:type="dxa"/>
              <w:end w:w="100" w:type="dxa"/>
            </w:tcMar>
          </w:tcPr>
          <w:p>
            <w:r>
              <w:rPr>
                <w:b/>
                <w:color w:val="FFFFFF"/>
                <w:sz w:val="16"/>
              </w:rPr>
              <w:t>Planned direction</w:t>
            </w:r>
          </w:p>
        </w:tc>
      </w:tr>
      <w:tr>
        <w:trPr>
          <w:cantSplit/>
        </w:trPr>
        <w:tc>
          <w:tcPr>
            <w:tcW w:type="dxa" w:w="2304"/>
            <w:tcMar>
              <w:top w:w="90" w:type="dxa"/>
              <w:start w:w="100" w:type="dxa"/>
              <w:bottom w:w="90" w:type="dxa"/>
              <w:end w:w="100" w:type="dxa"/>
            </w:tcMar>
            <w:vAlign w:val="top"/>
          </w:tcPr>
          <w:p>
            <w:r>
              <w:rPr>
                <w:sz w:val="16"/>
              </w:rPr>
              <w:t>Persistence</w:t>
            </w:r>
          </w:p>
        </w:tc>
        <w:tc>
          <w:tcPr>
            <w:tcW w:type="dxa" w:w="4752"/>
            <w:tcMar>
              <w:top w:w="90" w:type="dxa"/>
              <w:start w:w="100" w:type="dxa"/>
              <w:bottom w:w="90" w:type="dxa"/>
              <w:end w:w="100" w:type="dxa"/>
            </w:tcMar>
            <w:vAlign w:val="top"/>
          </w:tcPr>
          <w:p>
            <w:r>
              <w:rPr>
                <w:sz w:val="16"/>
              </w:rPr>
              <w:t>Runtime state is in memory and lost on application exit.</w:t>
            </w:r>
          </w:p>
        </w:tc>
        <w:tc>
          <w:tcPr>
            <w:tcW w:type="dxa" w:w="3744"/>
            <w:tcMar>
              <w:top w:w="90" w:type="dxa"/>
              <w:start w:w="100" w:type="dxa"/>
              <w:bottom w:w="90" w:type="dxa"/>
              <w:end w:w="100" w:type="dxa"/>
            </w:tcMar>
            <w:vAlign w:val="top"/>
          </w:tcPr>
          <w:p>
            <w:r>
              <w:rPr>
                <w:sz w:val="16"/>
              </w:rPr>
              <w:t>Deferred intentionally to later version.</w:t>
            </w:r>
          </w:p>
        </w:tc>
      </w:tr>
      <w:tr>
        <w:trPr>
          <w:cantSplit/>
        </w:trPr>
        <w:tc>
          <w:tcPr>
            <w:tcW w:type="dxa" w:w="2304"/>
            <w:tcMar>
              <w:top w:w="90" w:type="dxa"/>
              <w:start w:w="100" w:type="dxa"/>
              <w:bottom w:w="90" w:type="dxa"/>
              <w:end w:w="100" w:type="dxa"/>
            </w:tcMar>
            <w:vAlign w:val="top"/>
          </w:tcPr>
          <w:p>
            <w:r>
              <w:rPr>
                <w:sz w:val="16"/>
              </w:rPr>
              <w:t>Process model</w:t>
            </w:r>
          </w:p>
        </w:tc>
        <w:tc>
          <w:tcPr>
            <w:tcW w:type="dxa" w:w="4752"/>
            <w:tcMar>
              <w:top w:w="90" w:type="dxa"/>
              <w:start w:w="100" w:type="dxa"/>
              <w:bottom w:w="90" w:type="dxa"/>
              <w:end w:w="100" w:type="dxa"/>
            </w:tcMar>
            <w:vAlign w:val="top"/>
          </w:tcPr>
          <w:p>
            <w:r>
              <w:rPr>
                <w:sz w:val="16"/>
              </w:rPr>
              <w:t>Single-process and single-threaded.</w:t>
            </w:r>
          </w:p>
        </w:tc>
        <w:tc>
          <w:tcPr>
            <w:tcW w:type="dxa" w:w="3744"/>
            <w:tcMar>
              <w:top w:w="90" w:type="dxa"/>
              <w:start w:w="100" w:type="dxa"/>
              <w:bottom w:w="90" w:type="dxa"/>
              <w:end w:w="100" w:type="dxa"/>
            </w:tcMar>
            <w:vAlign w:val="top"/>
          </w:tcPr>
          <w:p>
            <w:r>
              <w:rPr>
                <w:sz w:val="16"/>
              </w:rPr>
              <w:t>Deferred until persistence/concurrency architecture exists.</w:t>
            </w:r>
          </w:p>
        </w:tc>
      </w:tr>
      <w:tr>
        <w:trPr>
          <w:cantSplit/>
        </w:trPr>
        <w:tc>
          <w:tcPr>
            <w:tcW w:type="dxa" w:w="2304"/>
            <w:tcMar>
              <w:top w:w="90" w:type="dxa"/>
              <w:start w:w="100" w:type="dxa"/>
              <w:bottom w:w="90" w:type="dxa"/>
              <w:end w:w="100" w:type="dxa"/>
            </w:tcMar>
            <w:vAlign w:val="top"/>
          </w:tcPr>
          <w:p>
            <w:r>
              <w:rPr>
                <w:sz w:val="16"/>
              </w:rPr>
              <w:t>Authentication</w:t>
            </w:r>
          </w:p>
        </w:tc>
        <w:tc>
          <w:tcPr>
            <w:tcW w:type="dxa" w:w="4752"/>
            <w:tcMar>
              <w:top w:w="90" w:type="dxa"/>
              <w:start w:w="100" w:type="dxa"/>
              <w:bottom w:w="90" w:type="dxa"/>
              <w:end w:w="100" w:type="dxa"/>
            </w:tcMar>
            <w:vAlign w:val="top"/>
          </w:tcPr>
          <w:p>
            <w:r>
              <w:rPr>
                <w:sz w:val="16"/>
              </w:rPr>
              <w:t>No login, identity provider or authorization model.</w:t>
            </w:r>
          </w:p>
        </w:tc>
        <w:tc>
          <w:tcPr>
            <w:tcW w:type="dxa" w:w="3744"/>
            <w:tcMar>
              <w:top w:w="90" w:type="dxa"/>
              <w:start w:w="100" w:type="dxa"/>
              <w:bottom w:w="90" w:type="dxa"/>
              <w:end w:w="100" w:type="dxa"/>
            </w:tcMar>
            <w:vAlign w:val="top"/>
          </w:tcPr>
          <w:p>
            <w:r>
              <w:rPr>
                <w:sz w:val="16"/>
              </w:rPr>
              <w:t>Borrower IDs are domain identifiers only.</w:t>
            </w:r>
          </w:p>
        </w:tc>
      </w:tr>
      <w:tr>
        <w:trPr>
          <w:cantSplit/>
        </w:trPr>
        <w:tc>
          <w:tcPr>
            <w:tcW w:type="dxa" w:w="2304"/>
            <w:tcMar>
              <w:top w:w="90" w:type="dxa"/>
              <w:start w:w="100" w:type="dxa"/>
              <w:bottom w:w="90" w:type="dxa"/>
              <w:end w:w="100" w:type="dxa"/>
            </w:tcMar>
            <w:vAlign w:val="top"/>
          </w:tcPr>
          <w:p>
            <w:r>
              <w:rPr>
                <w:sz w:val="16"/>
              </w:rPr>
              <w:t>Database</w:t>
            </w:r>
          </w:p>
        </w:tc>
        <w:tc>
          <w:tcPr>
            <w:tcW w:type="dxa" w:w="4752"/>
            <w:tcMar>
              <w:top w:w="90" w:type="dxa"/>
              <w:start w:w="100" w:type="dxa"/>
              <w:bottom w:w="90" w:type="dxa"/>
              <w:end w:w="100" w:type="dxa"/>
            </w:tcMar>
            <w:vAlign w:val="top"/>
          </w:tcPr>
          <w:p>
            <w:r>
              <w:rPr>
                <w:sz w:val="16"/>
              </w:rPr>
              <w:t>No relational or other external database.</w:t>
            </w:r>
          </w:p>
        </w:tc>
        <w:tc>
          <w:tcPr>
            <w:tcW w:type="dxa" w:w="3744"/>
            <w:tcMar>
              <w:top w:w="90" w:type="dxa"/>
              <w:start w:w="100" w:type="dxa"/>
              <w:bottom w:w="90" w:type="dxa"/>
              <w:end w:w="100" w:type="dxa"/>
            </w:tcMar>
            <w:vAlign w:val="top"/>
          </w:tcPr>
          <w:p>
            <w:r>
              <w:rPr>
                <w:sz w:val="16"/>
              </w:rPr>
              <w:t>V1 is a standalone C++ core.</w:t>
            </w:r>
          </w:p>
        </w:tc>
      </w:tr>
      <w:tr>
        <w:trPr>
          <w:cantSplit/>
        </w:trPr>
        <w:tc>
          <w:tcPr>
            <w:tcW w:type="dxa" w:w="2304"/>
            <w:tcMar>
              <w:top w:w="90" w:type="dxa"/>
              <w:start w:w="100" w:type="dxa"/>
              <w:bottom w:w="90" w:type="dxa"/>
              <w:end w:w="100" w:type="dxa"/>
            </w:tcMar>
            <w:vAlign w:val="top"/>
          </w:tcPr>
          <w:p>
            <w:r>
              <w:rPr>
                <w:sz w:val="16"/>
              </w:rPr>
              <w:t>Search</w:t>
            </w:r>
          </w:p>
        </w:tc>
        <w:tc>
          <w:tcPr>
            <w:tcW w:type="dxa" w:w="4752"/>
            <w:tcMar>
              <w:top w:w="90" w:type="dxa"/>
              <w:start w:w="100" w:type="dxa"/>
              <w:bottom w:w="90" w:type="dxa"/>
              <w:end w:w="100" w:type="dxa"/>
            </w:tcMar>
            <w:vAlign w:val="top"/>
          </w:tcPr>
          <w:p>
            <w:r>
              <w:rPr>
                <w:sz w:val="16"/>
              </w:rPr>
              <w:t>Large filtered searches are in-memory scans.</w:t>
            </w:r>
          </w:p>
        </w:tc>
        <w:tc>
          <w:tcPr>
            <w:tcW w:type="dxa" w:w="3744"/>
            <w:tcMar>
              <w:top w:w="90" w:type="dxa"/>
              <w:start w:w="100" w:type="dxa"/>
              <w:bottom w:w="90" w:type="dxa"/>
              <w:end w:w="100" w:type="dxa"/>
            </w:tcMar>
            <w:vAlign w:val="top"/>
          </w:tcPr>
          <w:p>
            <w:r>
              <w:rPr>
                <w:sz w:val="16"/>
              </w:rPr>
              <w:t>Benchmarks quantify when persistent indexes become worthwhile.</w:t>
            </w:r>
          </w:p>
        </w:tc>
      </w:tr>
      <w:tr>
        <w:trPr>
          <w:cantSplit/>
        </w:trPr>
        <w:tc>
          <w:tcPr>
            <w:tcW w:type="dxa" w:w="2304"/>
            <w:tcMar>
              <w:top w:w="90" w:type="dxa"/>
              <w:start w:w="100" w:type="dxa"/>
              <w:bottom w:w="90" w:type="dxa"/>
              <w:end w:w="100" w:type="dxa"/>
            </w:tcMar>
            <w:vAlign w:val="top"/>
          </w:tcPr>
          <w:p>
            <w:r>
              <w:rPr>
                <w:sz w:val="16"/>
              </w:rPr>
              <w:t>History retention</w:t>
            </w:r>
          </w:p>
        </w:tc>
        <w:tc>
          <w:tcPr>
            <w:tcW w:type="dxa" w:w="4752"/>
            <w:tcMar>
              <w:top w:w="90" w:type="dxa"/>
              <w:start w:w="100" w:type="dxa"/>
              <w:bottom w:w="90" w:type="dxa"/>
              <w:end w:w="100" w:type="dxa"/>
            </w:tcMar>
            <w:vAlign w:val="top"/>
          </w:tcPr>
          <w:p>
            <w:r>
              <w:rPr>
                <w:sz w:val="16"/>
              </w:rPr>
              <w:t>Histories can grow without retention policy.</w:t>
            </w:r>
          </w:p>
        </w:tc>
        <w:tc>
          <w:tcPr>
            <w:tcW w:type="dxa" w:w="3744"/>
            <w:tcMar>
              <w:top w:w="90" w:type="dxa"/>
              <w:start w:w="100" w:type="dxa"/>
              <w:bottom w:w="90" w:type="dxa"/>
              <w:end w:w="100" w:type="dxa"/>
            </w:tcMar>
            <w:vAlign w:val="top"/>
          </w:tcPr>
          <w:p>
            <w:r>
              <w:rPr>
                <w:sz w:val="16"/>
              </w:rPr>
              <w:t>Future persistence concern.</w:t>
            </w:r>
          </w:p>
        </w:tc>
      </w:tr>
      <w:tr>
        <w:trPr>
          <w:cantSplit/>
        </w:trPr>
        <w:tc>
          <w:tcPr>
            <w:tcW w:type="dxa" w:w="2304"/>
            <w:tcMar>
              <w:top w:w="90" w:type="dxa"/>
              <w:start w:w="100" w:type="dxa"/>
              <w:bottom w:w="90" w:type="dxa"/>
              <w:end w:w="100" w:type="dxa"/>
            </w:tcMar>
            <w:vAlign w:val="top"/>
          </w:tcPr>
          <w:p>
            <w:r>
              <w:rPr>
                <w:sz w:val="16"/>
              </w:rPr>
              <w:t>Multi-currency totals</w:t>
            </w:r>
          </w:p>
        </w:tc>
        <w:tc>
          <w:tcPr>
            <w:tcW w:type="dxa" w:w="4752"/>
            <w:tcMar>
              <w:top w:w="90" w:type="dxa"/>
              <w:start w:w="100" w:type="dxa"/>
              <w:bottom w:w="90" w:type="dxa"/>
              <w:end w:w="100" w:type="dxa"/>
            </w:tcMar>
            <w:vAlign w:val="top"/>
          </w:tcPr>
          <w:p>
            <w:r>
              <w:rPr>
                <w:sz w:val="16"/>
              </w:rPr>
              <w:t>Mixed currencies cannot be aggregated without conversion.</w:t>
            </w:r>
          </w:p>
        </w:tc>
        <w:tc>
          <w:tcPr>
            <w:tcW w:type="dxa" w:w="3744"/>
            <w:tcMar>
              <w:top w:w="90" w:type="dxa"/>
              <w:start w:w="100" w:type="dxa"/>
              <w:bottom w:w="90" w:type="dxa"/>
              <w:end w:w="100" w:type="dxa"/>
            </w:tcMar>
            <w:vAlign w:val="top"/>
          </w:tcPr>
          <w:p>
            <w:r>
              <w:rPr>
                <w:sz w:val="16"/>
              </w:rPr>
              <w:t>No exchange-rate source exists in V1.</w:t>
            </w:r>
          </w:p>
        </w:tc>
      </w:tr>
      <w:tr>
        <w:trPr>
          <w:cantSplit/>
        </w:trPr>
        <w:tc>
          <w:tcPr>
            <w:tcW w:type="dxa" w:w="2304"/>
            <w:tcMar>
              <w:top w:w="90" w:type="dxa"/>
              <w:start w:w="100" w:type="dxa"/>
              <w:bottom w:w="90" w:type="dxa"/>
              <w:end w:w="100" w:type="dxa"/>
            </w:tcMar>
            <w:vAlign w:val="top"/>
          </w:tcPr>
          <w:p>
            <w:r>
              <w:rPr>
                <w:sz w:val="16"/>
              </w:rPr>
              <w:t>Time semantics</w:t>
            </w:r>
          </w:p>
        </w:tc>
        <w:tc>
          <w:tcPr>
            <w:tcW w:type="dxa" w:w="4752"/>
            <w:tcMar>
              <w:top w:w="90" w:type="dxa"/>
              <w:start w:w="100" w:type="dxa"/>
              <w:bottom w:w="90" w:type="dxa"/>
              <w:end w:w="100" w:type="dxa"/>
            </w:tcMar>
            <w:vAlign w:val="top"/>
          </w:tcPr>
          <w:p>
            <w:r>
              <w:rPr>
                <w:sz w:val="16"/>
              </w:rPr>
              <w:t>Loan periods use elapsed chrono durations, not timezone-aware calendar policy.</w:t>
            </w:r>
          </w:p>
        </w:tc>
        <w:tc>
          <w:tcPr>
            <w:tcW w:type="dxa" w:w="3744"/>
            <w:tcMar>
              <w:top w:w="90" w:type="dxa"/>
              <w:start w:w="100" w:type="dxa"/>
              <w:bottom w:w="90" w:type="dxa"/>
              <w:end w:w="100" w:type="dxa"/>
            </w:tcMar>
            <w:vAlign w:val="top"/>
          </w:tcPr>
          <w:p>
            <w:r>
              <w:rPr>
                <w:sz w:val="16"/>
              </w:rPr>
              <w:t>Kept simple intentionally.</w:t>
            </w:r>
          </w:p>
        </w:tc>
      </w:tr>
      <w:tr>
        <w:trPr>
          <w:cantSplit/>
        </w:trPr>
        <w:tc>
          <w:tcPr>
            <w:tcW w:type="dxa" w:w="2304"/>
            <w:tcMar>
              <w:top w:w="90" w:type="dxa"/>
              <w:start w:w="100" w:type="dxa"/>
              <w:bottom w:w="90" w:type="dxa"/>
              <w:end w:w="100" w:type="dxa"/>
            </w:tcMar>
            <w:vAlign w:val="top"/>
          </w:tcPr>
          <w:p>
            <w:r>
              <w:rPr>
                <w:sz w:val="16"/>
              </w:rPr>
              <w:t>Fines</w:t>
            </w:r>
          </w:p>
        </w:tc>
        <w:tc>
          <w:tcPr>
            <w:tcW w:type="dxa" w:w="4752"/>
            <w:tcMar>
              <w:top w:w="90" w:type="dxa"/>
              <w:start w:w="100" w:type="dxa"/>
              <w:bottom w:w="90" w:type="dxa"/>
              <w:end w:w="100" w:type="dxa"/>
            </w:tcMar>
            <w:vAlign w:val="top"/>
          </w:tcPr>
          <w:p>
            <w:r>
              <w:rPr>
                <w:sz w:val="16"/>
              </w:rPr>
              <w:t>No overdue fine calculation.</w:t>
            </w:r>
          </w:p>
        </w:tc>
        <w:tc>
          <w:tcPr>
            <w:tcW w:type="dxa" w:w="3744"/>
            <w:tcMar>
              <w:top w:w="90" w:type="dxa"/>
              <w:start w:w="100" w:type="dxa"/>
              <w:bottom w:w="90" w:type="dxa"/>
              <w:end w:w="100" w:type="dxa"/>
            </w:tcMar>
            <w:vAlign w:val="top"/>
          </w:tcPr>
          <w:p>
            <w:r>
              <w:rPr>
                <w:sz w:val="16"/>
              </w:rPr>
              <w:t>Not part of V1 scope.</w:t>
            </w:r>
          </w:p>
        </w:tc>
      </w:tr>
      <w:tr>
        <w:trPr>
          <w:cantSplit/>
        </w:trPr>
        <w:tc>
          <w:tcPr>
            <w:tcW w:type="dxa" w:w="2304"/>
            <w:tcMar>
              <w:top w:w="90" w:type="dxa"/>
              <w:start w:w="100" w:type="dxa"/>
              <w:bottom w:w="90" w:type="dxa"/>
              <w:end w:w="100" w:type="dxa"/>
            </w:tcMar>
            <w:vAlign w:val="top"/>
          </w:tcPr>
          <w:p>
            <w:r>
              <w:rPr>
                <w:sz w:val="16"/>
              </w:rPr>
              <w:t>Networking</w:t>
            </w:r>
          </w:p>
        </w:tc>
        <w:tc>
          <w:tcPr>
            <w:tcW w:type="dxa" w:w="4752"/>
            <w:tcMar>
              <w:top w:w="90" w:type="dxa"/>
              <w:start w:w="100" w:type="dxa"/>
              <w:bottom w:w="90" w:type="dxa"/>
              <w:end w:w="100" w:type="dxa"/>
            </w:tcMar>
            <w:vAlign w:val="top"/>
          </w:tcPr>
          <w:p>
            <w:r>
              <w:rPr>
                <w:sz w:val="16"/>
              </w:rPr>
              <w:t>No service/API boundary.</w:t>
            </w:r>
          </w:p>
        </w:tc>
        <w:tc>
          <w:tcPr>
            <w:tcW w:type="dxa" w:w="3744"/>
            <w:tcMar>
              <w:top w:w="90" w:type="dxa"/>
              <w:start w:w="100" w:type="dxa"/>
              <w:bottom w:w="90" w:type="dxa"/>
              <w:end w:w="100" w:type="dxa"/>
            </w:tcMar>
            <w:vAlign w:val="top"/>
          </w:tcPr>
          <w:p>
            <w:r>
              <w:rPr>
                <w:sz w:val="16"/>
              </w:rPr>
              <w:t>Deferred to future version.</w:t>
            </w:r>
          </w:p>
        </w:tc>
      </w:tr>
      <w:tr>
        <w:trPr>
          <w:cantSplit/>
        </w:trPr>
        <w:tc>
          <w:tcPr>
            <w:tcW w:type="dxa" w:w="2304"/>
            <w:tcMar>
              <w:top w:w="90" w:type="dxa"/>
              <w:start w:w="100" w:type="dxa"/>
              <w:bottom w:w="90" w:type="dxa"/>
              <w:end w:w="100" w:type="dxa"/>
            </w:tcMar>
            <w:vAlign w:val="top"/>
          </w:tcPr>
          <w:p>
            <w:r>
              <w:rPr>
                <w:sz w:val="16"/>
              </w:rPr>
              <w:t>AI</w:t>
            </w:r>
          </w:p>
        </w:tc>
        <w:tc>
          <w:tcPr>
            <w:tcW w:type="dxa" w:w="4752"/>
            <w:tcMar>
              <w:top w:w="90" w:type="dxa"/>
              <w:start w:w="100" w:type="dxa"/>
              <w:bottom w:w="90" w:type="dxa"/>
              <w:end w:w="100" w:type="dxa"/>
            </w:tcMar>
            <w:vAlign w:val="top"/>
          </w:tcPr>
          <w:p>
            <w:r>
              <w:rPr>
                <w:sz w:val="16"/>
              </w:rPr>
              <w:t>No AI/LLM behavior.</w:t>
            </w:r>
          </w:p>
        </w:tc>
        <w:tc>
          <w:tcPr>
            <w:tcW w:type="dxa" w:w="3744"/>
            <w:tcMar>
              <w:top w:w="90" w:type="dxa"/>
              <w:start w:w="100" w:type="dxa"/>
              <w:bottom w:w="90" w:type="dxa"/>
              <w:end w:w="100" w:type="dxa"/>
            </w:tcMar>
            <w:vAlign w:val="top"/>
          </w:tcPr>
          <w:p>
            <w:r>
              <w:rPr>
                <w:sz w:val="16"/>
              </w:rPr>
              <w:t>Explicitly deferred.</w:t>
            </w:r>
          </w:p>
        </w:tc>
      </w:tr>
      <w:tr>
        <w:trPr>
          <w:cantSplit/>
        </w:trPr>
        <w:tc>
          <w:tcPr>
            <w:tcW w:type="dxa" w:w="2304"/>
            <w:tcMar>
              <w:top w:w="90" w:type="dxa"/>
              <w:start w:w="100" w:type="dxa"/>
              <w:bottom w:w="90" w:type="dxa"/>
              <w:end w:w="100" w:type="dxa"/>
            </w:tcMar>
            <w:vAlign w:val="top"/>
          </w:tcPr>
          <w:p>
            <w:r>
              <w:rPr>
                <w:sz w:val="16"/>
              </w:rPr>
              <w:t>Academic naming</w:t>
            </w:r>
          </w:p>
        </w:tc>
        <w:tc>
          <w:tcPr>
            <w:tcW w:type="dxa" w:w="4752"/>
            <w:tcMar>
              <w:top w:w="90" w:type="dxa"/>
              <w:start w:w="100" w:type="dxa"/>
              <w:bottom w:w="90" w:type="dxa"/>
              <w:end w:w="100" w:type="dxa"/>
            </w:tcMar>
            <w:vAlign w:val="top"/>
          </w:tcPr>
          <w:p>
            <w:r>
              <w:rPr>
                <w:sz w:val="16"/>
              </w:rPr>
              <w:t>Some BookManagement / MT26076 / Q1-Q16 naming remains.</w:t>
            </w:r>
          </w:p>
        </w:tc>
        <w:tc>
          <w:tcPr>
            <w:tcW w:type="dxa" w:w="3744"/>
            <w:tcMar>
              <w:top w:w="90" w:type="dxa"/>
              <w:start w:w="100" w:type="dxa"/>
              <w:bottom w:w="90" w:type="dxa"/>
              <w:end w:w="100" w:type="dxa"/>
            </w:tcMar>
            <w:vAlign w:val="top"/>
          </w:tcPr>
          <w:p>
            <w:r>
              <w:rPr>
                <w:sz w:val="16"/>
              </w:rPr>
              <w:t>Preserved intentionally for assignment compatibility.</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Correct debt statement: </w:t>
            </w:r>
            <w:r>
              <w:t>V1 has no known blocking correctness debt; it still has intentional limitations and future engineering work. Do not describe that as “zero technical debt.”</w:t>
            </w:r>
          </w:p>
        </w:tc>
      </w:tr>
    </w:tbl>
    <w:p/>
    <w:p>
      <w:pPr>
        <w:pStyle w:val="Heading1"/>
      </w:pPr>
      <w:r>
        <w:t>Release Freeze Record</w:t>
      </w:r>
    </w:p>
    <w:p>
      <w:pPr>
        <w:keepNext w:val="0"/>
      </w:pPr>
      <w:r>
        <w:t>The freeze record defines the exact point at which V1 becomes a stable dependency for V2.</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Freeze verdict: </w:t>
            </w:r>
            <w:r>
              <w:t>V1 READY TO FREEZE</w:t>
            </w:r>
          </w:p>
        </w:tc>
      </w:tr>
    </w:tbl>
    <w:p/>
    <w:p>
      <w:pPr>
        <w:pStyle w:val="Heading1"/>
      </w:pPr>
      <w:r>
        <w:t>V2 Handoff Contract</w:t>
      </w:r>
    </w:p>
    <w:p>
      <w:pPr>
        <w:keepNext w:val="0"/>
      </w:pPr>
      <w:r>
        <w:t>V2 is allowed to add persistence, Python, APIs and AI, but it must preserve V1 as the deterministic rule authority. The handoff contract prevents infrastructure from silently redefining domain behavior.</w:t>
      </w:r>
    </w:p>
    <w:p>
      <w:pPr>
        <w:pStyle w:val="ListBullet"/>
      </w:pPr>
      <w:r>
        <w:t>C++ remains deterministic business-rule authority.</w:t>
      </w:r>
    </w:p>
    <w:p>
      <w:pPr>
        <w:pStyle w:val="ListBullet"/>
      </w:pPr>
      <w:r>
        <w:t>PostgreSQL should store state, not duplicate pricing logic.</w:t>
      </w:r>
    </w:p>
    <w:p>
      <w:pPr>
        <w:pStyle w:val="ListBullet"/>
      </w:pPr>
      <w:r>
        <w:t>Python should orchestrate rather than reimplement rules.</w:t>
      </w:r>
    </w:p>
    <w:p>
      <w:pPr>
        <w:pStyle w:val="ListBullet"/>
      </w:pPr>
      <w:r>
        <w:t>Persistent Money uses integer minor units + currency.</w:t>
      </w:r>
    </w:p>
    <w:p>
      <w:pPr>
        <w:pStyle w:val="ListBullet"/>
      </w:pPr>
      <w:r>
        <w:t>History remains append-oriented.</w:t>
      </w:r>
    </w:p>
    <w:p>
      <w:pPr>
        <w:pStyle w:val="ListBullet"/>
      </w:pPr>
      <w:r>
        <w:t>Transaction boundaries must preserve V1 strong exception-safety semantics.</w:t>
      </w:r>
    </w:p>
    <w:p>
      <w:pPr>
        <w:pStyle w:val="Heading1"/>
      </w:pPr>
      <w:r>
        <w:t>Future Maintainer Checklist</w:t>
      </w:r>
    </w:p>
    <w:p>
      <w:pPr>
        <w:keepNext w:val="0"/>
      </w:pPr>
      <w:r>
        <w:t>Use this checklist before making a nontrivial change to V1-derived logic in any later version.</w:t>
      </w:r>
    </w:p>
    <w:p>
      <w:pPr>
        <w:pStyle w:val="ListBullet"/>
      </w:pPr>
      <w:r>
        <w:t>Which canonical invariant does this change affect?</w:t>
      </w:r>
    </w:p>
    <w:p>
      <w:pPr>
        <w:pStyle w:val="ListBullet"/>
      </w:pPr>
      <w:r>
        <w:t>Is the change a new requirement, a bug fix, or merely a refactor?</w:t>
      </w:r>
    </w:p>
    <w:p>
      <w:pPr>
        <w:pStyle w:val="ListBullet"/>
      </w:pPr>
      <w:r>
        <w:t>Does it preserve Money/currency safety?</w:t>
      </w:r>
    </w:p>
    <w:p>
      <w:pPr>
        <w:pStyle w:val="ListBullet"/>
      </w:pPr>
      <w:r>
        <w:t>Does it preserve global inventory vs department-finance separation?</w:t>
      </w:r>
    </w:p>
    <w:p>
      <w:pPr>
        <w:pStyle w:val="ListBullet"/>
      </w:pPr>
      <w:r>
        <w:t>Does it preserve append-oriented history and cancellation semantics?</w:t>
      </w:r>
    </w:p>
    <w:p>
      <w:pPr>
        <w:pStyle w:val="ListBullet"/>
      </w:pPr>
      <w:r>
        <w:t>Are legacy/public interfaces affected?</w:t>
      </w:r>
    </w:p>
    <w:p>
      <w:pPr>
        <w:pStyle w:val="ListBullet"/>
      </w:pPr>
      <w:r>
        <w:t>What tests prove the new and old behavior?</w:t>
      </w:r>
    </w:p>
    <w:p>
      <w:pPr>
        <w:pStyle w:val="ListBullet"/>
      </w:pPr>
      <w:r>
        <w:t>If behavior changes, has the corresponding version documentation been updated?</w:t>
      </w:r>
    </w:p>
    <w:p>
      <w:pPr>
        <w:pStyle w:val="ListBullet"/>
      </w:pPr>
      <w:r>
        <w:t>If a limitation is intentionally accepted, is it explicitly recorded instead of being left implicit?</w:t>
      </w:r>
    </w:p>
    <w:p>
      <w:pPr>
        <w:pStyle w:val="Heading1"/>
      </w:pPr>
      <w:r>
        <w:t>Canonical Summary</w:t>
      </w:r>
    </w:p>
    <w:p>
      <w:pPr>
        <w:keepNext w:val="0"/>
      </w:pPr>
      <w:r>
        <w:t>V1 is the trustworthy domain core. A future reader should be able to use this short summary to re-establish the system model before reading code.</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One-sentence definition: </w:t>
            </w:r>
            <w:r>
              <w:t>LibraCore V1 is a frozen, deterministic C++17 library/acquisition domain engine that preserves the original Q1-Q16 assignment contract while adding robust search, borrower-aware lending, vendor policy, structured reporting, exception safety, reproducible benchmarks and explicit release boundaries.</w:t>
            </w:r>
          </w:p>
        </w:tc>
      </w:tr>
    </w:tbl>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5"/>
      </w:rPr>
      <w:t>Canonical project record — preserve with the corresponding frozen release</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LibraCore V1.0 | Canonical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4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