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3A3" w:rsidRDefault="00D15D11">
      <w:pPr>
        <w:pStyle w:val="Normal1"/>
        <w:spacing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b/>
          <w:color w:val="1B2432"/>
          <w:sz w:val="21"/>
          <w:szCs w:val="21"/>
          <w:u w:val="single"/>
        </w:rPr>
        <w:t>ELIGIBILITY TO APPLY TO IMARTICUS CORPORATE RELATIONS (ICR)</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1. Students are eligible for placements post completion of level 2 of the curriculum</w:t>
      </w:r>
      <w:r w:rsidR="00375E3A">
        <w:rPr>
          <w:rFonts w:ascii="Helvetica Neue" w:eastAsia="Helvetica Neue" w:hAnsi="Helvetica Neue" w:cs="Helvetica Neue"/>
          <w:color w:val="1B2432"/>
          <w:sz w:val="21"/>
          <w:szCs w:val="21"/>
        </w:rPr>
        <w:t xml:space="preserve"> (Final Mock)</w:t>
      </w:r>
      <w:r>
        <w:rPr>
          <w:rFonts w:ascii="Helvetica Neue" w:eastAsia="Helvetica Neue" w:hAnsi="Helvetica Neue" w:cs="Helvetica Neue"/>
          <w:color w:val="1B2432"/>
          <w:sz w:val="21"/>
          <w:szCs w:val="21"/>
        </w:rPr>
        <w:t xml:space="preserve"> or by formal signoff by the faculty and/or program managers</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2. Trainers will certify students for placement eligibility based on </w:t>
      </w:r>
    </w:p>
    <w:p w:rsidR="009213A3" w:rsidRDefault="00D15D11">
      <w:pPr>
        <w:pStyle w:val="Normal1"/>
        <w:numPr>
          <w:ilvl w:val="0"/>
          <w:numId w:val="1"/>
        </w:numPr>
        <w:spacing w:before="280" w:after="0" w:line="240" w:lineRule="auto"/>
        <w:rPr>
          <w:color w:val="1B2432"/>
        </w:rPr>
      </w:pPr>
      <w:r>
        <w:rPr>
          <w:rFonts w:ascii="Helvetica Neue" w:eastAsia="Helvetica Neue" w:hAnsi="Helvetica Neue" w:cs="Helvetica Neue"/>
          <w:color w:val="1B2432"/>
          <w:sz w:val="21"/>
          <w:szCs w:val="21"/>
        </w:rPr>
        <w:t>Assessment scores</w:t>
      </w:r>
    </w:p>
    <w:p w:rsidR="009213A3" w:rsidRDefault="00D15D11">
      <w:pPr>
        <w:pStyle w:val="Normal1"/>
        <w:numPr>
          <w:ilvl w:val="0"/>
          <w:numId w:val="1"/>
        </w:numPr>
        <w:spacing w:after="0" w:line="240" w:lineRule="auto"/>
        <w:rPr>
          <w:color w:val="1B2432"/>
        </w:rPr>
      </w:pPr>
      <w:r>
        <w:rPr>
          <w:rFonts w:ascii="Helvetica Neue" w:eastAsia="Helvetica Neue" w:hAnsi="Helvetica Neue" w:cs="Helvetica Neue"/>
          <w:color w:val="1B2432"/>
          <w:sz w:val="21"/>
          <w:szCs w:val="21"/>
        </w:rPr>
        <w:t>Mock interviews</w:t>
      </w:r>
    </w:p>
    <w:p w:rsidR="009213A3" w:rsidRDefault="00D15D11">
      <w:pPr>
        <w:pStyle w:val="Normal1"/>
        <w:numPr>
          <w:ilvl w:val="0"/>
          <w:numId w:val="1"/>
        </w:numPr>
        <w:spacing w:after="0" w:line="240" w:lineRule="auto"/>
        <w:rPr>
          <w:color w:val="1B2432"/>
        </w:rPr>
      </w:pPr>
      <w:r>
        <w:rPr>
          <w:rFonts w:ascii="Helvetica Neue" w:eastAsia="Helvetica Neue" w:hAnsi="Helvetica Neue" w:cs="Helvetica Neue"/>
          <w:color w:val="1B2432"/>
          <w:sz w:val="21"/>
          <w:szCs w:val="21"/>
        </w:rPr>
        <w:t>Viva scores</w:t>
      </w:r>
    </w:p>
    <w:p w:rsidR="009213A3" w:rsidRDefault="00D15D11">
      <w:pPr>
        <w:pStyle w:val="Normal1"/>
        <w:numPr>
          <w:ilvl w:val="0"/>
          <w:numId w:val="1"/>
        </w:numPr>
        <w:spacing w:after="0" w:line="240" w:lineRule="auto"/>
        <w:rPr>
          <w:color w:val="1B2432"/>
        </w:rPr>
      </w:pPr>
      <w:r>
        <w:rPr>
          <w:rFonts w:ascii="Helvetica Neue" w:eastAsia="Helvetica Neue" w:hAnsi="Helvetica Neue" w:cs="Helvetica Neue"/>
          <w:color w:val="1B2432"/>
          <w:sz w:val="21"/>
          <w:szCs w:val="21"/>
        </w:rPr>
        <w:t>Soft Skills trainer sign-off</w:t>
      </w:r>
    </w:p>
    <w:p w:rsidR="009213A3" w:rsidRDefault="00D15D11">
      <w:pPr>
        <w:pStyle w:val="Normal1"/>
        <w:numPr>
          <w:ilvl w:val="0"/>
          <w:numId w:val="1"/>
        </w:numPr>
        <w:spacing w:after="0" w:line="240" w:lineRule="auto"/>
        <w:rPr>
          <w:color w:val="1B2432"/>
        </w:rPr>
      </w:pPr>
      <w:r>
        <w:rPr>
          <w:rFonts w:ascii="Helvetica Neue" w:eastAsia="Helvetica Neue" w:hAnsi="Helvetica Neue" w:cs="Helvetica Neue"/>
          <w:color w:val="1B2432"/>
          <w:sz w:val="21"/>
          <w:szCs w:val="21"/>
        </w:rPr>
        <w:t>Resume Readiness</w:t>
      </w:r>
    </w:p>
    <w:p w:rsidR="009213A3" w:rsidRDefault="00D15D11">
      <w:pPr>
        <w:pStyle w:val="Normal1"/>
        <w:numPr>
          <w:ilvl w:val="0"/>
          <w:numId w:val="1"/>
        </w:numPr>
        <w:spacing w:after="280" w:line="240" w:lineRule="auto"/>
        <w:rPr>
          <w:color w:val="1B2432"/>
        </w:rPr>
      </w:pPr>
      <w:r>
        <w:rPr>
          <w:rFonts w:ascii="Helvetica Neue" w:eastAsia="Helvetica Neue" w:hAnsi="Helvetica Neue" w:cs="Helvetica Neue"/>
          <w:color w:val="1B2432"/>
          <w:sz w:val="21"/>
          <w:szCs w:val="21"/>
        </w:rPr>
        <w:t>Over all discipline and conduct</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3. Minimum overall attendance should be 80%. Students below 80% attendance will not be eligible for placements</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4. Students should indemnify any administrative formalities and get a clearance from Imarticus Administration and Finance department.</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w:t>
      </w: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9213A3">
      <w:pPr>
        <w:pStyle w:val="Normal1"/>
        <w:spacing w:before="280" w:after="280" w:line="240" w:lineRule="auto"/>
        <w:jc w:val="center"/>
        <w:rPr>
          <w:rFonts w:ascii="Helvetica Neue" w:eastAsia="Helvetica Neue" w:hAnsi="Helvetica Neue" w:cs="Helvetica Neue"/>
          <w:b/>
          <w:color w:val="1B2432"/>
          <w:sz w:val="21"/>
          <w:szCs w:val="21"/>
          <w:u w:val="single"/>
        </w:rPr>
      </w:pPr>
    </w:p>
    <w:p w:rsidR="009213A3" w:rsidRDefault="00D15D11">
      <w:pPr>
        <w:pStyle w:val="Normal1"/>
        <w:spacing w:before="280" w:after="280" w:line="240" w:lineRule="auto"/>
        <w:jc w:val="center"/>
        <w:rPr>
          <w:rFonts w:ascii="Helvetica Neue" w:eastAsia="Helvetica Neue" w:hAnsi="Helvetica Neue" w:cs="Helvetica Neue"/>
          <w:color w:val="1B2432"/>
          <w:sz w:val="21"/>
          <w:szCs w:val="21"/>
        </w:rPr>
      </w:pPr>
      <w:r>
        <w:rPr>
          <w:rFonts w:ascii="Helvetica Neue" w:eastAsia="Helvetica Neue" w:hAnsi="Helvetica Neue" w:cs="Helvetica Neue"/>
          <w:b/>
          <w:color w:val="1B2432"/>
          <w:sz w:val="21"/>
          <w:szCs w:val="21"/>
          <w:u w:val="single"/>
        </w:rPr>
        <w:lastRenderedPageBreak/>
        <w:t>AGREEMENT FOR PLACEMENT ASSISTANCE</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w:t>
      </w:r>
    </w:p>
    <w:p w:rsidR="009213A3" w:rsidRDefault="00D15D11">
      <w:pPr>
        <w:pStyle w:val="Normal1"/>
        <w:spacing w:before="280" w:after="280" w:line="240" w:lineRule="auto"/>
        <w:jc w:val="center"/>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u w:val="single"/>
        </w:rPr>
        <w:t>This agreement is made on Imarticus Placement Platform: SuperSet</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THIS AGREEMENT, between IMARTICUS and THE STUDENT, witnesses the mutual understanding and acceptance of the following terms</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w:t>
      </w:r>
    </w:p>
    <w:p w:rsidR="009213A3" w:rsidRDefault="00D15D11">
      <w:pPr>
        <w:pStyle w:val="Normal1"/>
        <w:numPr>
          <w:ilvl w:val="0"/>
          <w:numId w:val="2"/>
        </w:numPr>
        <w:spacing w:before="280"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IMARTICUS will provide the ICR Service to the Student via SuperSet platform. Emails/mobile notification and SMS will be sent to the registered email address &amp; mobile number.</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The Student is solely responsible for continuous monitoring of the SuperSet account to check positions /vacancies posted by IMARTICUS.</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To apply to the job openings students should login to their SuperSet account through Laptop/desktop or Mobile App.</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Opportunities will be posted in the Job profile section of SuperSet.</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sidRPr="00D15D11">
        <w:rPr>
          <w:rFonts w:ascii="Helvetica Neue" w:eastAsia="Helvetica Neue" w:hAnsi="Helvetica Neue" w:cs="Helvetica Neue"/>
          <w:color w:val="1B2432"/>
          <w:sz w:val="21"/>
          <w:szCs w:val="21"/>
        </w:rPr>
        <w:t>Each Student from the Placement assured Program will be given five interview opportunities. If the student fails to be placed after 5 such attempts, he/she needs to go through an assessment and post clearing the assessment only will be rolled out in the placement pool again. While</w:t>
      </w:r>
      <w:r>
        <w:rPr>
          <w:rFonts w:ascii="Helvetica Neue" w:eastAsia="Helvetica Neue" w:hAnsi="Helvetica Neue" w:cs="Helvetica Neue"/>
          <w:color w:val="1B2432"/>
          <w:sz w:val="21"/>
          <w:szCs w:val="21"/>
        </w:rPr>
        <w:t xml:space="preserve"> for placement assistance programs we will be sharing public and private leads for job assistance</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A student who applies for a position and then backs out at any stage of the process without prior approval from the Placement team will be barred from placements</w:t>
      </w:r>
    </w:p>
    <w:p w:rsidR="009213A3" w:rsidRPr="00A65DCA"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sidRPr="00A65DCA">
        <w:rPr>
          <w:rFonts w:ascii="Helvetica Neue" w:eastAsia="Helvetica Neue" w:hAnsi="Helvetica Neue" w:cs="Helvetica Neue"/>
          <w:color w:val="1B2432"/>
          <w:sz w:val="21"/>
          <w:szCs w:val="21"/>
        </w:rPr>
        <w:t>A Student who is a “NO SHOW” at any scheduled interview will be barred from applying for any future job opportunities</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sidRPr="00A65DCA">
        <w:rPr>
          <w:rFonts w:ascii="Helvetica Neue" w:eastAsia="Helvetica Neue" w:hAnsi="Helvetica Neue" w:cs="Helvetica Neue"/>
          <w:color w:val="1B2432"/>
          <w:sz w:val="21"/>
          <w:szCs w:val="21"/>
        </w:rPr>
        <w:t>The Student is expected to conduct</w:t>
      </w:r>
      <w:bookmarkStart w:id="0" w:name="_GoBack"/>
      <w:bookmarkEnd w:id="0"/>
      <w:r>
        <w:rPr>
          <w:rFonts w:ascii="Helvetica Neue" w:eastAsia="Helvetica Neue" w:hAnsi="Helvetica Neue" w:cs="Helvetica Neue"/>
          <w:color w:val="1B2432"/>
          <w:sz w:val="21"/>
          <w:szCs w:val="21"/>
        </w:rPr>
        <w:t xml:space="preserve"> himself/herself in an ethical manner. Unethical behaviour such as cheating during the selection process or misrepresentation of facts in a resume will disqualify the student from placement</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As soon as the student receives the offer of employment with an Organization via the ICR service, the ICR service will be considered fulfilled and this contract will expire.</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Post the final mock if a particular student has been graded in T3, he/she doesn’t have an option to apply to the companies of their choice and will have to abide by the drives that are being offered to them. However, a student has an option of improving their grades after another mock (Limited to 2).</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The Student can contact the placement coordinator of the Centre where he/she completed the course whenever he/she requires any clarification about the Organization or the Vacancy</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It shall be the responsibility of the Student to attend the interview on her/his own. Imarticus has no control over the outcome of the interview/selection process. Imarticus shall not be held responsible in the event the Student gets disqualified for selection for any vacancy, whatsoever the reason</w:t>
      </w:r>
    </w:p>
    <w:p w:rsidR="009213A3"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Upon receipt of an offer of employment, the Student will immediately inform IMARTICUS regarding details of her /his appointment and acceptance thereof</w:t>
      </w:r>
    </w:p>
    <w:p w:rsidR="009213A3" w:rsidRPr="00D15D11" w:rsidRDefault="00D15D11">
      <w:pPr>
        <w:pStyle w:val="Normal1"/>
        <w:numPr>
          <w:ilvl w:val="0"/>
          <w:numId w:val="2"/>
        </w:numPr>
        <w:spacing w:after="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xml:space="preserve">In the event the student has not applied for any position for a period for two months after signing the ICR, they will be contacted by email and phone at least twice to confirm their continued participation in the placement program. In the event of no response or confirmation from the student within three weeks, attempts will be made to contact the student again after which a registered letter will be sent to the permanent address of the </w:t>
      </w:r>
      <w:r w:rsidRPr="00D15D11">
        <w:rPr>
          <w:rFonts w:ascii="Helvetica Neue" w:eastAsia="Helvetica Neue" w:hAnsi="Helvetica Neue" w:cs="Helvetica Neue"/>
          <w:color w:val="1B2432"/>
          <w:sz w:val="21"/>
          <w:szCs w:val="21"/>
        </w:rPr>
        <w:t>Student terminating this contract</w:t>
      </w:r>
    </w:p>
    <w:p w:rsidR="009213A3" w:rsidRDefault="00D15D11">
      <w:pPr>
        <w:pStyle w:val="Normal1"/>
        <w:numPr>
          <w:ilvl w:val="0"/>
          <w:numId w:val="2"/>
        </w:numPr>
        <w:spacing w:after="280" w:line="240" w:lineRule="auto"/>
        <w:rPr>
          <w:rFonts w:ascii="Helvetica Neue" w:eastAsia="Helvetica Neue" w:hAnsi="Helvetica Neue" w:cs="Helvetica Neue"/>
          <w:color w:val="1B2432"/>
          <w:sz w:val="21"/>
          <w:szCs w:val="21"/>
        </w:rPr>
      </w:pPr>
      <w:r w:rsidRPr="00D15D11">
        <w:rPr>
          <w:rFonts w:ascii="Helvetica Neue" w:eastAsia="Helvetica Neue" w:hAnsi="Helvetica Neue" w:cs="Helvetica Neue"/>
          <w:color w:val="1B2432"/>
          <w:sz w:val="21"/>
          <w:szCs w:val="21"/>
        </w:rPr>
        <w:t>In availing the ICR Service, the student hereby agrees and undertakes that during the period of this agreement and up to a minimum of 18 months from the day and date of signing of this agreement, he / she</w:t>
      </w:r>
      <w:r>
        <w:rPr>
          <w:rFonts w:ascii="Helvetica Neue" w:eastAsia="Helvetica Neue" w:hAnsi="Helvetica Neue" w:cs="Helvetica Neue"/>
          <w:color w:val="1B2432"/>
          <w:sz w:val="21"/>
          <w:szCs w:val="21"/>
        </w:rPr>
        <w:t xml:space="preserve"> shall not: -</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w:t>
      </w:r>
      <w:proofErr w:type="spellStart"/>
      <w:r>
        <w:rPr>
          <w:rFonts w:ascii="Helvetica Neue" w:eastAsia="Helvetica Neue" w:hAnsi="Helvetica Neue" w:cs="Helvetica Neue"/>
          <w:color w:val="1B2432"/>
          <w:sz w:val="21"/>
          <w:szCs w:val="21"/>
        </w:rPr>
        <w:t>i</w:t>
      </w:r>
      <w:proofErr w:type="spellEnd"/>
      <w:r>
        <w:rPr>
          <w:rFonts w:ascii="Helvetica Neue" w:eastAsia="Helvetica Neue" w:hAnsi="Helvetica Neue" w:cs="Helvetica Neue"/>
          <w:color w:val="1B2432"/>
          <w:sz w:val="21"/>
          <w:szCs w:val="21"/>
        </w:rPr>
        <w:t>) Defame IMARTICUS directly or indirectly and / or make any verbal, written or oral statements which can be construed as derogatory / defamatory pertaining to ‘IMARTICUS’ and the ‘COURSES’ conducted by ‘IMARTICUS’</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lastRenderedPageBreak/>
        <w:t>        (ii) Share Course material, manuals, books and or photocopies of the same and / or disclose the same in any other manner, whatsoever to any other person (other than IMARTICUS’s students), organisation, firm, company or any other entity</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(iii) Start competitive activities either himself or through his family members, which includes but not limited to similar business as that of ‘IMARTICUS’ directly, indirectly or in any manner,  in India and / or Abroad</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(iv) Disclose to any other person, (other than ‘IMARTICUS’s Students) or organisation, firm, company or any entity, whosoever, any information received by him / her from ‘IMARTICUS’ as part of ‘ Assistance Services’ provided by ‘IMARTICUS CORPORATE RELATIONS”, which includes Offer details, Salary figures but not limited to job vacancies in Investment Banks, KPO’s and other niche organizations in the BFSI domain</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(v) Indulge in any anti ‘IMARTICUS’ activity, whatsoever.</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16. The original copy of this agreement shall be retained by “IMARTICUS”</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17. This Agreement shall be construed and interpreted in accordance with the laws of India.</w:t>
      </w:r>
    </w:p>
    <w:p w:rsidR="009213A3" w:rsidRDefault="009213A3">
      <w:pPr>
        <w:pStyle w:val="Normal1"/>
        <w:spacing w:before="280" w:after="280" w:line="240" w:lineRule="auto"/>
        <w:rPr>
          <w:rFonts w:ascii="Helvetica Neue" w:eastAsia="Helvetica Neue" w:hAnsi="Helvetica Neue" w:cs="Helvetica Neue"/>
          <w:color w:val="1B2432"/>
          <w:sz w:val="21"/>
          <w:szCs w:val="21"/>
        </w:rPr>
      </w:pPr>
    </w:p>
    <w:p w:rsidR="009213A3" w:rsidRDefault="00D15D11">
      <w:pPr>
        <w:pStyle w:val="Normal1"/>
        <w:spacing w:before="280" w:after="280" w:line="240" w:lineRule="auto"/>
        <w:rPr>
          <w:rFonts w:ascii="Helvetica Neue" w:eastAsia="Helvetica Neue" w:hAnsi="Helvetica Neue" w:cs="Helvetica Neue"/>
          <w:color w:val="1B2432"/>
          <w:sz w:val="21"/>
          <w:szCs w:val="21"/>
        </w:rPr>
      </w:pPr>
      <w:proofErr w:type="gramStart"/>
      <w:r>
        <w:rPr>
          <w:rFonts w:ascii="Helvetica Neue" w:eastAsia="Helvetica Neue" w:hAnsi="Helvetica Neue" w:cs="Helvetica Neue"/>
          <w:color w:val="1B2432"/>
          <w:sz w:val="21"/>
          <w:szCs w:val="21"/>
        </w:rPr>
        <w:t>Date :</w:t>
      </w:r>
      <w:proofErr w:type="gramEnd"/>
      <w:r>
        <w:rPr>
          <w:rFonts w:ascii="Helvetica Neue" w:eastAsia="Helvetica Neue" w:hAnsi="Helvetica Neue" w:cs="Helvetica Neue"/>
          <w:color w:val="1B2432"/>
          <w:sz w:val="21"/>
          <w:szCs w:val="21"/>
        </w:rPr>
        <w:t xml:space="preserve"> </w:t>
      </w:r>
    </w:p>
    <w:p w:rsidR="009213A3" w:rsidRDefault="00D15D11">
      <w:pPr>
        <w:pStyle w:val="Normal1"/>
        <w:spacing w:before="280" w:after="280" w:line="240" w:lineRule="auto"/>
        <w:rPr>
          <w:rFonts w:ascii="Helvetica Neue" w:eastAsia="Helvetica Neue" w:hAnsi="Helvetica Neue" w:cs="Helvetica Neue"/>
          <w:color w:val="1B2432"/>
          <w:sz w:val="21"/>
          <w:szCs w:val="21"/>
        </w:rPr>
      </w:pPr>
      <w:proofErr w:type="gramStart"/>
      <w:r>
        <w:rPr>
          <w:rFonts w:ascii="Helvetica Neue" w:eastAsia="Helvetica Neue" w:hAnsi="Helvetica Neue" w:cs="Helvetica Neue"/>
          <w:color w:val="1B2432"/>
          <w:sz w:val="21"/>
          <w:szCs w:val="21"/>
        </w:rPr>
        <w:t>Place :</w:t>
      </w:r>
      <w:proofErr w:type="gramEnd"/>
    </w:p>
    <w:p w:rsidR="009213A3" w:rsidRDefault="00D15D11">
      <w:pPr>
        <w:pStyle w:val="Normal1"/>
        <w:spacing w:before="280" w:after="280" w:line="240" w:lineRule="auto"/>
        <w:rPr>
          <w:rFonts w:ascii="Helvetica Neue" w:eastAsia="Helvetica Neue" w:hAnsi="Helvetica Neue" w:cs="Helvetica Neue"/>
          <w:color w:val="1B2432"/>
          <w:sz w:val="21"/>
          <w:szCs w:val="21"/>
        </w:rPr>
      </w:pPr>
      <w:proofErr w:type="gramStart"/>
      <w:r>
        <w:rPr>
          <w:rFonts w:ascii="Helvetica Neue" w:eastAsia="Helvetica Neue" w:hAnsi="Helvetica Neue" w:cs="Helvetica Neue"/>
          <w:color w:val="1B2432"/>
          <w:sz w:val="21"/>
          <w:szCs w:val="21"/>
        </w:rPr>
        <w:t>Name :</w:t>
      </w:r>
      <w:proofErr w:type="gramEnd"/>
      <w:r>
        <w:rPr>
          <w:rFonts w:ascii="Helvetica Neue" w:eastAsia="Helvetica Neue" w:hAnsi="Helvetica Neue" w:cs="Helvetica Neue"/>
          <w:color w:val="1B2432"/>
          <w:sz w:val="21"/>
          <w:szCs w:val="21"/>
        </w:rPr>
        <w:t xml:space="preserve"> </w:t>
      </w:r>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xml:space="preserve">Permanent </w:t>
      </w:r>
      <w:proofErr w:type="gramStart"/>
      <w:r>
        <w:rPr>
          <w:rFonts w:ascii="Helvetica Neue" w:eastAsia="Helvetica Neue" w:hAnsi="Helvetica Neue" w:cs="Helvetica Neue"/>
          <w:color w:val="1B2432"/>
          <w:sz w:val="21"/>
          <w:szCs w:val="21"/>
        </w:rPr>
        <w:t>Address :</w:t>
      </w:r>
      <w:proofErr w:type="gramEnd"/>
    </w:p>
    <w:p w:rsidR="009213A3" w:rsidRDefault="00D15D11">
      <w:pPr>
        <w:pStyle w:val="Normal1"/>
        <w:spacing w:before="280" w:after="280" w:line="240" w:lineRule="auto"/>
        <w:rPr>
          <w:rFonts w:ascii="Helvetica Neue" w:eastAsia="Helvetica Neue" w:hAnsi="Helvetica Neue" w:cs="Helvetica Neue"/>
          <w:color w:val="1B2432"/>
          <w:sz w:val="21"/>
          <w:szCs w:val="21"/>
        </w:rPr>
      </w:pPr>
      <w:r>
        <w:rPr>
          <w:rFonts w:ascii="Helvetica Neue" w:eastAsia="Helvetica Neue" w:hAnsi="Helvetica Neue" w:cs="Helvetica Neue"/>
          <w:color w:val="1B2432"/>
          <w:sz w:val="21"/>
          <w:szCs w:val="21"/>
        </w:rPr>
        <w:t xml:space="preserve">Batch </w:t>
      </w:r>
      <w:proofErr w:type="gramStart"/>
      <w:r>
        <w:rPr>
          <w:rFonts w:ascii="Helvetica Neue" w:eastAsia="Helvetica Neue" w:hAnsi="Helvetica Neue" w:cs="Helvetica Neue"/>
          <w:color w:val="1B2432"/>
          <w:sz w:val="21"/>
          <w:szCs w:val="21"/>
        </w:rPr>
        <w:t>No :</w:t>
      </w:r>
      <w:proofErr w:type="gramEnd"/>
    </w:p>
    <w:p w:rsidR="009213A3" w:rsidRDefault="00D15D11">
      <w:pPr>
        <w:pStyle w:val="Normal1"/>
        <w:spacing w:before="280" w:after="280" w:line="240" w:lineRule="auto"/>
        <w:rPr>
          <w:rFonts w:ascii="Helvetica Neue" w:eastAsia="Helvetica Neue" w:hAnsi="Helvetica Neue" w:cs="Helvetica Neue"/>
          <w:color w:val="1B2432"/>
          <w:sz w:val="21"/>
          <w:szCs w:val="21"/>
        </w:rPr>
      </w:pPr>
      <w:proofErr w:type="gramStart"/>
      <w:r>
        <w:rPr>
          <w:rFonts w:ascii="Helvetica Neue" w:eastAsia="Helvetica Neue" w:hAnsi="Helvetica Neue" w:cs="Helvetica Neue"/>
          <w:color w:val="1B2432"/>
          <w:sz w:val="21"/>
          <w:szCs w:val="21"/>
        </w:rPr>
        <w:t>Signature :</w:t>
      </w:r>
      <w:proofErr w:type="gramEnd"/>
      <w:r>
        <w:rPr>
          <w:rFonts w:ascii="Helvetica Neue" w:eastAsia="Helvetica Neue" w:hAnsi="Helvetica Neue" w:cs="Helvetica Neue"/>
          <w:color w:val="1B2432"/>
          <w:sz w:val="21"/>
          <w:szCs w:val="21"/>
        </w:rPr>
        <w:t xml:space="preserve"> </w:t>
      </w:r>
    </w:p>
    <w:p w:rsidR="009213A3" w:rsidRDefault="009213A3">
      <w:pPr>
        <w:pStyle w:val="Normal1"/>
        <w:spacing w:before="280" w:after="280" w:line="240" w:lineRule="auto"/>
        <w:rPr>
          <w:rFonts w:ascii="Helvetica Neue" w:eastAsia="Helvetica Neue" w:hAnsi="Helvetica Neue" w:cs="Helvetica Neue"/>
          <w:color w:val="1B2432"/>
          <w:sz w:val="21"/>
          <w:szCs w:val="21"/>
        </w:rPr>
      </w:pPr>
    </w:p>
    <w:p w:rsidR="009213A3" w:rsidRDefault="009213A3">
      <w:pPr>
        <w:pStyle w:val="Normal1"/>
        <w:spacing w:before="280" w:line="240" w:lineRule="auto"/>
        <w:rPr>
          <w:rFonts w:ascii="Helvetica Neue" w:eastAsia="Helvetica Neue" w:hAnsi="Helvetica Neue" w:cs="Helvetica Neue"/>
          <w:color w:val="1B2432"/>
          <w:sz w:val="21"/>
          <w:szCs w:val="21"/>
        </w:rPr>
      </w:pPr>
    </w:p>
    <w:sectPr w:rsidR="009213A3" w:rsidSect="009213A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C2EAB"/>
    <w:multiLevelType w:val="multilevel"/>
    <w:tmpl w:val="0DD4CB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769E60DD"/>
    <w:multiLevelType w:val="multilevel"/>
    <w:tmpl w:val="AD6470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13A3"/>
    <w:rsid w:val="00375E3A"/>
    <w:rsid w:val="009213A3"/>
    <w:rsid w:val="009D6D29"/>
    <w:rsid w:val="00A65DCA"/>
    <w:rsid w:val="00B53360"/>
    <w:rsid w:val="00D1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DB0CC-DC4A-4A33-82CD-1B944148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213A3"/>
    <w:pPr>
      <w:keepNext/>
      <w:keepLines/>
      <w:spacing w:before="480" w:after="120"/>
      <w:outlineLvl w:val="0"/>
    </w:pPr>
    <w:rPr>
      <w:b/>
      <w:sz w:val="48"/>
      <w:szCs w:val="48"/>
    </w:rPr>
  </w:style>
  <w:style w:type="paragraph" w:styleId="Heading2">
    <w:name w:val="heading 2"/>
    <w:basedOn w:val="Normal1"/>
    <w:next w:val="Normal1"/>
    <w:rsid w:val="009213A3"/>
    <w:pPr>
      <w:keepNext/>
      <w:keepLines/>
      <w:spacing w:before="360" w:after="80"/>
      <w:outlineLvl w:val="1"/>
    </w:pPr>
    <w:rPr>
      <w:b/>
      <w:sz w:val="36"/>
      <w:szCs w:val="36"/>
    </w:rPr>
  </w:style>
  <w:style w:type="paragraph" w:styleId="Heading3">
    <w:name w:val="heading 3"/>
    <w:basedOn w:val="Normal1"/>
    <w:next w:val="Normal1"/>
    <w:rsid w:val="009213A3"/>
    <w:pPr>
      <w:keepNext/>
      <w:keepLines/>
      <w:spacing w:before="280" w:after="80"/>
      <w:outlineLvl w:val="2"/>
    </w:pPr>
    <w:rPr>
      <w:b/>
      <w:sz w:val="28"/>
      <w:szCs w:val="28"/>
    </w:rPr>
  </w:style>
  <w:style w:type="paragraph" w:styleId="Heading4">
    <w:name w:val="heading 4"/>
    <w:basedOn w:val="Normal1"/>
    <w:next w:val="Normal1"/>
    <w:rsid w:val="009213A3"/>
    <w:pPr>
      <w:keepNext/>
      <w:keepLines/>
      <w:spacing w:before="240" w:after="40"/>
      <w:outlineLvl w:val="3"/>
    </w:pPr>
    <w:rPr>
      <w:b/>
      <w:sz w:val="24"/>
      <w:szCs w:val="24"/>
    </w:rPr>
  </w:style>
  <w:style w:type="paragraph" w:styleId="Heading5">
    <w:name w:val="heading 5"/>
    <w:basedOn w:val="Normal1"/>
    <w:next w:val="Normal1"/>
    <w:rsid w:val="009213A3"/>
    <w:pPr>
      <w:keepNext/>
      <w:keepLines/>
      <w:spacing w:before="220" w:after="40"/>
      <w:outlineLvl w:val="4"/>
    </w:pPr>
    <w:rPr>
      <w:b/>
    </w:rPr>
  </w:style>
  <w:style w:type="paragraph" w:styleId="Heading6">
    <w:name w:val="heading 6"/>
    <w:basedOn w:val="Normal1"/>
    <w:next w:val="Normal1"/>
    <w:rsid w:val="009213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13A3"/>
  </w:style>
  <w:style w:type="paragraph" w:styleId="Title">
    <w:name w:val="Title"/>
    <w:basedOn w:val="Normal1"/>
    <w:next w:val="Normal1"/>
    <w:rsid w:val="009213A3"/>
    <w:pPr>
      <w:keepNext/>
      <w:keepLines/>
      <w:spacing w:before="480" w:after="120"/>
    </w:pPr>
    <w:rPr>
      <w:b/>
      <w:sz w:val="72"/>
      <w:szCs w:val="72"/>
    </w:rPr>
  </w:style>
  <w:style w:type="paragraph" w:styleId="Subtitle">
    <w:name w:val="Subtitle"/>
    <w:basedOn w:val="Normal1"/>
    <w:next w:val="Normal1"/>
    <w:rsid w:val="009213A3"/>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2020-09-14T06:04:00Z</dcterms:created>
  <dcterms:modified xsi:type="dcterms:W3CDTF">2021-04-10T10:56:00Z</dcterms:modified>
</cp:coreProperties>
</file>