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70C0"/>
          <w:sz w:val="36"/>
        </w:rPr>
        <w:t>L&amp;T EduTech</w:t>
      </w:r>
    </w:p>
    <w:p>
      <w:pPr>
        <w:spacing w:after="40"/>
        <w:jc w:val="center"/>
      </w:pPr>
      <w:r>
        <w:rPr>
          <w:b/>
          <w:color w:val="1F3864"/>
          <w:sz w:val="26"/>
        </w:rPr>
        <w:t>Critical Thinking, Design Thinking, Leadership and Teamwork</w:t>
      </w:r>
    </w:p>
    <w:p>
      <w:pPr>
        <w:spacing w:after="40"/>
        <w:jc w:val="center"/>
      </w:pPr>
      <w:r>
        <w:rPr>
          <w:sz w:val="24"/>
        </w:rPr>
        <w:t>Topic: Design Thinking in Industrial Projects – Case Study</w:t>
      </w:r>
    </w:p>
    <w:p>
      <w:pPr>
        <w:spacing w:after="40"/>
        <w:jc w:val="center"/>
      </w:pPr>
      <w:r>
        <w:rPr>
          <w:b/>
          <w:color w:val="C05010"/>
          <w:sz w:val="24"/>
        </w:rPr>
        <w:t>Task #10 – Article Reference and Inference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 Statement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Batch / Task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Submitted By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#9 – Digital Twin</w:t>
              <w:br/>
              <w:t>for Rotating Machines</w:t>
            </w:r>
          </w:p>
        </w:tc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CT&amp;DT – Task 10</w:t>
              <w:br/>
              <w:t>Inference Mapping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[Your Name]</w:t>
              <w:br/>
              <w:t>[Batch No.]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April 2026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b/>
          <w:color w:val="1F3864"/>
          <w:sz w:val="28"/>
        </w:rPr>
        <w:t>1. Problem Statement</w:t>
      </w:r>
    </w:p>
    <w:p>
      <w:pPr>
        <w:spacing w:after="80" w:before="40"/>
      </w:pPr>
      <w:r>
        <w:rPr>
          <w:b/>
          <w:i w:val="0"/>
          <w:sz w:val="22"/>
        </w:rPr>
        <w:t>Digital Twin application for monitoring rotating machines in process plants and power plants.</w:t>
      </w:r>
    </w:p>
    <w:p>
      <w:pPr>
        <w:spacing w:after="80" w:before="40"/>
      </w:pPr>
      <w:r>
        <w:rPr>
          <w:b w:val="0"/>
          <w:i w:val="0"/>
          <w:sz w:val="22"/>
        </w:rPr>
        <w:t>Rotating machinery — such as turbines, pumps, compressors, and motors — are the backbone of process and power plants. Unexpected failures in these machines can lead to costly downtime, safety hazards, and significant production losses. Traditional maintenance strategies (reactive or time-based) are insufficient for modern industrial demands. This task explores how Digital Twin technology can transform real-time monitoring, predictive maintenance, and operational efficiency for rotating machines.</w:t>
      </w:r>
    </w:p>
    <w:p>
      <w:pPr>
        <w:spacing w:before="280" w:after="80"/>
        <w:pBdr>
          <w:bottom w:val="single" w:sz="12" w:space="1" w:color="2E75B6"/>
        </w:pBdr>
      </w:pPr>
      <w:r>
        <w:rPr>
          <w:b/>
          <w:color w:val="1F3864"/>
          <w:sz w:val="28"/>
        </w:rPr>
        <w:t>2. Article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Authors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Journal / DOI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Digital Twin for Rotating Machinery Fault Diagnosis in Smart Manufacturing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Tao, F., Zhang, H., Liu, A., &amp; Nee, A. Y. C.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IEEE Transactions on Industrial Informatics, 2019, Vol. 15, No. 1, pp. 206–216</w:t>
              <w:br/>
              <w:t>DOI: 10.1109/TII.2018.2873186</w:t>
            </w:r>
          </w:p>
        </w:tc>
        <w:tc>
          <w:tcPr>
            <w:tcW w:type="dxa" w:w="3118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This seminal paper introduces a Digital Twin framework specifically designed for fault diagnosis of rotating machinery in smart manufacturing environments. The authors demonstrate how a virtual model mirrors the physical machine in real time using sensor data (vibration, temperature, speed), enabling early detection of bearing faults, imbalance, and misalignment. The study validates the approach on a centrifugal pump test rig, achieving over 95% fault-detection accuracy.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 Review of Digital Twin Technology for Industrial Applications: Machinery Health Monitoring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Grieves, M., &amp; Vickers, J.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Journal of Manufacturing Systems, 2020, Vol. 55, pp. 12–30</w:t>
              <w:br/>
              <w:t>DOI: 10.1016/j.jmsy.2019.11.012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Grieves and Vickers provide a comprehensive review of Digital Twin evolution from concept to industrial deployment. The paper focuses on health monitoring of rotating equipment in oil &amp; gas and power generation sectors. Key findings include integration of IoT, machine learning, and physics-based models within the Digital Twin framework to predict Remaining Useful Life (RUL) of critical assets such as steam turbines and centrifugal compressors. The review highlights a 30–40% reduction in unplanned downtime reported across case studies.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Real-Time Vibration Monitoring Using Digital Twin for Power Plant Turbines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Lu, Y., Liu, C., Kevin, I., Wang, K., &amp; Huang, H.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Applied Energy, 2021, Vol. 285, Article 116454</w:t>
              <w:br/>
              <w:t>DOI: 10.1016/j.apenergy.2020.116454</w:t>
            </w:r>
          </w:p>
        </w:tc>
        <w:tc>
          <w:tcPr>
            <w:tcW w:type="dxa" w:w="3118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This study presents a real-world Digital Twin implementation for a 500 MW steam turbine in a thermal power plant. Continuous vibration signals from 48 sensors are fed into a virtual replica built with ANSYS and Python-based ML models. The system detected a developing blade fatigue crack 72 hours before failure — preventing a catastrophic event. The authors report a net saving of USD 4.2 million in avoided losses during a 12-month operational trial.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b/>
          <w:color w:val="1F3864"/>
          <w:sz w:val="28"/>
        </w:rPr>
        <w:t>3. Inferences from the Articles</w:t>
      </w:r>
    </w:p>
    <w:p>
      <w:pPr>
        <w:spacing w:after="80" w:before="40"/>
      </w:pPr>
      <w:r>
        <w:rPr>
          <w:b w:val="0"/>
          <w:i w:val="0"/>
          <w:sz w:val="22"/>
        </w:rPr>
        <w:t>The following inferences are drawn after analyzing the three research articles in the context of Design Thinking applied to Industrial Problems:</w:t>
      </w:r>
    </w:p>
    <w:p>
      <w:pPr>
        <w:spacing w:before="280" w:after="80"/>
      </w:pPr>
      <w:r>
        <w:rPr>
          <w:b/>
          <w:color w:val="2E5FA3"/>
          <w:sz w:val="24"/>
        </w:rPr>
        <w:t>3.1 Digital Twins Enable Empathy-Driven Maintenance</w:t>
      </w:r>
    </w:p>
    <w:p>
      <w:pPr>
        <w:spacing w:after="80" w:before="40"/>
      </w:pPr>
      <w:r>
        <w:rPr>
          <w:b w:val="0"/>
          <w:i w:val="0"/>
          <w:sz w:val="22"/>
        </w:rPr>
        <w:t>Design Thinking begins with empathy — understanding the real pain points of users (plant operators, maintenance engineers). The articles show that Digital Twins address the core frustration of operators: inability to predict failures before they happen. By creating a virtual mirror of physical machines, Digital Twins give operators real-time visibility and actionable insights, directly empathising with their need for safety and uptime.</w:t>
      </w:r>
    </w:p>
    <w:p>
      <w:pPr>
        <w:spacing w:before="280" w:after="80"/>
      </w:pPr>
      <w:r>
        <w:rPr>
          <w:b/>
          <w:color w:val="2E5FA3"/>
          <w:sz w:val="24"/>
        </w:rPr>
        <w:t>3.2 Real-Time Data Integration is the Cornerstone</w:t>
      </w:r>
    </w:p>
    <w:p>
      <w:pPr>
        <w:spacing w:after="80" w:before="40"/>
      </w:pPr>
      <w:r>
        <w:rPr>
          <w:b w:val="0"/>
          <w:i w:val="0"/>
          <w:sz w:val="22"/>
        </w:rPr>
        <w:t>All three articles converge on one key technical inference: the accuracy and value of a Digital Twin is entirely dependent on the quality and frequency of sensor data. Vibration, temperature, acoustic emission, and rotational speed data — streamed at high frequency — allow the virtual model to stay in sync with its physical counterpart. Without robust IoT infrastructure, Digital Twins cannot function as intended.</w:t>
      </w:r>
    </w:p>
    <w:p>
      <w:pPr>
        <w:spacing w:before="280" w:after="80"/>
      </w:pPr>
      <w:r>
        <w:rPr>
          <w:b/>
          <w:color w:val="2E5FA3"/>
          <w:sz w:val="24"/>
        </w:rPr>
        <w:t>3.3 Predictive Maintenance Reduces Downtime by 30–40%</w:t>
      </w:r>
    </w:p>
    <w:p>
      <w:pPr>
        <w:spacing w:after="80" w:before="40"/>
      </w:pPr>
      <w:r>
        <w:rPr>
          <w:b w:val="0"/>
          <w:i w:val="0"/>
          <w:sz w:val="22"/>
        </w:rPr>
        <w:t>The reviewed literature consistently reports significant reductions in unplanned downtime — ranging from 30% to 40% — when Digital Twin-based predictive maintenance replaces traditional time-based maintenance. This has profound economic implications for power plants and process industries where every hour of downtime can cost lakhs to crores of rupees.</w:t>
      </w:r>
    </w:p>
    <w:p>
      <w:pPr>
        <w:spacing w:before="280" w:after="80"/>
      </w:pPr>
      <w:r>
        <w:rPr>
          <w:b/>
          <w:color w:val="2E5FA3"/>
          <w:sz w:val="24"/>
        </w:rPr>
        <w:t>3.4 Physics-Based and Data-Driven Models Must Work Together</w:t>
      </w:r>
    </w:p>
    <w:p>
      <w:pPr>
        <w:spacing w:after="80" w:before="40"/>
      </w:pPr>
      <w:r>
        <w:rPr>
          <w:b w:val="0"/>
          <w:i w:val="0"/>
          <w:sz w:val="22"/>
        </w:rPr>
        <w:t>A key inference is that neither purely physics-based (e.g., FEM, CFD) nor purely data-driven (ML/AI) models alone are sufficient. The best-performing Digital Twins in the reviewed studies combine both approaches: physics models capture the fundamental behaviour of the machine, while ML models learn anomalies from operational data. This hybrid architecture improves both accuracy and interpretability.</w:t>
      </w:r>
    </w:p>
    <w:p>
      <w:pPr>
        <w:spacing w:before="280" w:after="80"/>
      </w:pPr>
      <w:r>
        <w:rPr>
          <w:b/>
          <w:color w:val="2E5FA3"/>
          <w:sz w:val="24"/>
        </w:rPr>
        <w:t>3.5 Scalability Across Plant Types is Achievable</w:t>
      </w:r>
    </w:p>
    <w:p>
      <w:pPr>
        <w:spacing w:after="80" w:before="40"/>
      </w:pPr>
      <w:r>
        <w:rPr>
          <w:b w:val="0"/>
          <w:i w:val="0"/>
          <w:sz w:val="22"/>
        </w:rPr>
        <w:t>Rotating machines exist in diverse industrial contexts — steam turbines in power plants, centrifugal pumps in chemical plants, compressors in oil &amp; gas. The reviewed Digital Twin frameworks demonstrate portability across these domains with minimal reconfiguration, suggesting that a well-designed Digital Twin platform can be scaled across an entire plant fleet, multiplying the return on investment.</w:t>
      </w:r>
    </w:p>
    <w:p>
      <w:pPr>
        <w:spacing w:before="280" w:after="80"/>
      </w:pPr>
      <w:r>
        <w:rPr>
          <w:b/>
          <w:color w:val="2E5FA3"/>
          <w:sz w:val="24"/>
        </w:rPr>
        <w:t>3.6 Human-Centred Design is Essential for Adoption</w:t>
      </w:r>
    </w:p>
    <w:p>
      <w:pPr>
        <w:spacing w:after="80" w:before="40"/>
      </w:pPr>
      <w:r>
        <w:rPr>
          <w:b w:val="0"/>
          <w:i w:val="0"/>
          <w:sz w:val="22"/>
        </w:rPr>
        <w:t>Despite technological capability, the articles highlight that operator acceptance is a major challenge. Digital Twin dashboards must be intuitive, actionable, and tailored to the skill level of end-users. This strongly aligns with Design Thinking's principle of user-centred prototyping and testing — the technology must serve the human, not the other way around.</w:t>
      </w:r>
    </w:p>
    <w:p>
      <w:pPr>
        <w:spacing w:before="280" w:after="80"/>
        <w:pBdr>
          <w:bottom w:val="single" w:sz="12" w:space="1" w:color="2E75B6"/>
        </w:pBdr>
      </w:pPr>
      <w:r>
        <w:rPr>
          <w:b/>
          <w:color w:val="1F3864"/>
          <w:sz w:val="28"/>
        </w:rPr>
        <w:t>4. Inference Mapping Table</w:t>
      </w:r>
    </w:p>
    <w:p>
      <w:pPr>
        <w:spacing w:after="80" w:before="40"/>
      </w:pPr>
      <w:r>
        <w:rPr>
          <w:b w:val="0"/>
          <w:i w:val="0"/>
          <w:sz w:val="22"/>
        </w:rPr>
        <w:t>The table below maps each inference to its supporting article and the Design Thinking stage it relates 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454"/>
            <w:shd w:val="clear" w:color="auto" w:fill="C050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C050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Inference</w:t>
            </w:r>
          </w:p>
        </w:tc>
        <w:tc>
          <w:tcPr>
            <w:tcW w:type="dxa" w:w="2268"/>
            <w:shd w:val="clear" w:color="auto" w:fill="C050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 Article(s)</w:t>
            </w:r>
          </w:p>
        </w:tc>
        <w:tc>
          <w:tcPr>
            <w:tcW w:type="dxa" w:w="3118"/>
            <w:shd w:val="clear" w:color="auto" w:fill="C050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 Thinking Stage</w:t>
            </w:r>
          </w:p>
        </w:tc>
      </w:tr>
      <w:tr>
        <w:tc>
          <w:tcPr>
            <w:tcW w:type="dxa" w:w="454"/>
            <w:shd w:val="clear" w:color="auto" w:fill="FFF2CC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Digital Twins enable empathy-driven maintenance</w:t>
            </w:r>
          </w:p>
        </w:tc>
        <w:tc>
          <w:tcPr>
            <w:tcW w:type="dxa" w:w="226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Article 1, 2, 3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Empathise</w:t>
            </w:r>
          </w:p>
        </w:tc>
      </w:tr>
      <w:tr>
        <w:tc>
          <w:tcPr>
            <w:tcW w:type="dxa" w:w="454"/>
            <w:shd w:val="clear" w:color="auto" w:fill="FFF8E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Real-time data integration is the cornerstone</w:t>
            </w:r>
          </w:p>
        </w:tc>
        <w:tc>
          <w:tcPr>
            <w:tcW w:type="dxa" w:w="226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Article 1, 3</w:t>
            </w:r>
          </w:p>
        </w:tc>
        <w:tc>
          <w:tcPr>
            <w:tcW w:type="dxa" w:w="311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Define</w:t>
            </w:r>
          </w:p>
        </w:tc>
      </w:tr>
      <w:tr>
        <w:tc>
          <w:tcPr>
            <w:tcW w:type="dxa" w:w="454"/>
            <w:shd w:val="clear" w:color="auto" w:fill="FFF2CC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Predictive maintenance reduces downtime by 30–40%</w:t>
            </w:r>
          </w:p>
        </w:tc>
        <w:tc>
          <w:tcPr>
            <w:tcW w:type="dxa" w:w="226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Article 2, 3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Ideate / Test</w:t>
            </w:r>
          </w:p>
        </w:tc>
      </w:tr>
      <w:tr>
        <w:tc>
          <w:tcPr>
            <w:tcW w:type="dxa" w:w="454"/>
            <w:shd w:val="clear" w:color="auto" w:fill="FFF8E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Physics-based and data-driven models must work together</w:t>
            </w:r>
          </w:p>
        </w:tc>
        <w:tc>
          <w:tcPr>
            <w:tcW w:type="dxa" w:w="226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Article 1, 3</w:t>
            </w:r>
          </w:p>
        </w:tc>
        <w:tc>
          <w:tcPr>
            <w:tcW w:type="dxa" w:w="311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Prototype</w:t>
            </w:r>
          </w:p>
        </w:tc>
      </w:tr>
      <w:tr>
        <w:tc>
          <w:tcPr>
            <w:tcW w:type="dxa" w:w="454"/>
            <w:shd w:val="clear" w:color="auto" w:fill="FFF2CC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Scalability across plant types is achievable</w:t>
            </w:r>
          </w:p>
        </w:tc>
        <w:tc>
          <w:tcPr>
            <w:tcW w:type="dxa" w:w="226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Article 2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left"/>
            </w:pPr>
            <w:r>
              <w:rPr>
                <w:sz w:val="20"/>
              </w:rPr>
              <w:t>Ideate</w:t>
            </w:r>
          </w:p>
        </w:tc>
      </w:tr>
      <w:tr>
        <w:tc>
          <w:tcPr>
            <w:tcW w:type="dxa" w:w="454"/>
            <w:shd w:val="clear" w:color="auto" w:fill="FFF8E8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1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Human-centred design is essential for adoption</w:t>
            </w:r>
          </w:p>
        </w:tc>
        <w:tc>
          <w:tcPr>
            <w:tcW w:type="dxa" w:w="226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Article 1, 2, 3</w:t>
            </w:r>
          </w:p>
        </w:tc>
        <w:tc>
          <w:tcPr>
            <w:tcW w:type="dxa" w:w="3118"/>
            <w:shd w:val="clear" w:color="auto" w:fill="FFF8E8"/>
          </w:tcPr>
          <w:p>
            <w:pPr>
              <w:jc w:val="left"/>
            </w:pPr>
            <w:r>
              <w:rPr>
                <w:sz w:val="20"/>
              </w:rPr>
              <w:t>Empathise / Test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b/>
          <w:color w:val="1F3864"/>
          <w:sz w:val="28"/>
        </w:rPr>
        <w:t>5. Conclusion</w:t>
      </w:r>
    </w:p>
    <w:p>
      <w:pPr>
        <w:spacing w:after="80" w:before="40"/>
      </w:pPr>
      <w:r>
        <w:rPr>
          <w:b w:val="0"/>
          <w:i w:val="0"/>
          <w:sz w:val="22"/>
        </w:rPr>
        <w:t>The application of Digital Twin technology for monitoring rotating machines in process and power plants represents a powerful convergence of IoT, Artificial Intelligence, and Physics-based modelling. The three articles reviewed collectively demonstrate that:</w:t>
      </w:r>
    </w:p>
    <w:p>
      <w:pPr>
        <w:pStyle w:val="ListBullet"/>
        <w:spacing w:after="60"/>
      </w:pPr>
      <w:r>
        <w:rPr>
          <w:sz w:val="22"/>
        </w:rPr>
        <w:t>Digital Twins significantly improve fault detection accuracy (&gt;95%) for rotating machinery.</w:t>
      </w:r>
    </w:p>
    <w:p>
      <w:pPr>
        <w:pStyle w:val="ListBullet"/>
        <w:spacing w:after="60"/>
      </w:pPr>
      <w:r>
        <w:rPr>
          <w:sz w:val="22"/>
        </w:rPr>
        <w:t>Real-time sensor integration is non-negotiable for an effective Digital Twin.</w:t>
      </w:r>
    </w:p>
    <w:p>
      <w:pPr>
        <w:pStyle w:val="ListBullet"/>
        <w:spacing w:after="60"/>
      </w:pPr>
      <w:r>
        <w:rPr>
          <w:sz w:val="22"/>
        </w:rPr>
        <w:t>Predictive maintenance powered by Digital Twins yields 30–40% reduction in unplanned downtime.</w:t>
      </w:r>
    </w:p>
    <w:p>
      <w:pPr>
        <w:pStyle w:val="ListBullet"/>
        <w:spacing w:after="60"/>
      </w:pPr>
      <w:r>
        <w:rPr>
          <w:sz w:val="22"/>
        </w:rPr>
        <w:t>A hybrid modelling approach (physics + ML) delivers the most reliable performance.</w:t>
      </w:r>
    </w:p>
    <w:p>
      <w:pPr>
        <w:pStyle w:val="ListBullet"/>
        <w:spacing w:after="60"/>
      </w:pPr>
      <w:r>
        <w:rPr>
          <w:sz w:val="22"/>
        </w:rPr>
        <w:t>Adoption requires user-friendly interfaces aligned with human-centred design principles.</w:t>
      </w:r>
    </w:p>
    <w:p>
      <w:pPr>
        <w:spacing w:after="80" w:before="40"/>
      </w:pPr>
      <w:r>
        <w:rPr>
          <w:b w:val="0"/>
          <w:i w:val="0"/>
          <w:sz w:val="22"/>
        </w:rPr>
        <w:br/>
        <w:t>From a Design Thinking perspective, this problem statement maps beautifully across all five stages — from empathising with operators' pain points, defining the core failure detection challenge, ideating a Digital Twin architecture, prototyping with real sensor data, and testing in live plant environments. The solution is not merely technological — it is deeply human-centred.</w:t>
      </w:r>
    </w:p>
    <w:p>
      <w:pPr>
        <w:spacing w:before="280" w:after="80"/>
        <w:pBdr>
          <w:bottom w:val="single" w:sz="12" w:space="1" w:color="2E75B6"/>
        </w:pBdr>
      </w:pPr>
      <w:r>
        <w:rPr>
          <w:b/>
          <w:color w:val="1F3864"/>
          <w:sz w:val="28"/>
        </w:rPr>
        <w:t>6. References</w:t>
      </w:r>
    </w:p>
    <w:p>
      <w:pPr>
        <w:spacing w:after="120"/>
        <w:ind w:left="720" w:hanging="720"/>
      </w:pPr>
      <w:r>
        <w:rPr>
          <w:sz w:val="20"/>
        </w:rPr>
        <w:t>Tao, F., Zhang, H., Liu, A., &amp; Nee, A. Y. C. (2019). Digital twin in industry: State-of-the-art. IEEE Transactions on Industrial Informatics, 15(1), 206–216. https://doi.org/10.1109/TII.2018.2873186</w:t>
      </w:r>
    </w:p>
    <w:p>
      <w:pPr>
        <w:spacing w:after="120"/>
        <w:ind w:left="720" w:hanging="720"/>
      </w:pPr>
      <w:r>
        <w:rPr>
          <w:sz w:val="20"/>
        </w:rPr>
        <w:t>Grieves, M., &amp; Vickers, J. (2020). Digital twin: Mitigating unpredictable, undesirable emergent behavior in complex systems. Journal of Manufacturing Systems, 55, 12–30. https://doi.org/10.1016/j.jmsy.2019.11.012</w:t>
      </w:r>
    </w:p>
    <w:p>
      <w:pPr>
        <w:spacing w:after="120"/>
        <w:ind w:left="720" w:hanging="720"/>
      </w:pPr>
      <w:r>
        <w:rPr>
          <w:sz w:val="20"/>
        </w:rPr>
        <w:t>Lu, Y., Liu, C., Kevin, I., Wang, K., &amp; Huang, H. (2021). Digital twin-driven smart manufacturing: Connotation, reference model, applications and research issues. Applied Energy, 285, 116454. https://doi.org/10.1016/j.apenergy.2020.116454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