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563EB" w:sz="8" w:space="4"/>
        </w:pBdr>
        <w:spacing w:after="160" w:before="240" w:line="276"/>
      </w:pPr>
      <w:r>
        <w:rPr>
          <w:rFonts w:ascii="Arial" w:cs="Arial" w:eastAsia="Arial" w:hAnsi="Arial"/>
          <w:b/>
          <w:bCs/>
          <w:color w:val="1E3A5F"/>
          <w:sz w:val="28"/>
          <w:szCs w:val="28"/>
        </w:rPr>
        <w:t xml:space="preserve">Executive Summary</w:t>
      </w:r>
    </w:p>
    <w:p>
      <w:pPr>
        <w:spacing w:after="160" w:before="0" w:line="276"/>
        <w:jc w:val="left"/>
      </w:pPr>
      <w:r>
        <w:rPr>
          <w:rFonts w:ascii="Arial" w:cs="Arial" w:eastAsia="Arial" w:hAnsi="Arial"/>
          <w:sz w:val="22"/>
          <w:szCs w:val="22"/>
        </w:rPr>
        <w:t xml:space="preserve">This report synthesises findings from all 16 files submitted as part of the Magicpin AI Challenge. The challenge asks participants to rebuild a WhatsApp-native merchant AI assistant called </w:t>
      </w:r>
      <w:r>
        <w:rPr>
          <w:rFonts w:ascii="Arial" w:cs="Arial" w:eastAsia="Arial" w:hAnsi="Arial"/>
          <w:b/>
          <w:bCs/>
          <w:sz w:val="22"/>
          <w:szCs w:val="22"/>
        </w:rPr>
        <w:t xml:space="preserve">Vera</w:t>
      </w:r>
      <w:r>
        <w:rPr>
          <w:rFonts w:ascii="Arial" w:cs="Arial" w:eastAsia="Arial" w:hAnsi="Arial"/>
          <w:sz w:val="22"/>
          <w:szCs w:val="22"/>
        </w:rPr>
        <w:t xml:space="preserve"> using a structured 4-context framework of Category, Merchant, Trigger, and Customer contexts. The dataset spans 5 merchant verticals, a deterministic expansion engine, and a live judge harness. Five summary findings are highlighted below, each grounded in numbers drawn directly from the provided files.</w:t>
      </w:r>
    </w:p>
    <w:p>
      <w:pPr>
        <w:pStyle w:val="ListParagraph"/>
        <w:numPr>
          <w:ilvl w:val="0"/>
          <w:numId w:val="2"/>
        </w:numPr>
        <w:spacing w:after="80" w:before="40" w:line="276"/>
      </w:pPr>
      <w:r>
        <w:rPr>
          <w:rFonts w:ascii="Arial" w:cs="Arial" w:eastAsia="Arial" w:hAnsi="Arial"/>
          <w:b/>
          <w:bCs/>
          <w:sz w:val="22"/>
          <w:szCs w:val="22"/>
        </w:rPr>
        <w:t xml:space="preserve">Vera's current daily scale is substantial: </w:t>
      </w:r>
      <w:r>
        <w:rPr>
          <w:rFonts w:ascii="Arial" w:cs="Arial" w:eastAsia="Arial" w:hAnsi="Arial"/>
          <w:sz w:val="22"/>
          <w:szCs w:val="22"/>
        </w:rPr>
        <w:t xml:space="preserve">The challenge-brief.md documents that Vera engaged 10,158 merchants on April 24, 2026 alone, with a total of 47,651 merchant-Vera messages that day and an average of 4.7 messages per engaged merchant. This means any submission that fails to handle conversation pacing correctly is working against a product that already moves at 10,000+ conversation starts per day.</w:t>
      </w:r>
    </w:p>
    <w:p>
      <w:pPr>
        <w:pStyle w:val="ListParagraph"/>
        <w:numPr>
          <w:ilvl w:val="0"/>
          <w:numId w:val="2"/>
        </w:numPr>
        <w:spacing w:after="80" w:before="40" w:line="276"/>
      </w:pPr>
      <w:r>
        <w:rPr>
          <w:rFonts w:ascii="Arial" w:cs="Arial" w:eastAsia="Arial" w:hAnsi="Arial"/>
          <w:b/>
          <w:bCs/>
          <w:sz w:val="22"/>
          <w:szCs w:val="22"/>
        </w:rPr>
        <w:t xml:space="preserve">The dataset is deliberately small but expandable in a fixed, reproducible way: </w:t>
      </w:r>
      <w:r>
        <w:rPr>
          <w:rFonts w:ascii="Arial" w:cs="Arial" w:eastAsia="Arial" w:hAnsi="Arial"/>
          <w:sz w:val="22"/>
          <w:szCs w:val="22"/>
        </w:rPr>
        <w:t xml:space="preserve">The seed files contain 15 CustomerContexts, 10 MerchantContexts, and 25 TriggerContexts. The generate_dataset.py script uses a fixed SEED = 20260426 to expand these deterministically to exactly 200 customers, 50 merchants, and 100 triggers, plus a 30-pair canonical test set. Every participant in the challenge works from the same expanded dataset, making blind comparison by the judge valid.</w:t>
      </w:r>
    </w:p>
    <w:p>
      <w:pPr>
        <w:pStyle w:val="ListParagraph"/>
        <w:numPr>
          <w:ilvl w:val="0"/>
          <w:numId w:val="2"/>
        </w:numPr>
        <w:spacing w:after="80" w:before="40" w:line="276"/>
      </w:pPr>
      <w:r>
        <w:rPr>
          <w:rFonts w:ascii="Arial" w:cs="Arial" w:eastAsia="Arial" w:hAnsi="Arial"/>
          <w:b/>
          <w:bCs/>
          <w:sz w:val="22"/>
          <w:szCs w:val="22"/>
        </w:rPr>
        <w:t xml:space="preserve">Pharmacies are the stickiest vertical in the dataset with a 62% repeat customer rate, </w:t>
      </w:r>
      <w:r>
        <w:rPr>
          <w:rFonts w:ascii="Arial" w:cs="Arial" w:eastAsia="Arial" w:hAnsi="Arial"/>
          <w:sz w:val="22"/>
          <w:szCs w:val="22"/>
        </w:rPr>
        <w:t xml:space="preserve">as recorded in pharmacies.json peer_stats. This is almost 3.5 times the restaurant vertical's 30-day retention of 18%, and it creates an asymmetric engagement opportunity: pharmacy merchants need content and outreach nudges far less than they need retention management and chronic prescription refill automation.</w:t>
      </w:r>
    </w:p>
    <w:p>
      <w:pPr>
        <w:pStyle w:val="ListParagraph"/>
        <w:numPr>
          <w:ilvl w:val="0"/>
          <w:numId w:val="2"/>
        </w:numPr>
        <w:spacing w:after="80" w:before="40" w:line="276"/>
      </w:pPr>
      <w:r>
        <w:rPr>
          <w:rFonts w:ascii="Arial" w:cs="Arial" w:eastAsia="Arial" w:hAnsi="Arial"/>
          <w:b/>
          <w:bCs/>
          <w:sz w:val="22"/>
          <w:szCs w:val="22"/>
        </w:rPr>
        <w:t xml:space="preserve">The scoring rubric puts a -2 penalty on every fabricated data point, </w:t>
      </w:r>
      <w:r>
        <w:rPr>
          <w:rFonts w:ascii="Arial" w:cs="Arial" w:eastAsia="Arial" w:hAnsi="Arial"/>
          <w:sz w:val="22"/>
          <w:szCs w:val="22"/>
        </w:rPr>
        <w:t xml:space="preserve">and judge_simulator.py confirms this through its LLMScorer class which explicitly checks specificity using source citations, numbers, and verifiable facts. The highest-scoring case studies in case-studies.md all score 10/10 on specificity by anchoring on figures like 2,100 (trial size), 38% (caries reduction), and batch numbers (AT2024-1102). A bot that invents numbers will score no higher than 5 on its best dimension.</w:t>
      </w:r>
    </w:p>
    <w:p>
      <w:pPr>
        <w:pStyle w:val="ListParagraph"/>
        <w:numPr>
          <w:ilvl w:val="0"/>
          <w:numId w:val="2"/>
        </w:numPr>
        <w:spacing w:after="80" w:before="40" w:line="276"/>
      </w:pPr>
      <w:r>
        <w:rPr>
          <w:rFonts w:ascii="Arial" w:cs="Arial" w:eastAsia="Arial" w:hAnsi="Arial"/>
          <w:b/>
          <w:bCs/>
          <w:sz w:val="22"/>
          <w:szCs w:val="22"/>
        </w:rPr>
        <w:t xml:space="preserve">Clear aligner search intent is growing at 62% YoY in metro markets, </w:t>
      </w:r>
      <w:r>
        <w:rPr>
          <w:rFonts w:ascii="Arial" w:cs="Arial" w:eastAsia="Arial" w:hAnsi="Arial"/>
          <w:sz w:val="22"/>
          <w:szCs w:val="22"/>
        </w:rPr>
        <w:t xml:space="preserve">per dentists.json trend_signals. Yet dentist 6-month retention sits at only 42%, meaning the category is successfully generating first-visit demand without converting it into longitudinal patient relationships. The recall_due trigger family exists precisely to address this gap, and the data architecture to support it is fully specified across triggers_seed.json, engagement-design.md, and the two worked examples in challenge-brief.md.</w:t>
      </w:r>
    </w:p>
    <w:p>
      <w:pPr>
        <w:spacing w:after="0" w:before="0" w:line="276"/>
      </w:pPr>
      <w:r>
        <w:br w:type="page"/>
      </w:r>
    </w:p>
    <w:p>
      <w:pPr>
        <w:pBdr>
          <w:bottom w:val="single" w:color="2563EB" w:sz="8" w:space="4"/>
        </w:pBdr>
        <w:spacing w:after="160" w:before="240" w:line="276"/>
      </w:pPr>
      <w:r>
        <w:rPr>
          <w:rFonts w:ascii="Arial" w:cs="Arial" w:eastAsia="Arial" w:hAnsi="Arial"/>
          <w:b/>
          <w:bCs/>
          <w:color w:val="1E3A5F"/>
          <w:sz w:val="28"/>
          <w:szCs w:val="28"/>
        </w:rPr>
        <w:t xml:space="preserve">Dataset Overview</w:t>
      </w:r>
    </w:p>
    <w:p>
      <w:pPr>
        <w:spacing w:after="160" w:before="0" w:line="276"/>
        <w:jc w:val="left"/>
      </w:pPr>
      <w:r>
        <w:rPr>
          <w:rFonts w:ascii="Arial" w:cs="Arial" w:eastAsia="Arial" w:hAnsi="Arial"/>
          <w:b w:val="false"/>
          <w:bCs w:val="false"/>
          <w:color w:val="000000"/>
          <w:sz w:val="22"/>
          <w:szCs w:val="22"/>
        </w:rPr>
        <w:t xml:space="preserve">The 16 files can be grouped into three functional buckets: seed data (.json), expansion and evaluation code (.py), and specification documents (.md). The table below maps every file to its role in the challenge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780"/>
        <w:gridCol w:w="1100"/>
        <w:gridCol w:w="2100"/>
        <w:gridCol w:w="4200"/>
      </w:tblGrid>
      <w:tr>
        <w:trPr>
          <w:tblHeader/>
        </w:trPr>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Filename</w:t>
            </w:r>
          </w:p>
        </w:tc>
        <w:tc>
          <w:tcPr>
            <w:tcW w:type="dxa" w:w="78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Type</w:t>
            </w:r>
          </w:p>
        </w:tc>
        <w:tc>
          <w:tcPr>
            <w:tcW w:type="dxa" w:w="11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Records</w:t>
            </w:r>
          </w:p>
        </w:tc>
        <w:tc>
          <w:tcPr>
            <w:tcW w:type="dxa" w:w="21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Key Columns</w:t>
            </w:r>
          </w:p>
        </w:tc>
        <w:tc>
          <w:tcPr>
            <w:tcW w:type="dxa" w:w="4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Purpose</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customers_seed.json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15 seed</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customer_id, state, LTV, relationship, preferences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Representative CustomerContexts; generator expands to 200 with weighted states (active 4x, lapsed 3x, new 1x, churned 1x)</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merchants_seed.json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10 seed</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merchant_id, category_slug, performance, subscription, signals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Representative MerchantContexts; generator expands to 50 (10 per category) across 10 Indian cities</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triggers_seed.json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25 seed</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id, scope, kind, urgency, suppression_key, expires_at</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Representative TriggerContexts; 20 merchant-scoped, 5 customer-scoped; 24 distinct kinds; expands to 100</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dentists.json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8 offers, 5 digests, 4 trends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offer_catalog, peer_stats, digest, seasonal_beats, trend_signals, voice</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Full CategoryContext for dental vertical; avg_rating 4.4, avg_ctr 0.030, retention_6mo 42%</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gyms.json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8 offers, 5 digests, 4 trends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offer_catalog, peer_stats, digest, seasonal_beats, trend_signals, voice</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Full CategoryContext for gyms vertical; trial_to_paid 32%, monthly_churn 8%, avg_ctr 0.045</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salons.json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8 offers, 5 digests, 4 trends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offer_catalog, peer_stats, digest, seasonal_beats, trend_signals, voice</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Full CategoryContext for salons vertical; avg_review_count 88, retention_3mo 55%, avg_ctr 0.040</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pharmacies.json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8 offers, 5 digests, 4 trends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offer_catalog, peer_stats, digest, seasonal_beats, trend_signals, voice</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Full CategoryContext for pharmacies vertical; repeat_customer 62%, delivery_share 35%, avg_rating 4.6</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restaurants.json</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JSON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8 offers, 5 digests, 5 trends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offer_catalog, peer_stats, digest, seasonal_beats, trend_signals, voice</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Full CategoryContext for restaurants vertical; avg_ctr 0.025 (lowest), retention_30d 18%, avg_reviews 142</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generate_dataset.py</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Python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~350 lines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expand_merchants, expand_customers, expand_triggers, write_outputs, write_test_pairs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Deterministic expansion engine; SEED=20260426; produces 50 merchants, 200 customers, 100 triggers, 30 canonical test pairs</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judge_simulator.py</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Python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~600 lines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JudgeSimulator, LLMScorer, BotClient, DatasetLoader; 7 LLM providers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LLM-powered evaluation harness; 5-dimension scoring (50 pts); 6 test scenarios; 7 supported LLM providers</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zorvyn_observation.md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~300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Domain migration timeline, PM intern ID TE07FBR0</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Not Magicpin-specific; personal PM internship observation document included in the file bundle</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domain_provider_brief.md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~400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Namecheap vs Cloudflare comparison, DNS uptime SLAs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Not Magicpin-specific; domain provider decision note from the same PM application context</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engagement-research.md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~1,000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vera_merchant_snapshot, Redis TTL 30min, MCP tool list, gap analysis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Internal research on Vera's existing data access paths and what the engagement framework must build new</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engagement-design.md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~2,000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4-context dataclasses, EngagementComposer, 3-phase rollout, worked examples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Design specification for the Vera Engagement Framework that this challenge simulates in miniature</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challenge-testing-brief.md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~2,500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5 endpoints, 4 test phases, scoring formula, rate limits, failure modes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Technical contract between judge harness and candidate bots; defines all HTTP schemas and timeout rules</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challenge-brief.md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~3,000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Vera overview, 4-context framework, rubric, anti-patterns, real conversation examples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Master challenge brief; the single most important document in the set for understanding what good looks like</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api-call-examples.md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~1,500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HTTP request/response pairs for all 5 endpoints across all 4 test phases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Concrete curl-level examples for every judge-to-bot interaction including edge cases like idempotency and version bumps</w:t>
            </w:r>
          </w:p>
        </w:tc>
      </w:tr>
      <w:tr>
        <w:trPr>
          <w:tblHeader w:val="false"/>
        </w:trPr>
        <w:tc>
          <w:tcPr>
            <w:tcW w:type="dxa" w:w="19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case-studies.md</w:t>
            </w:r>
          </w:p>
        </w:tc>
        <w:tc>
          <w:tcPr>
            <w:tcW w:type="dxa" w:w="78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Markdown</w:t>
            </w:r>
          </w:p>
        </w:tc>
        <w:tc>
          <w:tcPr>
            <w:tcW w:type="dxa" w:w="1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~1,500 words</w:t>
            </w:r>
          </w:p>
        </w:tc>
        <w:tc>
          <w:tcPr>
            <w:tcW w:type="dxa" w:w="21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10 case studies with 50-point score breakdowns and cross-case patterns</w:t>
            </w:r>
          </w:p>
        </w:tc>
        <w:tc>
          <w:tcPr>
            <w:tcW w:type="dxa" w:w="4200"/>
            <w:tcBorders>
              <w:top w:val="single" w:color="CCCCCC" w:sz="4"/>
              <w:left w:val="single" w:color="CCCCCC" w:sz="4"/>
              <w:bottom w:val="single" w:color="CCCCCC" w:sz="4"/>
              <w:right w:val="single" w:color="CCCCCC" w:sz="4"/>
            </w:tcBorders>
            <w:shd w:fill="F8FAFF" w:val="clear"/>
            <w:tcMar>
              <w:top w:type="dxa" w:w="80"/>
              <w:left w:type="dxa" w:w="120"/>
              <w:bottom w:type="dxa" w:w="80"/>
              <w:right w:type="dxa" w:w="120"/>
            </w:tcMar>
            <w:vAlign w:val="top"/>
          </w:tcPr>
          <w:p>
            <w:pPr>
              <w:spacing w:after="0" w:before="0" w:line="276"/>
            </w:pPr>
            <w:r>
              <w:rPr>
                <w:rFonts w:ascii="Arial" w:cs="Arial" w:eastAsia="Arial" w:hAnsi="Arial"/>
                <w:b w:val="false"/>
                <w:bCs w:val="false"/>
                <w:color w:val="111827"/>
                <w:sz w:val="17"/>
                <w:szCs w:val="17"/>
              </w:rPr>
              <w:t xml:space="preserve">Reference compositions for each category; defines what a perfect score looks like and what anti-patterns lose points</w:t>
            </w:r>
          </w:p>
        </w:tc>
      </w:tr>
    </w:tbl>
    <w:p>
      <w:pPr>
        <w:spacing w:after="0" w:before="0" w:line="276"/>
      </w:pPr>
      <w:r>
        <w:br w:type="page"/>
      </w:r>
    </w:p>
    <w:p>
      <w:pPr>
        <w:pBdr>
          <w:bottom w:val="single" w:color="2563EB" w:sz="8" w:space="4"/>
        </w:pBdr>
        <w:spacing w:after="160" w:before="240" w:line="276"/>
      </w:pPr>
      <w:r>
        <w:rPr>
          <w:rFonts w:ascii="Arial" w:cs="Arial" w:eastAsia="Arial" w:hAnsi="Arial"/>
          <w:b/>
          <w:bCs/>
          <w:color w:val="1E3A5F"/>
          <w:sz w:val="28"/>
          <w:szCs w:val="28"/>
        </w:rPr>
        <w:t xml:space="preserve">EDA Insights</w:t>
      </w:r>
    </w:p>
    <w:p>
      <w:pPr>
        <w:spacing w:after="160" w:before="0" w:line="276"/>
        <w:jc w:val="left"/>
      </w:pPr>
      <w:r>
        <w:rPr>
          <w:rFonts w:ascii="Arial" w:cs="Arial" w:eastAsia="Arial" w:hAnsi="Arial"/>
          <w:b w:val="false"/>
          <w:bCs w:val="false"/>
          <w:color w:val="000000"/>
          <w:sz w:val="22"/>
          <w:szCs w:val="22"/>
        </w:rPr>
        <w:t xml:space="preserve">The five insights below draw directly from the .json domain files and the seed data, cross-referenced against the .py expansion logic and .md briefs. Each insight includes a specific data point to anchor the interpretation.</w:t>
      </w:r>
    </w:p>
    <w:p>
      <w:pPr>
        <w:spacing w:after="120" w:before="200" w:line="276"/>
      </w:pPr>
      <w:r>
        <w:rPr>
          <w:rFonts w:ascii="Arial" w:cs="Arial" w:eastAsia="Arial" w:hAnsi="Arial"/>
          <w:b/>
          <w:bCs/>
          <w:color w:val="2563EB"/>
          <w:sz w:val="24"/>
          <w:szCs w:val="24"/>
        </w:rPr>
        <w:t xml:space="preserve">Insight 1: Restaurant CTR Runs 44% Below the Next-Worst Category</w:t>
      </w:r>
    </w:p>
    <w:p>
      <w:pPr>
        <w:spacing w:after="160" w:before="0" w:line="276"/>
        <w:jc w:val="left"/>
      </w:pPr>
      <w:r>
        <w:rPr>
          <w:rFonts w:ascii="Arial" w:cs="Arial" w:eastAsia="Arial" w:hAnsi="Arial"/>
          <w:sz w:val="22"/>
          <w:szCs w:val="22"/>
        </w:rPr>
        <w:t xml:space="preserve">restaurants.json records </w:t>
      </w:r>
      <w:r>
        <w:rPr>
          <w:rFonts w:ascii="Arial" w:cs="Arial" w:eastAsia="Arial" w:hAnsi="Arial"/>
          <w:b/>
          <w:bCs/>
          <w:sz w:val="22"/>
          <w:szCs w:val="22"/>
        </w:rPr>
        <w:t xml:space="preserve">avg_ctr = 0.025</w:t>
      </w:r>
      <w:r>
        <w:rPr>
          <w:rFonts w:ascii="Arial" w:cs="Arial" w:eastAsia="Arial" w:hAnsi="Arial"/>
          <w:sz w:val="22"/>
          <w:szCs w:val="22"/>
        </w:rPr>
        <w:t xml:space="preserve"> for metro casual dining, the lowest across all five verticals. Gyms lead at 0.045, salons sit at 0.040, pharmacies at 0.038, and even dentists manage 0.030. The South Indian Cafe merchant in the seed data (m_006_southindiancafe_restaurant_bangalore) posts a ctr of 0.032, which is above its own category average but only because that merchant has 12,400 monthly views, the highest in the entire seed set. The structural problem is visible in the retention data too: restaurants.json shows retention_30d_pct = 0.18, meaning only 18 out of every 100 diners return within 30 days. Combined, these two figures tell us that restaurants are the noisiest merchants to engage with but generate the least predictable return per conversation. The practical implication for a Vera-like bot is that restaurant triggers need to be event-anchored (IPL match nights, monsoon delivery windows, festival bookings) rather than relationship-anchored, because the customer base simply does not sustain relationship-driven recall the way pharmacies or dental patients do.</w:t>
      </w:r>
    </w:p>
    <w:p>
      <w:pPr>
        <w:spacing w:after="120" w:before="200" w:line="276"/>
      </w:pPr>
      <w:r>
        <w:rPr>
          <w:rFonts w:ascii="Arial" w:cs="Arial" w:eastAsia="Arial" w:hAnsi="Arial"/>
          <w:b/>
          <w:bCs/>
          <w:color w:val="2563EB"/>
          <w:sz w:val="24"/>
          <w:szCs w:val="24"/>
        </w:rPr>
        <w:t xml:space="preserve">Insight 2: Gyms Have the Worst Trial-to-Paid Conversion and April is the Worst Time to Fix It</w:t>
      </w:r>
    </w:p>
    <w:p>
      <w:pPr>
        <w:spacing w:after="160" w:before="0" w:line="276"/>
        <w:jc w:val="left"/>
      </w:pPr>
      <w:r>
        <w:rPr>
          <w:rFonts w:ascii="Arial" w:cs="Arial" w:eastAsia="Arial" w:hAnsi="Arial"/>
          <w:sz w:val="22"/>
          <w:szCs w:val="22"/>
        </w:rPr>
        <w:t xml:space="preserve">gyms.json records </w:t>
      </w:r>
      <w:r>
        <w:rPr>
          <w:rFonts w:ascii="Arial" w:cs="Arial" w:eastAsia="Arial" w:hAnsi="Arial"/>
          <w:b/>
          <w:bCs/>
          <w:sz w:val="22"/>
          <w:szCs w:val="22"/>
        </w:rPr>
        <w:t xml:space="preserve">trial_to_paid_pct = 0.32</w:t>
      </w:r>
      <w:r>
        <w:rPr>
          <w:rFonts w:ascii="Arial" w:cs="Arial" w:eastAsia="Arial" w:hAnsi="Arial"/>
          <w:sz w:val="22"/>
          <w:szCs w:val="22"/>
        </w:rPr>
        <w:t xml:space="preserve"> alongside monthly_churn_pct = 0.08. The digest within the same file explains the seasonality: gym trial walk-ins spike to 4x baseline in January and taper through March, with April to June hitting the lowest acquisition window of the year. A bot composing messages for gym merchants right now (April 2026) that focuses on acquisition would actively be working against the data. The correct trigger family for this window is retention-oriented: seasonal_perf_dip, milestone_reached, and customer_lapsed_soft. The digest also flags that boutique yoga and pilates studios are taking female members aged 30 to 45 away from traditional gyms with memberships at Rs 6,000 to Rs 8,000 per month. The correct bot response, per case-study 7, is to reframe the seasonal dip as a planned operating window rather than a crisis, and redirect engagement budget toward the 245 active members rather than chasing new ones.</w:t>
      </w:r>
    </w:p>
    <w:p>
      <w:pPr>
        <w:spacing w:after="120" w:before="200" w:line="276"/>
      </w:pPr>
      <w:r>
        <w:rPr>
          <w:rFonts w:ascii="Arial" w:cs="Arial" w:eastAsia="Arial" w:hAnsi="Arial"/>
          <w:b/>
          <w:bCs/>
          <w:color w:val="2563EB"/>
          <w:sz w:val="24"/>
          <w:szCs w:val="24"/>
        </w:rPr>
        <w:t xml:space="preserve">Insight 3: The Dental Vertical Has the Largest Gap Between Demand Generation and Patient Retention</w:t>
      </w:r>
    </w:p>
    <w:p>
      <w:pPr>
        <w:spacing w:after="160" w:before="0" w:line="276"/>
        <w:jc w:val="left"/>
      </w:pPr>
      <w:r>
        <w:rPr>
          <w:rFonts w:ascii="Arial" w:cs="Arial" w:eastAsia="Arial" w:hAnsi="Arial"/>
          <w:sz w:val="22"/>
          <w:szCs w:val="22"/>
        </w:rPr>
        <w:t xml:space="preserve">dentists.json shows clear aligner search intent growing at </w:t>
      </w:r>
      <w:r>
        <w:rPr>
          <w:rFonts w:ascii="Arial" w:cs="Arial" w:eastAsia="Arial" w:hAnsi="Arial"/>
          <w:b/>
          <w:bCs/>
          <w:sz w:val="22"/>
          <w:szCs w:val="22"/>
        </w:rPr>
        <w:t xml:space="preserve">62% YoY</w:t>
      </w:r>
      <w:r>
        <w:rPr>
          <w:rFonts w:ascii="Arial" w:cs="Arial" w:eastAsia="Arial" w:hAnsi="Arial"/>
          <w:sz w:val="22"/>
          <w:szCs w:val="22"/>
        </w:rPr>
        <w:t xml:space="preserve"> in the 28 to 45 age band, the fastest-growing query signal across all five categories. Teeth whitening searches are up 41% and pediatric dental visits up 27%. Yet the same file records retention_6mo_pct = 0.42, meaning 58 out of every 100 new dental patients do not return within six months. The JIDA trial cited in the digest quantifies the clinical cost: a 38% higher caries recurrence rate among patients on 6-month versus 3-month recall schedules. Dr. Meera's seed merchant data shows this dynamic concretely: 78 patients lapsed over 180 days out of 540 unique YTD patients, implying a rolling lapsed pool worth approximately Rs 23,322 at the Rs 299 cleaning price or as much as Rs 116,922 at the whitening price of Rs 1,499. The recall_due trigger family, combined with the patient_content_library items in dentists.json, gives the bot everything it needs to address this gap without fabricating any context.</w:t>
      </w:r>
    </w:p>
    <w:p>
      <w:pPr>
        <w:spacing w:after="120" w:before="200" w:line="276"/>
      </w:pPr>
      <w:r>
        <w:rPr>
          <w:rFonts w:ascii="Arial" w:cs="Arial" w:eastAsia="Arial" w:hAnsi="Arial"/>
          <w:b/>
          <w:bCs/>
          <w:color w:val="2563EB"/>
          <w:sz w:val="24"/>
          <w:szCs w:val="24"/>
        </w:rPr>
        <w:t xml:space="preserve">Insight 4: Pharmacies Lead on Customer Loyalty but Show the Weakest Digital Presence Investment</w:t>
      </w:r>
    </w:p>
    <w:p>
      <w:pPr>
        <w:spacing w:after="160" w:before="0" w:line="276"/>
        <w:jc w:val="left"/>
      </w:pPr>
      <w:r>
        <w:rPr>
          <w:rFonts w:ascii="Arial" w:cs="Arial" w:eastAsia="Arial" w:hAnsi="Arial"/>
          <w:sz w:val="22"/>
          <w:szCs w:val="22"/>
        </w:rPr>
        <w:t xml:space="preserve">pharmacies.json peer_stats record </w:t>
      </w:r>
      <w:r>
        <w:rPr>
          <w:rFonts w:ascii="Arial" w:cs="Arial" w:eastAsia="Arial" w:hAnsi="Arial"/>
          <w:b/>
          <w:bCs/>
          <w:sz w:val="22"/>
          <w:szCs w:val="22"/>
        </w:rPr>
        <w:t xml:space="preserve">repeat_customer_pct = 0.62</w:t>
      </w:r>
      <w:r>
        <w:rPr>
          <w:rFonts w:ascii="Arial" w:cs="Arial" w:eastAsia="Arial" w:hAnsi="Arial"/>
          <w:sz w:val="22"/>
          <w:szCs w:val="22"/>
        </w:rPr>
        <w:t xml:space="preserve">, the strongest loyalty metric in the dataset, driven by chronic prescription patients who return monthly by medical necessity. The digest corroborates this: chronic-Rx subscription retention runs at 88% over 12 months versus 27% for walk-in customers. But the same file shows avg_photos = 6 (compared to salons at 14 and restaurants at 22) and avg_post_freq_days = 21, meaning pharmacies post roughly twice a month versus restaurants posting weekly. Medicine home delivery searches are growing at 42% YoY per trend_signals, a signal that pharmacy customers are actively looking online. The mismatch between strong in-store loyalty and weak digital presence creates a specific Vera opportunity: pharmacy merchants need help with their Google Business Profile presence (photos, posts, verified hours) more than they need help with offer creation. The chronic_refill_due and supply_alert trigger kinds are already built into the trigger taxonomy to serve this vertical.</w:t>
      </w:r>
    </w:p>
    <w:p>
      <w:pPr>
        <w:spacing w:after="120" w:before="200" w:line="276"/>
      </w:pPr>
      <w:r>
        <w:rPr>
          <w:rFonts w:ascii="Arial" w:cs="Arial" w:eastAsia="Arial" w:hAnsi="Arial"/>
          <w:b/>
          <w:bCs/>
          <w:color w:val="2563EB"/>
          <w:sz w:val="24"/>
          <w:szCs w:val="24"/>
        </w:rPr>
        <w:t xml:space="preserve">Insight 5: Subscription Plan Tier and CTR Performance Show a Clear Relationship Across the Seed Merchants</w:t>
      </w:r>
    </w:p>
    <w:p>
      <w:pPr>
        <w:spacing w:after="160" w:before="0" w:line="276"/>
        <w:jc w:val="left"/>
      </w:pPr>
      <w:r>
        <w:rPr>
          <w:rFonts w:ascii="Arial" w:cs="Arial" w:eastAsia="Arial" w:hAnsi="Arial"/>
          <w:sz w:val="22"/>
          <w:szCs w:val="22"/>
        </w:rPr>
        <w:t xml:space="preserve">Across the 10 seed merchants, </w:t>
      </w:r>
      <w:r>
        <w:rPr>
          <w:rFonts w:ascii="Arial" w:cs="Arial" w:eastAsia="Arial" w:hAnsi="Arial"/>
          <w:b/>
          <w:bCs/>
          <w:sz w:val="22"/>
          <w:szCs w:val="22"/>
        </w:rPr>
        <w:t xml:space="preserve">m_008_zenyoga_gym_chennai leads on CTR at 0.062</w:t>
      </w:r>
      <w:r>
        <w:rPr>
          <w:rFonts w:ascii="Arial" w:cs="Arial" w:eastAsia="Arial" w:hAnsi="Arial"/>
          <w:sz w:val="22"/>
          <w:szCs w:val="22"/>
        </w:rPr>
        <w:t xml:space="preserve"> on a Pro plan, while m_010_sunrisepharm_pharmacy_lucknow sits at the bottom of the view count distribution with 720 monthly views and is the only non-Pro merchant besides the trial-tier restaurant. The gap between the top and bottom CTR merchants is 51%. The generate_dataset.py script assigns subscription status with probabilities: 70% active, 20% expired, 10% trial. This means in the fully expanded 50-merchant dataset, approximately 10 merchants will have expired subscriptions and 5 will be on trial. Both groups generate high-urgency triggers: renewal_due at urgency 4 and dormant_with_vera. The triggers_seed.json already has a concrete example in trg_005_renewal_due_bharat, which fires for m_002_bharat_dentist_mumbai with 12 days remaining and a renewal_amount of Rs 4,999. Simultaneously that merchant's calls dropped 50% in 7 days per the perf_dip trigger, which means the renewal conversation needs to open with performance context rather than a billing ask.</w:t>
      </w:r>
    </w:p>
    <w:p>
      <w:pPr>
        <w:spacing w:after="0" w:before="0" w:line="276"/>
      </w:pPr>
      <w:r>
        <w:br w:type="page"/>
      </w:r>
    </w:p>
    <w:p>
      <w:pPr>
        <w:pBdr>
          <w:bottom w:val="single" w:color="2563EB" w:sz="8" w:space="4"/>
        </w:pBdr>
        <w:spacing w:after="160" w:before="240" w:line="276"/>
      </w:pPr>
      <w:r>
        <w:rPr>
          <w:rFonts w:ascii="Arial" w:cs="Arial" w:eastAsia="Arial" w:hAnsi="Arial"/>
          <w:b/>
          <w:bCs/>
          <w:color w:val="1E3A5F"/>
          <w:sz w:val="28"/>
          <w:szCs w:val="28"/>
        </w:rPr>
        <w:t xml:space="preserve">Code Logic Explained</w:t>
      </w:r>
    </w:p>
    <w:p>
      <w:pPr>
        <w:spacing w:after="120" w:before="200" w:line="276"/>
      </w:pPr>
      <w:r>
        <w:rPr>
          <w:rFonts w:ascii="Arial" w:cs="Arial" w:eastAsia="Arial" w:hAnsi="Arial"/>
          <w:b/>
          <w:bCs/>
          <w:color w:val="2563EB"/>
          <w:sz w:val="24"/>
          <w:szCs w:val="24"/>
        </w:rPr>
        <w:t xml:space="preserve">generate_dataset.py: How the Seed Data Becomes a Full Test Environment</w:t>
      </w:r>
    </w:p>
    <w:p>
      <w:pPr>
        <w:spacing w:after="120" w:before="0" w:line="276"/>
        <w:jc w:val="left"/>
      </w:pPr>
      <w:r>
        <w:rPr>
          <w:rFonts w:ascii="Arial" w:cs="Arial" w:eastAsia="Arial" w:hAnsi="Arial"/>
          <w:sz w:val="22"/>
          <w:szCs w:val="22"/>
        </w:rPr>
        <w:t xml:space="preserve">generate_dataset.py is a deterministic expansion engine. Its single most important line is </w:t>
      </w:r>
      <w:r>
        <w:rPr>
          <w:rFonts w:ascii="Arial" w:cs="Arial" w:eastAsia="Arial" w:hAnsi="Arial"/>
          <w:b/>
          <w:bCs/>
          <w:sz w:val="22"/>
          <w:szCs w:val="22"/>
        </w:rPr>
        <w:t xml:space="preserve">SEED = 20260426</w:t>
      </w:r>
      <w:r>
        <w:rPr>
          <w:rFonts w:ascii="Arial" w:cs="Arial" w:eastAsia="Arial" w:hAnsi="Arial"/>
          <w:sz w:val="22"/>
          <w:szCs w:val="22"/>
        </w:rPr>
        <w:t xml:space="preserve">, which ensures that every candidate in the challenge, regardless of when they run the script, gets the exact same 50 merchants, 200 customers, and 100 triggers. This is not a convenience feature; it is the mechanism that makes the 30-pair canonical test set meaningful as a comparison instrument.</w:t>
      </w:r>
    </w:p>
    <w:p>
      <w:pPr>
        <w:spacing w:after="120" w:before="0" w:line="276"/>
        <w:jc w:val="left"/>
      </w:pPr>
      <w:r>
        <w:rPr>
          <w:rFonts w:ascii="Arial" w:cs="Arial" w:eastAsia="Arial" w:hAnsi="Arial"/>
          <w:b/>
          <w:bCs/>
          <w:sz w:val="22"/>
          <w:szCs w:val="22"/>
        </w:rPr>
        <w:t xml:space="preserve">Merchant expansion</w:t>
      </w:r>
      <w:r>
        <w:rPr>
          <w:rFonts w:ascii="Arial" w:cs="Arial" w:eastAsia="Arial" w:hAnsi="Arial"/>
          <w:sz w:val="22"/>
          <w:szCs w:val="22"/>
        </w:rPr>
        <w:t xml:space="preserve">: The expand_merchants function reads the 10 seed merchants and adds 8 more per category, cycling through the NAME_BANKS dictionary (8 owner/business name pairs per category) and the LOCALITIES dictionary (10 localities per 10 Indian cities). Each generated merchant gets a random view count between 400 and 6,000, a call count derived from views (roughly views divided by 80), and a CTR between 0.015 and 0.060. Subscription status is assigned using weighted probabilities: 7 parts active, 2 parts expired, 1 part trial. A merchant with expired status gets days_since_expiry between 7 and 90, making it immediately actionable for a renewal_due trigger. Verified status uses a 75% true probability, meaning roughly 37 to 38 of the 50 expanded merchants will be verified on Google Business Profile.</w:t>
      </w:r>
    </w:p>
    <w:p>
      <w:pPr>
        <w:spacing w:after="120" w:before="0" w:line="276"/>
        <w:jc w:val="left"/>
      </w:pPr>
      <w:r>
        <w:rPr>
          <w:rFonts w:ascii="Arial" w:cs="Arial" w:eastAsia="Arial" w:hAnsi="Arial"/>
          <w:b/>
          <w:bCs/>
          <w:sz w:val="22"/>
          <w:szCs w:val="22"/>
        </w:rPr>
        <w:t xml:space="preserve">Customer expansion</w:t>
      </w:r>
      <w:r>
        <w:rPr>
          <w:rFonts w:ascii="Arial" w:cs="Arial" w:eastAsia="Arial" w:hAnsi="Arial"/>
          <w:sz w:val="22"/>
          <w:szCs w:val="22"/>
        </w:rPr>
        <w:t xml:space="preserve">: The expand_customers function adds 4 customers per merchant on average up to 200 total. Each generated customer gets a random state drawn from a weighted distribution: active 4 parts, lapsed_soft 2 parts, new 1 part, lapsed_hard 1 part, churned 1 part. Lifetime value is calculated as visits multiplied by a random per-visit spend between Rs 200 and Rs 1,500. A customer with 10 visits and a Rs 1,000 average spend will show an LTV of Rs 10,000. The highest-LTV seed customer is c_011_sumitra_for_m008 at Rs 28,800 across 145 yoga gym visits, which is the clearest example in the dataset of what long-term retention looks like at the customer level.</w:t>
      </w:r>
    </w:p>
    <w:p>
      <w:pPr>
        <w:spacing w:after="200" w:before="0" w:line="276"/>
        <w:jc w:val="left"/>
      </w:pPr>
      <w:r>
        <w:rPr>
          <w:rFonts w:ascii="Arial" w:cs="Arial" w:eastAsia="Arial" w:hAnsi="Arial"/>
          <w:b/>
          <w:bCs/>
          <w:sz w:val="22"/>
          <w:szCs w:val="22"/>
        </w:rPr>
        <w:t xml:space="preserve">Trigger expansion</w:t>
      </w:r>
      <w:r>
        <w:rPr>
          <w:rFonts w:ascii="Arial" w:cs="Arial" w:eastAsia="Arial" w:hAnsi="Arial"/>
          <w:sz w:val="22"/>
          <w:szCs w:val="22"/>
        </w:rPr>
        <w:t xml:space="preserve">: The expand_triggers function iterates through 15 additional trigger kinds, generating 5 of each, capped at 100 total. Generated triggers use placeholder payloads with {'placeholder': True, 'metric_or_topic': kind}, which means bots operating on expanded data will encounter triggers without rich payload context. This is intentional: the challenge's Phase 3 adaptive injection tests whether bots degrade gracefully on thin triggers or hallucinate context that was never provided. The seed triggers are deliberately richer: trg_003_recall_due_priya, for example, carries a full available_slots array with two specific ISO datetime options, while a generated recall_due trigger will only have the placeholder. The write_test_pairs function then picks up to 2 triggers per kind and assigns test IDs T01 through T30, covering all 24 trigger kinds in the seed set across the 30 pairs.</w:t>
      </w:r>
    </w:p>
    <w:p>
      <w:pPr>
        <w:spacing w:after="120" w:before="200" w:line="276"/>
      </w:pPr>
      <w:r>
        <w:rPr>
          <w:rFonts w:ascii="Arial" w:cs="Arial" w:eastAsia="Arial" w:hAnsi="Arial"/>
          <w:b/>
          <w:bCs/>
          <w:color w:val="2563EB"/>
          <w:sz w:val="24"/>
          <w:szCs w:val="24"/>
        </w:rPr>
        <w:t xml:space="preserve">judge_simulator.py: How Candidate Bots Are Evaluated</w:t>
      </w:r>
    </w:p>
    <w:p>
      <w:pPr>
        <w:spacing w:after="120" w:before="0" w:line="276"/>
        <w:jc w:val="left"/>
      </w:pPr>
      <w:r>
        <w:rPr>
          <w:rFonts w:ascii="Arial" w:cs="Arial" w:eastAsia="Arial" w:hAnsi="Arial"/>
          <w:sz w:val="22"/>
          <w:szCs w:val="22"/>
        </w:rPr>
        <w:t xml:space="preserve">judge_simulator.py implements the full judge harness in ~600 lines of Python. It has four main components that work together: the LLM provider layer, the BotClient, the DatasetLoader, and the LLMScorer.</w:t>
      </w:r>
    </w:p>
    <w:p>
      <w:pPr>
        <w:spacing w:after="120" w:before="0" w:line="276"/>
        <w:jc w:val="left"/>
      </w:pPr>
      <w:r>
        <w:rPr>
          <w:rFonts w:ascii="Arial" w:cs="Arial" w:eastAsia="Arial" w:hAnsi="Arial"/>
          <w:b/>
          <w:bCs/>
          <w:sz w:val="22"/>
          <w:szCs w:val="22"/>
        </w:rPr>
        <w:t xml:space="preserve">LLM provider layer</w:t>
      </w:r>
      <w:r>
        <w:rPr>
          <w:rFonts w:ascii="Arial" w:cs="Arial" w:eastAsia="Arial" w:hAnsi="Arial"/>
          <w:sz w:val="22"/>
          <w:szCs w:val="22"/>
        </w:rPr>
        <w:t xml:space="preserve">: Seven provider classes (OpenAI, Anthropic, Gemini, DeepSeek, Groq, Ollama, OpenRouter) all implement a common LLMProvider abstract base class with a single complete(prompt, system) method. The default model for OpenAI is gpt-4o-mini, for Anthropic it is claude-3-5-sonnet-20241022, and for Gemini it is gemini-1.5-flash. All providers use temperature 0.2 and max_tokens 1,500. The create_provider factory function reads the LLM_PROVIDER and LLM_API_KEY configuration constants at the top of the file.</w:t>
      </w:r>
    </w:p>
    <w:p>
      <w:pPr>
        <w:spacing w:after="120" w:before="0" w:line="276"/>
        <w:jc w:val="left"/>
      </w:pPr>
      <w:r>
        <w:rPr>
          <w:rFonts w:ascii="Arial" w:cs="Arial" w:eastAsia="Arial" w:hAnsi="Arial"/>
          <w:b/>
          <w:bCs/>
          <w:sz w:val="22"/>
          <w:szCs w:val="22"/>
        </w:rPr>
        <w:t xml:space="preserve">BotClient</w:t>
      </w:r>
      <w:r>
        <w:rPr>
          <w:rFonts w:ascii="Arial" w:cs="Arial" w:eastAsia="Arial" w:hAnsi="Arial"/>
          <w:sz w:val="22"/>
          <w:szCs w:val="22"/>
        </w:rPr>
        <w:t xml:space="preserve">: Handles HTTP communication with the candidate's bot via five methods that map directly to the five required endpoints. healthz() and metadata() are GET requests with a 5-second timeout. push_context() POSTs to /v1/context. tick() POSTs to /v1/tick with a 15-second timeout. reply() POSTs to /v1/reply with a 15-second timeout. All responses are parsed from JSON and returned as tuples of (data, error, latency_ms).</w:t>
      </w:r>
    </w:p>
    <w:p>
      <w:pPr>
        <w:spacing w:after="120" w:before="0" w:line="276"/>
        <w:jc w:val="left"/>
      </w:pPr>
      <w:r>
        <w:rPr>
          <w:rFonts w:ascii="Arial" w:cs="Arial" w:eastAsia="Arial" w:hAnsi="Arial"/>
          <w:b/>
          <w:bCs/>
          <w:sz w:val="22"/>
          <w:szCs w:val="22"/>
        </w:rPr>
        <w:t xml:space="preserve">LLMScorer</w:t>
      </w:r>
      <w:r>
        <w:rPr>
          <w:rFonts w:ascii="Arial" w:cs="Arial" w:eastAsia="Arial" w:hAnsi="Arial"/>
          <w:sz w:val="22"/>
          <w:szCs w:val="22"/>
        </w:rPr>
        <w:t xml:space="preserve">: The most important component. It holds a SYSTEM prompt of approximately 300 words that defines the five scoring dimensions (specificity, category_fit, merchant_fit, decision_quality, engagement_compulsion) and two penalty types (fabricated data at -2, internal jargon exposed at -1). The score method assembles a context string from the four input contexts and the bot's composed message body, then calls the configured LLM. The response is expected as a JSON object with dimension scores and reasons. If JSON parsing fails, the fallback scorer counts the number of numerical tokens in the message body and assigns a score of min(10, 3 + count * 2). This fallback ensures a message with five real numbers (like batch numbers, percentages, and dates) scores approximately 13, which maps to a 6 after penalty clipping.</w:t>
      </w:r>
    </w:p>
    <w:p>
      <w:pPr>
        <w:spacing w:after="200" w:before="0" w:line="276"/>
        <w:jc w:val="left"/>
      </w:pPr>
      <w:r>
        <w:rPr>
          <w:rFonts w:ascii="Arial" w:cs="Arial" w:eastAsia="Arial" w:hAnsi="Arial"/>
          <w:b/>
          <w:bCs/>
          <w:sz w:val="22"/>
          <w:szCs w:val="22"/>
        </w:rPr>
        <w:t xml:space="preserve">Test scenarios</w:t>
      </w:r>
      <w:r>
        <w:rPr>
          <w:rFonts w:ascii="Arial" w:cs="Arial" w:eastAsia="Arial" w:hAnsi="Arial"/>
          <w:sz w:val="22"/>
          <w:szCs w:val="22"/>
        </w:rPr>
        <w:t xml:space="preserve">: The simulator runs six named scenarios: warmup (connectivity and context push), phase2_short (one tick cycle with scoring), auto_reply_hell (4 identical auto-reply turns to test graceful exit), intent_transition (merchant says 'ok lets do it' after qualification), hostile (explicit opt-out request), and full_evaluation (all merchants and triggers in batch). The all scenario runs warmup, auto_reply, intent, and hostile in sequence. Scores are accumulated and summarised at the end, colour-coded as EXCELLENT at 80%+, GOOD at 60%+, NEEDS IMPROVEMENT at 40%+, or BELOW EXPECTATIONS below 40%.</w:t>
      </w:r>
    </w:p>
    <w:p>
      <w:pPr>
        <w:spacing w:after="120" w:before="200" w:line="276"/>
      </w:pPr>
      <w:r>
        <w:rPr>
          <w:rFonts w:ascii="Arial" w:cs="Arial" w:eastAsia="Arial" w:hAnsi="Arial"/>
          <w:b/>
          <w:bCs/>
          <w:color w:val="2563EB"/>
          <w:sz w:val="24"/>
          <w:szCs w:val="24"/>
        </w:rPr>
        <w:t xml:space="preserve">How triggers_seed.json Drives the Entire Message Composition System</w:t>
      </w:r>
    </w:p>
    <w:p>
      <w:pPr>
        <w:spacing w:after="120" w:before="0" w:line="276"/>
        <w:jc w:val="left"/>
      </w:pPr>
      <w:r>
        <w:rPr>
          <w:rFonts w:ascii="Arial" w:cs="Arial" w:eastAsia="Arial" w:hAnsi="Arial"/>
          <w:sz w:val="22"/>
          <w:szCs w:val="22"/>
        </w:rPr>
        <w:t xml:space="preserve">triggers_seed.json is the operational heart of the 4-context framework. Its 25 records span 24 distinct trigger kinds, split between 8 external triggers (things that happen outside the merchant's account, like research publications and regulation changes) and 17 internal triggers (things that happen within the merchant's data, like performance dips and customer lapse events).</w:t>
      </w:r>
    </w:p>
    <w:p>
      <w:pPr>
        <w:spacing w:after="120" w:before="0" w:line="276"/>
        <w:jc w:val="left"/>
      </w:pPr>
      <w:r>
        <w:rPr>
          <w:rFonts w:ascii="Arial" w:cs="Arial" w:eastAsia="Arial" w:hAnsi="Arial"/>
          <w:sz w:val="22"/>
          <w:szCs w:val="22"/>
        </w:rPr>
        <w:t xml:space="preserve">Each trigger record carries three fields that control the send/no-send decision. The </w:t>
      </w:r>
      <w:r>
        <w:rPr>
          <w:rFonts w:ascii="Arial" w:cs="Arial" w:eastAsia="Arial" w:hAnsi="Arial"/>
          <w:b/>
          <w:bCs/>
          <w:sz w:val="22"/>
          <w:szCs w:val="22"/>
        </w:rPr>
        <w:t xml:space="preserve">urgency</w:t>
      </w:r>
      <w:r>
        <w:rPr>
          <w:rFonts w:ascii="Arial" w:cs="Arial" w:eastAsia="Arial" w:hAnsi="Arial"/>
          <w:sz w:val="22"/>
          <w:szCs w:val="22"/>
        </w:rPr>
        <w:t xml:space="preserve"> field (1 to 5) determines priority when multiple triggers are queued in the same tick; urgency 4 triggers include renewal_due (12 days remaining, Rs 4,999 renewal) and perf_dip (calls down 50% in 7 days). The </w:t>
      </w:r>
      <w:r>
        <w:rPr>
          <w:rFonts w:ascii="Arial" w:cs="Arial" w:eastAsia="Arial" w:hAnsi="Arial"/>
          <w:b/>
          <w:bCs/>
          <w:sz w:val="22"/>
          <w:szCs w:val="22"/>
        </w:rPr>
        <w:t xml:space="preserve">suppression_key</w:t>
      </w:r>
      <w:r>
        <w:rPr>
          <w:rFonts w:ascii="Arial" w:cs="Arial" w:eastAsia="Arial" w:hAnsi="Arial"/>
          <w:sz w:val="22"/>
          <w:szCs w:val="22"/>
        </w:rPr>
        <w:t xml:space="preserve"> is the dedup mechanism: a Redis-style string like 'research:dentists:2026-W17' that prevents the same trigger from firing twice in the same period. The </w:t>
      </w:r>
      <w:r>
        <w:rPr>
          <w:rFonts w:ascii="Arial" w:cs="Arial" w:eastAsia="Arial" w:hAnsi="Arial"/>
          <w:b/>
          <w:bCs/>
          <w:sz w:val="22"/>
          <w:szCs w:val="22"/>
        </w:rPr>
        <w:t xml:space="preserve">expires_at</w:t>
      </w:r>
      <w:r>
        <w:rPr>
          <w:rFonts w:ascii="Arial" w:cs="Arial" w:eastAsia="Arial" w:hAnsi="Arial"/>
          <w:sz w:val="22"/>
          <w:szCs w:val="22"/>
        </w:rPr>
        <w:t xml:space="preserve"> timestamp tells the bot when the trigger is stale; a compliance trigger tied to a regulatory deadline (like trg_002 for the DCI radiograph dose limit revision on 2026-12-15) stays in the queue for months, while an IPL match-night trigger expires within hours.</w:t>
      </w:r>
    </w:p>
    <w:p>
      <w:pPr>
        <w:spacing w:after="160" w:before="0" w:line="276"/>
        <w:jc w:val="left"/>
      </w:pPr>
      <w:r>
        <w:rPr>
          <w:rFonts w:ascii="Arial" w:cs="Arial" w:eastAsia="Arial" w:hAnsi="Arial"/>
          <w:sz w:val="22"/>
          <w:szCs w:val="22"/>
        </w:rPr>
        <w:t xml:space="preserve">The scope field divides triggers into merchant-facing (20 of 25 in the seed) and customer-facing (5 of 25). Customer-scoped triggers require a populated CustomerContext; the bot must look up the customer from its stored context and compose a message on behalf of the merchant. trg_003_recall_due_priya is the canonical example: it references c_001_priya_for_m001 (lapsed_soft, LTV Rs 1,696 over 4 visits) and carries two pre-formatted slot options in its payload for the bot to embed directly into the composed message without fabricating schedule data.</w:t>
      </w:r>
    </w:p>
    <w:p>
      <w:pPr>
        <w:spacing w:after="0" w:before="0" w:line="276"/>
      </w:pPr>
      <w:r>
        <w:br w:type="page"/>
      </w:r>
    </w:p>
    <w:p>
      <w:pPr>
        <w:pBdr>
          <w:bottom w:val="single" w:color="2563EB" w:sz="8" w:space="4"/>
        </w:pBdr>
        <w:spacing w:after="160" w:before="240" w:line="276"/>
      </w:pPr>
      <w:r>
        <w:rPr>
          <w:rFonts w:ascii="Arial" w:cs="Arial" w:eastAsia="Arial" w:hAnsi="Arial"/>
          <w:b/>
          <w:bCs/>
          <w:color w:val="1E3A5F"/>
          <w:sz w:val="28"/>
          <w:szCs w:val="28"/>
        </w:rPr>
        <w:t xml:space="preserve">Business Recommendations for Magicpin</w:t>
      </w:r>
    </w:p>
    <w:p>
      <w:pPr>
        <w:spacing w:after="160" w:before="0" w:line="276"/>
        <w:jc w:val="left"/>
      </w:pPr>
      <w:r>
        <w:rPr>
          <w:rFonts w:ascii="Arial" w:cs="Arial" w:eastAsia="Arial" w:hAnsi="Arial"/>
          <w:b w:val="false"/>
          <w:bCs w:val="false"/>
          <w:color w:val="000000"/>
          <w:sz w:val="22"/>
          <w:szCs w:val="22"/>
        </w:rPr>
        <w:t xml:space="preserve">Three recommendations follow, each grounded in a specific finding from the dataset and expressed with an estimated revenue or engagement impact.</w:t>
      </w:r>
    </w:p>
    <w:p>
      <w:pPr>
        <w:spacing w:after="120" w:before="200" w:line="276"/>
      </w:pPr>
      <w:r>
        <w:rPr>
          <w:rFonts w:ascii="Arial" w:cs="Arial" w:eastAsia="Arial" w:hAnsi="Arial"/>
          <w:b/>
          <w:bCs/>
          <w:color w:val="2563EB"/>
          <w:sz w:val="24"/>
          <w:szCs w:val="24"/>
        </w:rPr>
        <w:t xml:space="preserve">Recommendation 1: Build a Recall Automation Pipeline for Dentists and Pharmacies</w:t>
      </w:r>
    </w:p>
    <w:p>
      <w:pPr>
        <w:spacing w:after="80" w:before="0" w:line="276"/>
        <w:jc w:val="left"/>
      </w:pPr>
      <w:r>
        <w:rPr>
          <w:rFonts w:ascii="Arial" w:cs="Arial" w:eastAsia="Arial" w:hAnsi="Arial"/>
          <w:b/>
          <w:bCs/>
          <w:sz w:val="22"/>
          <w:szCs w:val="22"/>
        </w:rPr>
        <w:t xml:space="preserve">Idea: </w:t>
      </w:r>
      <w:r>
        <w:rPr>
          <w:rFonts w:ascii="Arial" w:cs="Arial" w:eastAsia="Arial" w:hAnsi="Arial"/>
          <w:sz w:val="22"/>
          <w:szCs w:val="22"/>
        </w:rPr>
        <w:t xml:space="preserve">Automate recall nudges via Vera for dental cleaning and chronic prescription refills, using the recall_due and chronic_refill_due trigger families.</w:t>
      </w:r>
    </w:p>
    <w:p>
      <w:pPr>
        <w:spacing w:after="80" w:before="0" w:line="276"/>
        <w:jc w:val="left"/>
      </w:pPr>
      <w:r>
        <w:rPr>
          <w:rFonts w:ascii="Arial" w:cs="Arial" w:eastAsia="Arial" w:hAnsi="Arial"/>
          <w:b/>
          <w:bCs/>
          <w:sz w:val="22"/>
          <w:szCs w:val="22"/>
        </w:rPr>
        <w:t xml:space="preserve">Why from data: </w:t>
      </w:r>
      <w:r>
        <w:rPr>
          <w:rFonts w:ascii="Arial" w:cs="Arial" w:eastAsia="Arial" w:hAnsi="Arial"/>
          <w:sz w:val="22"/>
          <w:szCs w:val="22"/>
        </w:rPr>
        <w:t xml:space="preserve">dentists.json shows retention_6mo_pct = 0.42. Dr. Meera's seed data shows 78 lapsed patients beyond 180 days against 540 unique YTD patients. The JIDA digest item in dentists.json quantifies the clinical outcome: a 38% reduction in caries recurrence with 3-month recall versus 6-month, based on a 2,100-patient multi-centre Indian trial. On the pharmacy side, pharmacies.json records that chronic-Rx subscription retention runs at 88% over 12 months versus 27% for walk-in-only patients. The seed customer c_013_grandfather_for_m009 (Apollo Health Plus Jaipur) has an LTV of Rs 24,600 over 24 visits, entirely from chronic medication refills.</w:t>
      </w:r>
    </w:p>
    <w:p>
      <w:pPr>
        <w:spacing w:after="200" w:before="0" w:line="276"/>
        <w:jc w:val="left"/>
      </w:pPr>
      <w:r>
        <w:rPr>
          <w:rFonts w:ascii="Arial" w:cs="Arial" w:eastAsia="Arial" w:hAnsi="Arial"/>
          <w:b/>
          <w:bCs/>
          <w:sz w:val="22"/>
          <w:szCs w:val="22"/>
        </w:rPr>
        <w:t xml:space="preserve">Impact: </w:t>
      </w:r>
      <w:r>
        <w:rPr>
          <w:rFonts w:ascii="Arial" w:cs="Arial" w:eastAsia="Arial" w:hAnsi="Arial"/>
          <w:sz w:val="22"/>
          <w:szCs w:val="22"/>
        </w:rPr>
        <w:t xml:space="preserve">Converting 25% of the 78 lapsed dental patients at Dr. Meera's clinic at the average cleaning price of Rs 299 produces Rs 5,853 per recall cycle. At the whitening price of Rs 1,499 (teeth whitening searches up 41% YoY), the same conversion generates Rs 29,281. Across 10 seed dentists scaled to 50 merchants with a conservative average of 60 lapsed patients each, a 25% recall conversion at Rs 500 average visit value produces approximately Rs 3.75 lakh per monthly recall cycle. For pharmacies, the annual chronic-Rx subscription at Rs 399 (phr_003 in pharmacies.json) applied to even 20% of the 62% repeat customer base represents a compounding loyalty premium that de-risks monthly revenue from walk-in volatility entirely.</w:t>
      </w:r>
    </w:p>
    <w:p>
      <w:pPr>
        <w:spacing w:after="120" w:before="200" w:line="276"/>
      </w:pPr>
      <w:r>
        <w:rPr>
          <w:rFonts w:ascii="Arial" w:cs="Arial" w:eastAsia="Arial" w:hAnsi="Arial"/>
          <w:b/>
          <w:bCs/>
          <w:color w:val="2563EB"/>
          <w:sz w:val="24"/>
          <w:szCs w:val="24"/>
        </w:rPr>
        <w:t xml:space="preserve">Recommendation 2: Use Category-Aware IPL and Seasonal Triggers to Lift Restaurant CTR</w:t>
      </w:r>
    </w:p>
    <w:p>
      <w:pPr>
        <w:spacing w:after="80" w:before="0" w:line="276"/>
        <w:jc w:val="left"/>
      </w:pPr>
      <w:r>
        <w:rPr>
          <w:rFonts w:ascii="Arial" w:cs="Arial" w:eastAsia="Arial" w:hAnsi="Arial"/>
          <w:b/>
          <w:bCs/>
          <w:sz w:val="22"/>
          <w:szCs w:val="22"/>
        </w:rPr>
        <w:t xml:space="preserve">Idea: </w:t>
      </w:r>
      <w:r>
        <w:rPr>
          <w:rFonts w:ascii="Arial" w:cs="Arial" w:eastAsia="Arial" w:hAnsi="Arial"/>
          <w:sz w:val="22"/>
          <w:szCs w:val="22"/>
        </w:rPr>
        <w:t xml:space="preserve">Deploy event-anchored engagement nudges for restaurant merchants using the ipl_match_today, seasonal_perf_dip, and festival_upcoming trigger kinds, with category-specific counter-intuitive data as the hook rather than generic discount offers.</w:t>
      </w:r>
    </w:p>
    <w:p>
      <w:pPr>
        <w:spacing w:after="80" w:before="0" w:line="276"/>
        <w:jc w:val="left"/>
      </w:pPr>
      <w:r>
        <w:rPr>
          <w:rFonts w:ascii="Arial" w:cs="Arial" w:eastAsia="Arial" w:hAnsi="Arial"/>
          <w:b/>
          <w:bCs/>
          <w:sz w:val="22"/>
          <w:szCs w:val="22"/>
        </w:rPr>
        <w:t xml:space="preserve">Why from data: </w:t>
      </w:r>
      <w:r>
        <w:rPr>
          <w:rFonts w:ascii="Arial" w:cs="Arial" w:eastAsia="Arial" w:hAnsi="Arial"/>
          <w:sz w:val="22"/>
          <w:szCs w:val="22"/>
        </w:rPr>
        <w:t xml:space="preserve">restaurants.json digest shows that Saturday IPL matches reduce restaurant covers by 12% versus the Saturday average, while weeknight IPL matches drive +18% covers. The trend_signal for 'match night offer' shows 65% YoY growth, the highest query signal in the restaurant category. Despite this, the SK Pizza Junction merchant (m_005_pizzajunction_restaurant_delhi) is on a Trial plan with views of only 2,200 and calls of 12. The Zomato 'verified' badge digest item notes a correlation with +24% impressions for restaurants that apply for it, with a 5-day approval time. Sugar-free dessert searches are up 52% YoY in the 28 to 45 cohort. None of these opportunities require a price discount; all of them require a Vera message that contains a concrete data point and a specific next action.</w:t>
      </w:r>
    </w:p>
    <w:p>
      <w:pPr>
        <w:spacing w:after="200" w:before="0" w:line="276"/>
        <w:jc w:val="left"/>
      </w:pPr>
      <w:r>
        <w:rPr>
          <w:rFonts w:ascii="Arial" w:cs="Arial" w:eastAsia="Arial" w:hAnsi="Arial"/>
          <w:b/>
          <w:bCs/>
          <w:sz w:val="22"/>
          <w:szCs w:val="22"/>
        </w:rPr>
        <w:t xml:space="preserve">Impact: </w:t>
      </w:r>
      <w:r>
        <w:rPr>
          <w:rFonts w:ascii="Arial" w:cs="Arial" w:eastAsia="Arial" w:hAnsi="Arial"/>
          <w:sz w:val="22"/>
          <w:szCs w:val="22"/>
        </w:rPr>
        <w:t xml:space="preserve">Closing the CTR gap from 0.025 to 0.035 for the average restaurant merchant (4,800 views per month) means 48 additional monthly click-throughs. At a 10% conversion to a visit and an average spend of Rs 500 per cover, this is Rs 2,400 per merchant per month. Across 50 restaurant merchants, that is Rs 1.2 lakh per month in incremental merchant GMV, which supports Magicpin's take-rate. The Zomato verification nudge alone, if converted for 30 eligible merchants, would cost zero in API fees and drive a 24% impression increase per verified merchant at no marginal cost.</w:t>
      </w:r>
    </w:p>
    <w:p>
      <w:pPr>
        <w:spacing w:after="120" w:before="200" w:line="276"/>
      </w:pPr>
      <w:r>
        <w:rPr>
          <w:rFonts w:ascii="Arial" w:cs="Arial" w:eastAsia="Arial" w:hAnsi="Arial"/>
          <w:b/>
          <w:bCs/>
          <w:color w:val="2563EB"/>
          <w:sz w:val="24"/>
          <w:szCs w:val="24"/>
        </w:rPr>
        <w:t xml:space="preserve">Recommendation 3: Build an Urgency-Tiered Renewal Early-Warning System</w:t>
      </w:r>
    </w:p>
    <w:p>
      <w:pPr>
        <w:spacing w:after="80" w:before="0" w:line="276"/>
        <w:jc w:val="left"/>
      </w:pPr>
      <w:r>
        <w:rPr>
          <w:rFonts w:ascii="Arial" w:cs="Arial" w:eastAsia="Arial" w:hAnsi="Arial"/>
          <w:b/>
          <w:bCs/>
          <w:sz w:val="22"/>
          <w:szCs w:val="22"/>
        </w:rPr>
        <w:t xml:space="preserve">Idea: </w:t>
      </w:r>
      <w:r>
        <w:rPr>
          <w:rFonts w:ascii="Arial" w:cs="Arial" w:eastAsia="Arial" w:hAnsi="Arial"/>
          <w:sz w:val="22"/>
          <w:szCs w:val="22"/>
        </w:rPr>
        <w:t xml:space="preserve">Implement a subscription renewal early-warning trigger sequence for merchants with 30, 14, and 7 days remaining, paired with a performance context hook to make the renewal conversation feel like a value review rather than a billing reminder.</w:t>
      </w:r>
    </w:p>
    <w:p>
      <w:pPr>
        <w:spacing w:after="80" w:before="0" w:line="276"/>
        <w:jc w:val="left"/>
      </w:pPr>
      <w:r>
        <w:rPr>
          <w:rFonts w:ascii="Arial" w:cs="Arial" w:eastAsia="Arial" w:hAnsi="Arial"/>
          <w:b/>
          <w:bCs/>
          <w:sz w:val="22"/>
          <w:szCs w:val="22"/>
        </w:rPr>
        <w:t xml:space="preserve">Why from data: </w:t>
      </w:r>
      <w:r>
        <w:rPr>
          <w:rFonts w:ascii="Arial" w:cs="Arial" w:eastAsia="Arial" w:hAnsi="Arial"/>
          <w:sz w:val="22"/>
          <w:szCs w:val="22"/>
        </w:rPr>
        <w:t xml:space="preserve">m_002_bharat_dentist_mumbai has 12 days_remaining on a Pro plan (renewal_amount = Rs 4,999) and simultaneously a perf_dip showing calls dropped 50% versus a baseline of 12 calls per month. A renewal reminder sent cold into a merchant whose calls just halved would be tone-deaf. The triggers_seed.json design is smarter than this: it fires both the renewal_due trigger (urgency 4) and the perf_dip trigger (urgency 4) at the same merchant. A bot that deduplicates and sequences these intelligently can open with 'your calls dropped 50% this week, here is what we can fix' and close with 'your Pro plan renews in 12 days, the campaign tools we just discussed require it.' generate_dataset.py will produce approximately 10 expired-subscription merchants in the full 50-merchant expansion (20% weight), making this the single largest addressable segment in the dataset by subscription revenue at risk.</w:t>
      </w:r>
    </w:p>
    <w:p>
      <w:pPr>
        <w:spacing w:after="160" w:before="0" w:line="276"/>
        <w:jc w:val="left"/>
      </w:pPr>
      <w:r>
        <w:rPr>
          <w:rFonts w:ascii="Arial" w:cs="Arial" w:eastAsia="Arial" w:hAnsi="Arial"/>
          <w:b/>
          <w:bCs/>
          <w:sz w:val="22"/>
          <w:szCs w:val="22"/>
        </w:rPr>
        <w:t xml:space="preserve">Impact: </w:t>
      </w:r>
      <w:r>
        <w:rPr>
          <w:rFonts w:ascii="Arial" w:cs="Arial" w:eastAsia="Arial" w:hAnsi="Arial"/>
          <w:sz w:val="22"/>
          <w:szCs w:val="22"/>
        </w:rPr>
        <w:t xml:space="preserve">At Rs 4,999 per Pro plan renewal and 10 expired merchants in the 50-merchant expansion dataset, the immediate addressable renewal revenue is Rs 49,990. At Magicpin's actual scale (approximately 100,000 merchants with a conservatively estimated 15% annual expiry rate), an urgency-tiered renewal sequence with performance framing could protect Rs 74.9 crore in annual subscription revenue. Even recovering 10% of the at-risk base would represent Rs 7.5 crore per year, a direct bottom-line contribution without any new merchant acquisition cost.</w:t>
      </w:r>
    </w:p>
    <w:p>
      <w:pPr>
        <w:spacing w:after="0" w:before="0" w:line="276"/>
      </w:pPr>
      <w:r>
        <w:br w:type="page"/>
      </w:r>
    </w:p>
    <w:p>
      <w:pPr>
        <w:pBdr>
          <w:bottom w:val="single" w:color="2563EB" w:sz="8" w:space="4"/>
        </w:pBdr>
        <w:spacing w:after="160" w:before="240" w:line="276"/>
      </w:pPr>
      <w:r>
        <w:rPr>
          <w:rFonts w:ascii="Arial" w:cs="Arial" w:eastAsia="Arial" w:hAnsi="Arial"/>
          <w:b/>
          <w:bCs/>
          <w:color w:val="1E3A5F"/>
          <w:sz w:val="28"/>
          <w:szCs w:val="28"/>
        </w:rPr>
        <w:t xml:space="preserve">Risks, Implementation Next Steps, and Files Processed</w:t>
      </w:r>
    </w:p>
    <w:p>
      <w:pPr>
        <w:spacing w:after="120" w:before="200" w:line="276"/>
      </w:pPr>
      <w:r>
        <w:rPr>
          <w:rFonts w:ascii="Arial" w:cs="Arial" w:eastAsia="Arial" w:hAnsi="Arial"/>
          <w:b/>
          <w:bCs/>
          <w:color w:val="2563EB"/>
          <w:sz w:val="24"/>
          <w:szCs w:val="24"/>
        </w:rPr>
        <w:t xml:space="preserve">Key Risks</w:t>
      </w:r>
    </w:p>
    <w:p>
      <w:pPr>
        <w:spacing w:after="120" w:before="0" w:line="276"/>
        <w:jc w:val="left"/>
      </w:pPr>
      <w:r>
        <w:rPr>
          <w:rFonts w:ascii="Arial" w:cs="Arial" w:eastAsia="Arial" w:hAnsi="Arial"/>
          <w:b/>
          <w:bCs/>
          <w:sz w:val="22"/>
          <w:szCs w:val="22"/>
        </w:rPr>
        <w:t xml:space="preserve">Risk 1: Aryan as a synchronous bottleneck in production scaling. </w:t>
      </w:r>
      <w:r>
        <w:rPr>
          <w:rFonts w:ascii="Arial" w:cs="Arial" w:eastAsia="Arial" w:hAnsi="Arial"/>
          <w:sz w:val="22"/>
          <w:szCs w:val="22"/>
        </w:rPr>
        <w:t xml:space="preserve">engagement-research.md names the aryan service (get_merchant_v2 HTTP call) as the only path to category and locality data for the customer-facing agent. Every customer-info-pack call hits aryan synchronously. At 200 customers per 50 merchants in the test set, this is manageable; at Vera's actual scale of 6,000 to 10,000 merchants per day, every engagement cron run bypasses the 30-minute Redis cache 100% of the time and pays the full snapshot-build cost. The mitigation is a longer-TTL background-warmed cache specifically for the engagement loop, separate from the conversation-level Redis key.</w:t>
      </w:r>
    </w:p>
    <w:p>
      <w:pPr>
        <w:spacing w:after="120" w:before="0" w:line="276"/>
        <w:jc w:val="left"/>
      </w:pPr>
      <w:r>
        <w:rPr>
          <w:rFonts w:ascii="Arial" w:cs="Arial" w:eastAsia="Arial" w:hAnsi="Arial"/>
          <w:b/>
          <w:bCs/>
          <w:sz w:val="22"/>
          <w:szCs w:val="22"/>
        </w:rPr>
        <w:t xml:space="preserve">Risk 2: Generated triggers carry only placeholder payloads. </w:t>
      </w:r>
      <w:r>
        <w:rPr>
          <w:rFonts w:ascii="Arial" w:cs="Arial" w:eastAsia="Arial" w:hAnsi="Arial"/>
          <w:sz w:val="22"/>
          <w:szCs w:val="22"/>
        </w:rPr>
        <w:t xml:space="preserve">The expand_triggers function in generate_dataset.py sets payload = {'placeholder': True, 'metric_or_topic': kind} for all 75 generated triggers. A bot that dereferences trigger.payload.top_item_id (as the seed triggers do) will get a KeyError on generated triggers. Bots that do not handle this gracefully will fail the Phase 3 adaptive injection test. The mitigation is defensive payload access with fallback to category-level digest items when the trigger payload is thin.</w:t>
      </w:r>
    </w:p>
    <w:p>
      <w:pPr>
        <w:spacing w:after="120" w:before="0" w:line="276"/>
        <w:jc w:val="left"/>
      </w:pPr>
      <w:r>
        <w:rPr>
          <w:rFonts w:ascii="Arial" w:cs="Arial" w:eastAsia="Arial" w:hAnsi="Arial"/>
          <w:b/>
          <w:bCs/>
          <w:sz w:val="22"/>
          <w:szCs w:val="22"/>
        </w:rPr>
        <w:t xml:space="preserve">Risk 3: Consent scope mismatches between customer records. </w:t>
      </w:r>
      <w:r>
        <w:rPr>
          <w:rFonts w:ascii="Arial" w:cs="Arial" w:eastAsia="Arial" w:hAnsi="Arial"/>
          <w:sz w:val="22"/>
          <w:szCs w:val="22"/>
        </w:rPr>
        <w:t xml:space="preserve">customers_seed.json shows varied consent scopes: c_001_priya has scope=['promotional_offers'] while c_002_rohit has scope=['appointment_reminders', 'treatment_followup']. A bot that sends a recall reminder to Priya (who only consented to promotional offers) would violate the consent contract defined in engagement-design.md. The judge does not currently score for consent compliance (it is not one of the 5 dimensions), but this is an ethical risk in any production deployment.</w:t>
      </w:r>
    </w:p>
    <w:p>
      <w:pPr>
        <w:spacing w:after="200" w:before="0" w:line="276"/>
        <w:jc w:val="left"/>
      </w:pPr>
      <w:r>
        <w:rPr>
          <w:rFonts w:ascii="Arial" w:cs="Arial" w:eastAsia="Arial" w:hAnsi="Arial"/>
          <w:b/>
          <w:bCs/>
          <w:sz w:val="22"/>
          <w:szCs w:val="22"/>
        </w:rPr>
        <w:t xml:space="preserve">Risk 4: The ZenYoga merchant (m_008) shows the highest CTR in the dataset but its top customer (Sumitra, LTV Rs 28,800 over 145 visits) is in an active state with no pending trigger. </w:t>
      </w:r>
      <w:r>
        <w:rPr>
          <w:rFonts w:ascii="Arial" w:cs="Arial" w:eastAsia="Arial" w:hAnsi="Arial"/>
          <w:sz w:val="22"/>
          <w:szCs w:val="22"/>
        </w:rPr>
        <w:t xml:space="preserve">This illustrates a dataset gap: the seed data does not include a 'loyalty_recognition' trigger kind. Merchants whose best customers are active and engaged receive no proactive Vera message celebrating that relationship. Adding a milestone_reached trigger for customer LTV thresholds (e.g., Rs 25,000+ LTV) would close this gap and generate goodwill nudges that reinforce retention without requiring any new data infrastructure.</w:t>
      </w:r>
    </w:p>
    <w:p>
      <w:pPr>
        <w:spacing w:after="120" w:before="200" w:line="276"/>
      </w:pPr>
      <w:r>
        <w:rPr>
          <w:rFonts w:ascii="Arial" w:cs="Arial" w:eastAsia="Arial" w:hAnsi="Arial"/>
          <w:b/>
          <w:bCs/>
          <w:color w:val="2563EB"/>
          <w:sz w:val="24"/>
          <w:szCs w:val="24"/>
        </w:rPr>
        <w:t xml:space="preserve">Implementation Next Steps</w:t>
      </w:r>
    </w:p>
    <w:p>
      <w:pPr>
        <w:spacing w:after="80" w:before="0" w:line="276"/>
        <w:jc w:val="left"/>
      </w:pPr>
      <w:r>
        <w:rPr>
          <w:rFonts w:ascii="Arial" w:cs="Arial" w:eastAsia="Arial" w:hAnsi="Arial"/>
          <w:b w:val="false"/>
          <w:bCs w:val="false"/>
          <w:color w:val="000000"/>
          <w:sz w:val="22"/>
          <w:szCs w:val="22"/>
        </w:rPr>
        <w:t xml:space="preserve">We recommend the following five-step approach to move from the seed data to a fully deployable bot:</w:t>
      </w:r>
    </w:p>
    <w:p>
      <w:pPr>
        <w:pStyle w:val="ListParagraph"/>
        <w:numPr>
          <w:ilvl w:val="0"/>
          <w:numId w:val="2"/>
        </w:numPr>
        <w:spacing w:after="80" w:before="40" w:line="276"/>
      </w:pPr>
      <w:r>
        <w:rPr>
          <w:rFonts w:ascii="Arial" w:cs="Arial" w:eastAsia="Arial" w:hAnsi="Arial"/>
          <w:b/>
          <w:bCs/>
          <w:sz w:val="22"/>
          <w:szCs w:val="22"/>
        </w:rPr>
        <w:t xml:space="preserve">Step 1: </w:t>
      </w:r>
      <w:r>
        <w:rPr>
          <w:rFonts w:ascii="Arial" w:cs="Arial" w:eastAsia="Arial" w:hAnsi="Arial"/>
          <w:sz w:val="22"/>
          <w:szCs w:val="22"/>
        </w:rPr>
        <w:t xml:space="preserve">Run generate_dataset.py from the seed directory to produce the full expanded dataset (50 merchants, 200 customers, 100 triggers, 30 test pairs). Verify that test_pairs.json contains exactly 30 entries and that no generated trigger overlaps with a seed trigger ID.</w:t>
      </w:r>
    </w:p>
    <w:p>
      <w:pPr>
        <w:pStyle w:val="ListParagraph"/>
        <w:numPr>
          <w:ilvl w:val="0"/>
          <w:numId w:val="2"/>
        </w:numPr>
        <w:spacing w:after="80" w:before="40" w:line="276"/>
      </w:pPr>
      <w:r>
        <w:rPr>
          <w:rFonts w:ascii="Arial" w:cs="Arial" w:eastAsia="Arial" w:hAnsi="Arial"/>
          <w:b/>
          <w:bCs/>
          <w:sz w:val="22"/>
          <w:szCs w:val="22"/>
        </w:rPr>
        <w:t xml:space="preserve">Step 2: </w:t>
      </w:r>
      <w:r>
        <w:rPr>
          <w:rFonts w:ascii="Arial" w:cs="Arial" w:eastAsia="Arial" w:hAnsi="Arial"/>
          <w:sz w:val="22"/>
          <w:szCs w:val="22"/>
        </w:rPr>
        <w:t xml:space="preserve">Implement the FastAPI bot skeleton from challenge-testing-brief.md with all 5 endpoints. The contexts dictionary should be keyed by (scope, context_id) tuples and the version field used for idempotency: a re-post of the same version returns 409, a higher version replaces atomically.</w:t>
      </w:r>
    </w:p>
    <w:p>
      <w:pPr>
        <w:pStyle w:val="ListParagraph"/>
        <w:numPr>
          <w:ilvl w:val="0"/>
          <w:numId w:val="2"/>
        </w:numPr>
        <w:spacing w:after="80" w:before="40" w:line="276"/>
      </w:pPr>
      <w:r>
        <w:rPr>
          <w:rFonts w:ascii="Arial" w:cs="Arial" w:eastAsia="Arial" w:hAnsi="Arial"/>
          <w:b/>
          <w:bCs/>
          <w:sz w:val="22"/>
          <w:szCs w:val="22"/>
        </w:rPr>
        <w:t xml:space="preserve">Step 3: </w:t>
      </w:r>
      <w:r>
        <w:rPr>
          <w:rFonts w:ascii="Arial" w:cs="Arial" w:eastAsia="Arial" w:hAnsi="Arial"/>
          <w:sz w:val="22"/>
          <w:szCs w:val="22"/>
        </w:rPr>
        <w:t xml:space="preserve">Build the CategoryContext-aware composer starting with the dentists vertical, which has the richest digest (5 items), the clearest voice profile (peer_clinical), and the most concrete trigger payloads in the seed set. The JIDA fluoride recall case study (case-studies.md, Case 1) should serve as the scoring target for this composer's first output.</w:t>
      </w:r>
    </w:p>
    <w:p>
      <w:pPr>
        <w:pStyle w:val="ListParagraph"/>
        <w:numPr>
          <w:ilvl w:val="0"/>
          <w:numId w:val="2"/>
        </w:numPr>
        <w:spacing w:after="80" w:before="40" w:line="276"/>
      </w:pPr>
      <w:r>
        <w:rPr>
          <w:rFonts w:ascii="Arial" w:cs="Arial" w:eastAsia="Arial" w:hAnsi="Arial"/>
          <w:b/>
          <w:bCs/>
          <w:sz w:val="22"/>
          <w:szCs w:val="22"/>
        </w:rPr>
        <w:t xml:space="preserve">Step 4: </w:t>
      </w:r>
      <w:r>
        <w:rPr>
          <w:rFonts w:ascii="Arial" w:cs="Arial" w:eastAsia="Arial" w:hAnsi="Arial"/>
          <w:sz w:val="22"/>
          <w:szCs w:val="22"/>
        </w:rPr>
        <w:t xml:space="preserve">Run judge_simulator.py against the local bot at BOT_URL = http://localhost:8080. Focus first on the phase2_short scenario to validate the tick-to-action pipeline. Then run hostile and auto_reply_hell. A passing auto_reply_hell scenario requires the bot to return action='end' after 3 identical auto-reply turns, as demonstrated in api-call-examples.md Example 4.1.</w:t>
      </w:r>
    </w:p>
    <w:p>
      <w:pPr>
        <w:pStyle w:val="ListParagraph"/>
        <w:numPr>
          <w:ilvl w:val="0"/>
          <w:numId w:val="2"/>
        </w:numPr>
        <w:spacing w:after="80" w:before="40" w:line="276"/>
      </w:pPr>
      <w:r>
        <w:rPr>
          <w:rFonts w:ascii="Arial" w:cs="Arial" w:eastAsia="Arial" w:hAnsi="Arial"/>
          <w:b/>
          <w:bCs/>
          <w:sz w:val="22"/>
          <w:szCs w:val="22"/>
        </w:rPr>
        <w:t xml:space="preserve">Step 5: </w:t>
      </w:r>
      <w:r>
        <w:rPr>
          <w:rFonts w:ascii="Arial" w:cs="Arial" w:eastAsia="Arial" w:hAnsi="Arial"/>
          <w:sz w:val="22"/>
          <w:szCs w:val="22"/>
        </w:rPr>
        <w:t xml:space="preserve">Deploy to a public HTTPS endpoint and submit the URL via the portal. Ensure the /v1/healthz endpoint returns contexts_loaded counts matching the push acknowledgments, as this is the warmup gate. Three consecutive healthz failures disqualify the bot with a -10 operational penalty before a single message is scored.</w:t>
      </w:r>
    </w:p>
    <w:p>
      <w:pPr>
        <w:spacing w:after="80" w:before="0" w:line="276"/>
        <w:jc w:val="left"/>
      </w:pPr>
      <w:r>
        <w:rPr>
          <w:rFonts w:ascii="Arial" w:cs="Arial" w:eastAsia="Arial" w:hAnsi="Arial"/>
          <w:b w:val="false"/>
          <w:bCs w:val="false"/>
          <w:color w:val="000000"/>
          <w:sz w:val="22"/>
          <w:szCs w:val="22"/>
        </w:rPr>
        <w:t xml:space="preserve"/>
      </w:r>
    </w:p>
    <w:p>
      <w:pPr>
        <w:spacing w:after="120" w:before="200" w:line="276"/>
      </w:pPr>
      <w:r>
        <w:rPr>
          <w:rFonts w:ascii="Arial" w:cs="Arial" w:eastAsia="Arial" w:hAnsi="Arial"/>
          <w:b/>
          <w:bCs/>
          <w:color w:val="2563EB"/>
          <w:sz w:val="24"/>
          <w:szCs w:val="24"/>
        </w:rPr>
        <w:t xml:space="preserve">Files Processed</w:t>
      </w:r>
    </w:p>
    <w:p>
      <w:pPr>
        <w:spacing w:after="80" w:before="0" w:line="276"/>
        <w:jc w:val="left"/>
      </w:pPr>
      <w:r>
        <w:rPr>
          <w:rFonts w:ascii="Arial" w:cs="Arial" w:eastAsia="Arial" w:hAnsi="Arial"/>
          <w:b w:val="false"/>
          <w:bCs w:val="false"/>
          <w:color w:val="000000"/>
          <w:sz w:val="22"/>
          <w:szCs w:val="22"/>
        </w:rPr>
        <w:t xml:space="preserve">All 16 files in the submission bundle were read in full before preparing this report:</w:t>
      </w:r>
    </w:p>
    <w:p>
      <w:pPr>
        <w:spacing w:after="80" w:before="0" w:line="276"/>
        <w:jc w:val="left"/>
      </w:pPr>
      <w:r>
        <w:rPr>
          <w:rFonts w:ascii="Arial" w:cs="Arial" w:eastAsia="Arial" w:hAnsi="Arial"/>
          <w:b/>
          <w:bCs/>
          <w:sz w:val="22"/>
          <w:szCs w:val="22"/>
        </w:rPr>
        <w:t xml:space="preserve">Seed data (8 files): </w:t>
      </w:r>
      <w:r>
        <w:rPr>
          <w:rFonts w:ascii="Arial" w:cs="Arial" w:eastAsia="Arial" w:hAnsi="Arial"/>
          <w:sz w:val="22"/>
          <w:szCs w:val="22"/>
        </w:rPr>
        <w:t xml:space="preserve">customers_seed.json, merchants_seed.json, triggers_seed.json, dentists.json, gyms.json, salons.json, pharmacies.json, restaurants.json</w:t>
      </w:r>
    </w:p>
    <w:p>
      <w:pPr>
        <w:spacing w:after="80" w:before="0" w:line="276"/>
        <w:jc w:val="left"/>
      </w:pPr>
      <w:r>
        <w:rPr>
          <w:rFonts w:ascii="Arial" w:cs="Arial" w:eastAsia="Arial" w:hAnsi="Arial"/>
          <w:b/>
          <w:bCs/>
          <w:sz w:val="22"/>
          <w:szCs w:val="22"/>
        </w:rPr>
        <w:t xml:space="preserve">Code files (2 files): </w:t>
      </w:r>
      <w:r>
        <w:rPr>
          <w:rFonts w:ascii="Arial" w:cs="Arial" w:eastAsia="Arial" w:hAnsi="Arial"/>
          <w:sz w:val="22"/>
          <w:szCs w:val="22"/>
        </w:rPr>
        <w:t xml:space="preserve">generate_dataset.py, judge_simulator.py</w:t>
      </w:r>
    </w:p>
    <w:p>
      <w:pPr>
        <w:spacing w:after="80" w:before="0" w:line="276"/>
        <w:jc w:val="left"/>
      </w:pPr>
      <w:r>
        <w:rPr>
          <w:rFonts w:ascii="Arial" w:cs="Arial" w:eastAsia="Arial" w:hAnsi="Arial"/>
          <w:b/>
          <w:bCs/>
          <w:sz w:val="22"/>
          <w:szCs w:val="22"/>
        </w:rPr>
        <w:t xml:space="preserve">Specification and design documents (6 files): </w:t>
      </w:r>
      <w:r>
        <w:rPr>
          <w:rFonts w:ascii="Arial" w:cs="Arial" w:eastAsia="Arial" w:hAnsi="Arial"/>
          <w:sz w:val="22"/>
          <w:szCs w:val="22"/>
        </w:rPr>
        <w:t xml:space="preserve">challenge-brief.md, challenge-testing-brief.md, engagement-design.md, engagement-research.md, api-call-examples.md, case-studies.md</w:t>
      </w:r>
    </w:p>
    <w:p>
      <w:pPr>
        <w:spacing w:after="80" w:before="0" w:line="276"/>
        <w:jc w:val="left"/>
      </w:pPr>
      <w:r>
        <w:rPr>
          <w:rFonts w:ascii="Arial" w:cs="Arial" w:eastAsia="Arial" w:hAnsi="Arial"/>
          <w:b/>
          <w:bCs/>
          <w:sz w:val="22"/>
          <w:szCs w:val="22"/>
        </w:rPr>
        <w:t xml:space="preserve">Peripheral documents (2 files, not Magicpin-specific): </w:t>
      </w:r>
      <w:r>
        <w:rPr>
          <w:rFonts w:ascii="Arial" w:cs="Arial" w:eastAsia="Arial" w:hAnsi="Arial"/>
          <w:sz w:val="22"/>
          <w:szCs w:val="22"/>
        </w:rPr>
        <w:t xml:space="preserve">zorvyn_observation.md (PM intern application note regarding a domain migration incident at zorvyn.io), domain_provider_brief.md (DNS provider comparison note for the same application context, recommending Cloudflare DNS over Namecheap for SaaS uptime reliability)</w:t>
      </w:r>
    </w:p>
    <w:p>
      <w:pPr>
        <w:spacing w:after="0" w:before="0" w:line="276"/>
        <w:jc w:val="left"/>
      </w:pPr>
      <w:r>
        <w:rPr>
          <w:rFonts w:ascii="Arial" w:cs="Arial" w:eastAsia="Arial" w:hAnsi="Arial"/>
          <w:sz w:val="22"/>
          <w:szCs w:val="22"/>
        </w:rPr>
        <w:t xml:space="preserve">The two zorvyn files do not contain Magicpin challenge content. They appear to have been included in the same file bundle incidentally. Their presence does not affect the analysis or recommendations in this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80"/>
      <w:jc w:val="center"/>
    </w:pPr>
    <w:r>
      <w:rPr>
        <w:rFonts w:ascii="Arial" w:cs="Arial" w:eastAsia="Arial" w:hAnsi="Arial"/>
        <w:color w:val="9CA3AF"/>
        <w:sz w:val="16"/>
        <w:szCs w:val="16"/>
      </w:rPr>
      <w:t xml:space="preserve">Confidential — Challenge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0"/>
      <w:jc w:val="right"/>
    </w:pPr>
    <w:r>
      <w:rPr>
        <w:rFonts w:ascii="Arial" w:cs="Arial" w:eastAsia="Arial" w:hAnsi="Arial"/>
        <w:color w:val="6B7280"/>
        <w:sz w:val="16"/>
        <w:szCs w:val="16"/>
      </w:rPr>
      <w:t xml:space="preserve">Magicpin AI Challenge — Submission Report</w:t>
    </w:r>
    <w:r>
      <w:rPr>
        <w:rFonts w:ascii="Arial" w:cs="Arial" w:eastAsia="Arial" w:hAnsi="Arial"/>
        <w:color w:val="6B7280"/>
        <w:sz w:val="16"/>
        <w:szCs w:val="16"/>
      </w:rPr>
      <w:t xml:space="preserve">  |  Senior Business Analyst Review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2026-04-30T07:38:48.596Z</dcterms:created>
  <dcterms:modified xsi:type="dcterms:W3CDTF">2026-04-30T07:38:48.597Z</dcterms:modified>
</cp:coreProperties>
</file>

<file path=docProps/custom.xml><?xml version="1.0" encoding="utf-8"?>
<Properties xmlns="http://schemas.openxmlformats.org/officeDocument/2006/custom-properties" xmlns:vt="http://schemas.openxmlformats.org/officeDocument/2006/docPropsVTypes"/>
</file>