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BlockCert: A Privacy-Preserving Blockchain-Based Academic Registry with Authenticated Encryption and Metadata Transparency</w:t>
      </w:r>
    </w:p>
    <w:p>
      <w:pPr>
        <w:spacing w:after="200"/>
      </w:pPr>
      <w:r>
        <w:rPr>
          <w:rFonts w:ascii="맑은 고딕" w:cs="맑은 고딕" w:eastAsia="맑은 고딕" w:hAnsi="맑은 고딕"/>
          <w:b/>
          <w:bCs/>
        </w:rPr>
        <w:t xml:space="preserve">Authors:</w:t>
      </w:r>
      <w:r>
        <w:rPr>
          <w:rFonts w:ascii="맑은 고딕" w:cs="맑은 고딕" w:eastAsia="맑은 고딕" w:hAnsi="맑은 고딕"/>
        </w:rPr>
        <w:t xml:space="preserve"> </w:t>
      </w:r>
      <w:r>
        <w:rPr>
          <w:rFonts w:ascii="맑은 고딕" w:cs="맑은 고딕" w:eastAsia="맑은 고딕" w:hAnsi="맑은 고딕"/>
        </w:rPr>
        <w:t xml:space="preserve">[Your Name]¹</w:t>
      </w:r>
      <w:r>
        <w:rPr>
          <w:rFonts w:ascii="맑은 고딕" w:cs="맑은 고딕" w:eastAsia="맑은 고딕" w:hAnsi="맑은 고딕"/>
        </w:rPr>
        <w:t xml:space="preserve">*, </w:t>
      </w:r>
      <w:r>
        <w:rPr>
          <w:rFonts w:ascii="맑은 고딕" w:cs="맑은 고딕" w:eastAsia="맑은 고딕" w:hAnsi="맑은 고딕"/>
        </w:rPr>
        <w:t xml:space="preserve">[Co-Author]², </w:t>
      </w:r>
      <w:r>
        <w:rPr>
          <w:rFonts w:ascii="맑은 고딕" w:cs="맑은 고딕" w:eastAsia="맑은 고딕" w:hAnsi="맑은 고딕"/>
        </w:rPr>
        <w:t xml:space="preserve">[Co-Author]¹  </w:t>
      </w:r>
    </w:p>
    <w:p>
      <w:pPr>
        <w:spacing w:after="200"/>
      </w:pPr>
      <w:r>
        <w:rPr>
          <w:rFonts w:ascii="맑은 고딕" w:cs="맑은 고딕" w:eastAsia="맑은 고딕" w:hAnsi="맑은 고딕"/>
        </w:rPr>
        <w:t xml:space="preserve">¹</w:t>
      </w:r>
      <w:r>
        <w:rPr>
          <w:rFonts w:ascii="맑은 고딕" w:cs="맑은 고딕" w:eastAsia="맑은 고딕" w:hAnsi="맑은 고딕"/>
        </w:rPr>
        <w:t xml:space="preserve">[Affiliated Institution], </w:t>
      </w:r>
      <w:r>
        <w:rPr>
          <w:rFonts w:ascii="맑은 고딕" w:cs="맑은 고딕" w:eastAsia="맑은 고딕" w:hAnsi="맑은 고딕"/>
        </w:rPr>
        <w:t xml:space="preserve">[Location]  </w:t>
      </w:r>
    </w:p>
    <w:p>
      <w:pPr>
        <w:spacing w:after="200"/>
      </w:pPr>
      <w:r>
        <w:rPr>
          <w:rFonts w:ascii="맑은 고딕" w:cs="맑은 고딕" w:eastAsia="맑은 고딕" w:hAnsi="맑은 고딕"/>
        </w:rPr>
        <w:t xml:space="preserve">²</w:t>
      </w:r>
      <w:r>
        <w:rPr>
          <w:rFonts w:ascii="맑은 고딕" w:cs="맑은 고딕" w:eastAsia="맑은 고딕" w:hAnsi="맑은 고딕"/>
        </w:rPr>
        <w:t xml:space="preserve">[Affiliated Institution], </w:t>
      </w:r>
      <w:r>
        <w:rPr>
          <w:rFonts w:ascii="맑은 고딕" w:cs="맑은 고딕" w:eastAsia="맑은 고딕" w:hAnsi="맑은 고딕"/>
        </w:rPr>
        <w:t xml:space="preserve">[Location]  </w:t>
      </w:r>
    </w:p>
    <w:p>
      <w:pPr>
        <w:spacing w:after="200"/>
      </w:pPr>
      <w:r>
        <w:rPr>
          <w:rFonts w:ascii="맑은 고딕" w:cs="맑은 고딕" w:eastAsia="맑은 고딕" w:hAnsi="맑은 고딕"/>
        </w:rPr>
        <w:t xml:space="preserve">*Corresponding Author: </w:t>
      </w:r>
      <w:r>
        <w:rPr>
          <w:rFonts w:ascii="맑은 고딕" w:cs="맑은 고딕" w:eastAsia="맑은 고딕" w:hAnsi="맑은 고딕"/>
        </w:rPr>
        <w:t xml:space="preserve">[Email]  </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b/>
          <w:bCs/>
        </w:rPr>
        <w:t xml:space="preserve">ABSTRACT</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Educational credential forgery represents a persistent challenge to institutional integrity, disrupting meritocratic systems and employment verification pipelines globally. While recent blockchain-based verification proposals, such as ElimuChain (2025), have emerged to anchor academic hashes to distributed ledgers like the Binance Smart Chain (BSC), they present a critical confidentiality flaw: placing raw, unencrypted academic records on public InterPlanetary File System (IPFS) networks. This paper presents </w:t>
      </w:r>
      <w:r>
        <w:rPr>
          <w:rFonts w:ascii="맑은 고딕" w:cs="맑은 고딕" w:eastAsia="맑은 고딕" w:hAnsi="맑은 고딕"/>
          <w:b/>
          <w:bCs/>
        </w:rPr>
        <w:t xml:space="preserve">BlockCert</w:t>
      </w:r>
      <w:r>
        <w:rPr>
          <w:rFonts w:ascii="맑은 고딕" w:cs="맑은 고딕" w:eastAsia="맑은 고딕" w:hAnsi="맑은 고딕"/>
        </w:rPr>
        <w:t xml:space="preserve">, a privacy-first, three-tier distributed system that resolves this vulnerability through </w:t>
      </w:r>
      <w:r>
        <w:rPr>
          <w:rFonts w:ascii="맑은 고딕" w:cs="맑은 고딕" w:eastAsia="맑은 고딕" w:hAnsi="맑은 고딕"/>
          <w:b/>
          <w:bCs/>
        </w:rPr>
        <w:t xml:space="preserve">Authenticated Encryption with Associated Data (AEAD)</w:t>
      </w:r>
      <w:r>
        <w:rPr>
          <w:rFonts w:ascii="맑은 고딕" w:cs="맑은 고딕" w:eastAsia="맑은 고딕" w:hAnsi="맑은 고딕"/>
        </w:rPr>
        <w:t xml:space="preserve"> and a novel </w:t>
      </w:r>
      <w:r>
        <w:rPr>
          <w:rFonts w:ascii="맑은 고딕" w:cs="맑은 고딕" w:eastAsia="맑은 고딕" w:hAnsi="맑은 고딕"/>
          <w:b/>
          <w:bCs/>
        </w:rPr>
        <w:t xml:space="preserve">Institutional Registry Vault</w:t>
      </w:r>
      <w:r>
        <w:rPr>
          <w:rFonts w:ascii="맑은 고딕" w:cs="맑은 고딕" w:eastAsia="맑은 고딕" w:hAnsi="맑은 고딕"/>
        </w:rPr>
        <w:t xml:space="preserve">. By integrating </w:t>
      </w:r>
      <w:r>
        <w:rPr>
          <w:rFonts w:ascii="맑은 고딕" w:cs="맑은 고딕" w:eastAsia="맑은 고딕" w:hAnsi="맑은 고딕"/>
          <w:b/>
          <w:bCs/>
        </w:rPr>
        <w:t xml:space="preserve">ChaCha20-Poly1305</w:t>
      </w:r>
      <w:r>
        <w:rPr>
          <w:rFonts w:ascii="맑은 고딕" w:cs="맑은 고딕" w:eastAsia="맑은 고딕" w:hAnsi="맑은 고딕"/>
        </w:rPr>
        <w:t xml:space="preserve"> encryption, deterministic EIP-191 key derivation, and a Solidity-based registry, BlockCert ensures zero-knowledge payload protection while enabling institutional key recovery. Furthermore, we introduce a </w:t>
      </w:r>
      <w:r>
        <w:rPr>
          <w:rFonts w:ascii="맑은 고딕" w:cs="맑은 고딕" w:eastAsia="맑은 고딕" w:hAnsi="맑은 고딕"/>
          <w:b/>
          <w:bCs/>
        </w:rPr>
        <w:t xml:space="preserve">Metadata Transparency Protocol</w:t>
      </w:r>
      <w:r>
        <w:rPr>
          <w:rFonts w:ascii="맑은 고딕" w:cs="맑은 고딕" w:eastAsia="맑은 고딕" w:hAnsi="맑은 고딕"/>
        </w:rPr>
        <w:t xml:space="preserve"> utilizing BCV2 versioning, allowing verifiers to authenticate provenance (Issuer ID, Timestamp, Revocation Status) in </w:t>
      </w:r>
      <w:r>
        <w:rPr>
          <w:rFonts w:ascii="맑은 고딕" w:cs="맑은 고딕" w:eastAsia="맑은 고딕" w:hAnsi="맑은 고딕"/>
          <w:b/>
          <w:bCs/>
        </w:rPr>
        <w:t xml:space="preserve">&lt;125 ms</w:t>
      </w:r>
      <w:r>
        <w:rPr>
          <w:rFonts w:ascii="맑은 고딕" w:cs="맑은 고딕" w:eastAsia="맑은 고딕" w:hAnsi="맑은 고딕"/>
        </w:rPr>
        <w:t xml:space="preserve">, vastly outperforming the 3.83-second retrieval latency observed in comparable unencrypted networks. Experimental evaluation over 10,000 document access attempts demonstrates 100% cryptographic recovery reliability, a 58% storage reduction via ZLib compression, and complete preservation of student data privacy without sacrificing automated verification capabilities.</w:t>
      </w:r>
    </w:p>
    <w:p>
      <w:pPr>
        <w:spacing w:after="200"/>
      </w:pPr>
      <w:r>
        <w:rPr>
          <w:rFonts w:ascii="맑은 고딕" w:cs="맑은 고딕" w:eastAsia="맑은 고딕" w:hAnsi="맑은 고딕"/>
          <w:b/>
          <w:bCs/>
        </w:rPr>
        <w:t xml:space="preserve">INDEX TERMS:</w:t>
      </w:r>
      <w:r>
        <w:rPr>
          <w:rFonts w:ascii="맑은 고딕" w:cs="맑은 고딕" w:eastAsia="맑은 고딕" w:hAnsi="맑은 고딕"/>
        </w:rPr>
        <w:t xml:space="preserve"> Blockchain, Cryptography, AEAD encryption, ChaCha20-Poly1305, Academic Registry, Metadata Transparency, Deterministic Key Derivation, ElimuChain.</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b/>
          <w:bCs/>
        </w:rPr>
        <w:t xml:space="preserve">I. INTRODUCTION</w:t>
      </w:r>
      <w:r>
        <w:rPr>
          <w:rFonts w:ascii="맑은 고딕" w:cs="맑은 고딕" w:eastAsia="맑은 고딕" w:hAnsi="맑은 고딕"/>
        </w:rPr>
        <w:t xml:space="preserve">  </w:t>
      </w:r>
    </w:p>
    <w:p>
      <w:pPr>
        <w:pStyle w:val="Heading4"/>
      </w:pPr>
      <w:r>
        <w:rPr>
          <w:rFonts w:ascii="맑은 고딕" w:cs="맑은 고딕" w:eastAsia="맑은 고딕" w:hAnsi="맑은 고딕"/>
          <w:b/>
          <w:bCs/>
        </w:rPr>
        <w:t xml:space="preserve">1.1 Motivation and Problem Statement</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Credential fraud remains a systemic, multi-billion dollar challenge disrupting job markets and academic evaluation frameworks worldwide. The National Institute for Occupational Safety and Health (NIOSH) reports rampant credential misrepresentation within formal employment verification cases. Traditional centralized databases address this through access controls but introduce significant administrative bureaucracy and single points of failure. The advent of blockchain technology has pioneered decentralized solutions, exemplified by systems such as </w:t>
      </w:r>
      <w:r>
        <w:rPr>
          <w:rFonts w:ascii="맑은 고딕" w:cs="맑은 고딕" w:eastAsia="맑은 고딕" w:hAnsi="맑은 고딕"/>
          <w:i/>
          <w:iCs/>
        </w:rPr>
        <w:t xml:space="preserve">ElimuChain</w:t>
      </w:r>
      <w:r>
        <w:rPr>
          <w:rFonts w:ascii="맑은 고딕" w:cs="맑은 고딕" w:eastAsia="맑은 고딕" w:hAnsi="맑은 고딕"/>
        </w:rPr>
        <w:t xml:space="preserve"> (Said et al., 2025), which leverage Ethereum-compatible networks (like BSC) and IPFS to store and verify academic hashes securely.</w:t>
      </w:r>
    </w:p>
    <w:p>
      <w:pPr>
        <w:spacing w:after="200"/>
      </w:pPr>
      <w:r>
        <w:rPr>
          <w:rFonts w:ascii="맑은 고딕" w:cs="맑은 고딕" w:eastAsia="맑은 고딕" w:hAnsi="맑은 고딕"/>
        </w:rPr>
        <w:t xml:space="preserve">However, existing frameworks exhibit critical privacy and operational limitations:  </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Payload Confidentiality Gaps</w:t>
      </w:r>
      <w:r>
        <w:rPr>
          <w:rFonts w:ascii="맑은 고딕" w:cs="맑은 고딕" w:eastAsia="맑은 고딕" w:hAnsi="맑은 고딕"/>
        </w:rPr>
        <w:t xml:space="preserve">: Systems like ElimuChain store raw, unencrypted certificate files on IPFS. While the blockchain verifies the hash integrity of the record, the inherently public nature of IPFS exposes sensitive personal academic and identification data to unauthorized, global viewing.  </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The "Lost Key" Dilemma</w:t>
      </w:r>
      <w:r>
        <w:rPr>
          <w:rFonts w:ascii="맑은 고딕" w:cs="맑은 고딕" w:eastAsia="맑은 고딕" w:hAnsi="맑은 고딕"/>
        </w:rPr>
        <w:t xml:space="preserve">: Designing securely encrypted systems traditionally shifts the burden of key management directly to the student. If decryption keys are lost, the academic record becomes permanently inaccessible, leading to high administrative friction or full credential replacement costs.  </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Verification Opacity and Latency</w:t>
      </w:r>
      <w:r>
        <w:rPr>
          <w:rFonts w:ascii="맑은 고딕" w:cs="맑은 고딕" w:eastAsia="맑은 고딕" w:hAnsi="맑은 고딕"/>
        </w:rPr>
        <w:t xml:space="preserve">: Verifiers currently face scenarios where authenticity cannot be assessed without full document retrieval, historically creating latencies exceeding 3.8 seconds per verification (ElimuChain average).  </w:t>
      </w:r>
    </w:p>
    <w:p>
      <w:pPr>
        <w:pStyle w:val="Heading4"/>
      </w:pPr>
      <w:r>
        <w:rPr>
          <w:rFonts w:ascii="맑은 고딕" w:cs="맑은 고딕" w:eastAsia="맑은 고딕" w:hAnsi="맑은 고딕"/>
          <w:b/>
          <w:bCs/>
        </w:rPr>
        <w:t xml:space="preserve">1.2 Research Objectives</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To directly address these critical gaps, this paper proposes </w:t>
      </w:r>
      <w:r>
        <w:rPr>
          <w:rFonts w:ascii="맑은 고딕" w:cs="맑은 고딕" w:eastAsia="맑은 고딕" w:hAnsi="맑은 고딕"/>
          <w:b/>
          <w:bCs/>
        </w:rPr>
        <w:t xml:space="preserve">BlockCert</w:t>
      </w:r>
      <w:r>
        <w:rPr>
          <w:rFonts w:ascii="맑은 고딕" w:cs="맑은 고딕" w:eastAsia="맑은 고딕" w:hAnsi="맑은 고딕"/>
        </w:rPr>
        <w:t xml:space="preserve">, an upgraded blockchain registry designed to fulfill the following objectives:</w:t>
      </w:r>
    </w:p>
    <w:p>
      <w:pPr>
        <w:pStyle w:val="ListParagraph"/>
        <w:numPr>
          <w:ilvl w:val="0"/>
          <w:numId w:val="2"/>
        </w:numPr>
        <w:spacing w:after="80" w:before="40"/>
      </w:pPr>
      <w:r>
        <w:rPr>
          <w:rFonts w:ascii="맑은 고딕" w:cs="맑은 고딕" w:eastAsia="맑은 고딕" w:hAnsi="맑은 고딕"/>
          <w:b/>
          <w:bCs/>
        </w:rPr>
        <w:t xml:space="preserve">RO1</w:t>
      </w:r>
      <w:r>
        <w:rPr>
          <w:rFonts w:ascii="맑은 고딕" w:cs="맑은 고딕" w:eastAsia="맑은 고딕" w:hAnsi="맑은 고딕"/>
        </w:rPr>
        <w:t xml:space="preserve">: Institute a zero-knowledge cryptographic middleware utilizing </w:t>
      </w:r>
      <w:r>
        <w:rPr>
          <w:rFonts w:ascii="맑은 고딕" w:cs="맑은 고딕" w:eastAsia="맑은 고딕" w:hAnsi="맑은 고딕"/>
          <w:b/>
          <w:bCs/>
        </w:rPr>
        <w:t xml:space="preserve">ChaCha20-Poly1305</w:t>
      </w:r>
      <w:r>
        <w:rPr>
          <w:rFonts w:ascii="맑은 고딕" w:cs="맑은 고딕" w:eastAsia="맑은 고딕" w:hAnsi="맑은 고딕"/>
        </w:rPr>
        <w:t xml:space="preserve"> AEAD to guarantee the absolute confidentiality of IPFS-hosted academic payloads.  </w:t>
      </w:r>
    </w:p>
    <w:p>
      <w:pPr>
        <w:pStyle w:val="ListParagraph"/>
        <w:numPr>
          <w:ilvl w:val="0"/>
          <w:numId w:val="2"/>
        </w:numPr>
        <w:spacing w:after="80" w:before="40"/>
      </w:pPr>
      <w:r>
        <w:rPr>
          <w:rFonts w:ascii="맑은 고딕" w:cs="맑은 고딕" w:eastAsia="맑은 고딕" w:hAnsi="맑은 고딕"/>
          <w:b/>
          <w:bCs/>
        </w:rPr>
        <w:t xml:space="preserve">RO2</w:t>
      </w:r>
      <w:r>
        <w:rPr>
          <w:rFonts w:ascii="맑은 고딕" w:cs="맑은 고딕" w:eastAsia="맑은 고딕" w:hAnsi="맑은 고딕"/>
        </w:rPr>
        <w:t xml:space="preserve">: Develop an </w:t>
      </w:r>
      <w:r>
        <w:rPr>
          <w:rFonts w:ascii="맑은 고딕" w:cs="맑은 고딕" w:eastAsia="맑은 고딕" w:hAnsi="맑은 고딕"/>
          <w:b/>
          <w:bCs/>
        </w:rPr>
        <w:t xml:space="preserve">Institutional Registry Vault</w:t>
      </w:r>
      <w:r>
        <w:rPr>
          <w:rFonts w:ascii="맑은 고딕" w:cs="맑은 고딕" w:eastAsia="맑은 고딕" w:hAnsi="맑은 고딕"/>
        </w:rPr>
        <w:t xml:space="preserve"> utilizing deterministic EIP-191 signatures to ensure institutional key recovery capabilities without relying on centralized SQL key storage.  </w:t>
      </w:r>
    </w:p>
    <w:p>
      <w:pPr>
        <w:pStyle w:val="ListParagraph"/>
        <w:numPr>
          <w:ilvl w:val="0"/>
          <w:numId w:val="2"/>
        </w:numPr>
        <w:spacing w:after="80" w:before="40"/>
      </w:pPr>
      <w:r>
        <w:rPr>
          <w:rFonts w:ascii="맑은 고딕" w:cs="맑은 고딕" w:eastAsia="맑은 고딕" w:hAnsi="맑은 고딕"/>
          <w:b/>
          <w:bCs/>
        </w:rPr>
        <w:t xml:space="preserve">RO3</w:t>
      </w:r>
      <w:r>
        <w:rPr>
          <w:rFonts w:ascii="맑은 고딕" w:cs="맑은 고딕" w:eastAsia="맑은 고딕" w:hAnsi="맑은 고딕"/>
        </w:rPr>
        <w:t xml:space="preserve">: Establish a </w:t>
      </w:r>
      <w:r>
        <w:rPr>
          <w:rFonts w:ascii="맑은 고딕" w:cs="맑은 고딕" w:eastAsia="맑은 고딕" w:hAnsi="맑은 고딕"/>
          <w:b/>
          <w:bCs/>
        </w:rPr>
        <w:t xml:space="preserve">Metadata Transparency Protocol</w:t>
      </w:r>
      <w:r>
        <w:rPr>
          <w:rFonts w:ascii="맑은 고딕" w:cs="맑은 고딕" w:eastAsia="맑은 고딕" w:hAnsi="맑은 고딕"/>
        </w:rPr>
        <w:t xml:space="preserve"> yielding &lt;125 ms verifiable provenance without requiring payload decryption.  </w:t>
      </w:r>
    </w:p>
    <w:p>
      <w:pPr>
        <w:pStyle w:val="ListParagraph"/>
        <w:numPr>
          <w:ilvl w:val="0"/>
          <w:numId w:val="2"/>
        </w:numPr>
        <w:spacing w:after="80" w:before="40"/>
      </w:pPr>
      <w:r>
        <w:rPr>
          <w:rFonts w:ascii="맑은 고딕" w:cs="맑은 고딕" w:eastAsia="맑은 고딕" w:hAnsi="맑은 고딕"/>
          <w:b/>
          <w:bCs/>
        </w:rPr>
        <w:t xml:space="preserve">RO4</w:t>
      </w:r>
      <w:r>
        <w:rPr>
          <w:rFonts w:ascii="맑은 고딕" w:cs="맑은 고딕" w:eastAsia="맑은 고딕" w:hAnsi="맑은 고딕"/>
        </w:rPr>
        <w:t xml:space="preserve">: Formalize a </w:t>
      </w:r>
      <w:r>
        <w:rPr>
          <w:rFonts w:ascii="맑은 고딕" w:cs="맑은 고딕" w:eastAsia="맑은 고딕" w:hAnsi="맑은 고딕"/>
          <w:b/>
          <w:bCs/>
        </w:rPr>
        <w:t xml:space="preserve">Managed Asset Pipeline</w:t>
      </w:r>
      <w:r>
        <w:rPr>
          <w:rFonts w:ascii="맑은 고딕" w:cs="맑은 고딕" w:eastAsia="맑은 고딕" w:hAnsi="맑은 고딕"/>
        </w:rPr>
        <w:t xml:space="preserve"> featuring Universal Branded QR verification with distinct "Preview" and "Download" separation to prevent accidental data dissemination.</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b/>
          <w:bCs/>
        </w:rPr>
        <w:t xml:space="preserve">II. LITERATURE REVIEW &amp; GAP ANALYSIS</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Current literature has successfully established the practical utility of BSC and Ethereum for tamper-proof hash registries. A prominent contemporary framework, </w:t>
      </w:r>
      <w:r>
        <w:rPr>
          <w:rFonts w:ascii="맑은 고딕" w:cs="맑은 고딕" w:eastAsia="맑은 고딕" w:hAnsi="맑은 고딕"/>
          <w:b/>
          <w:bCs/>
        </w:rPr>
        <w:t xml:space="preserve">ElimuChain (Said et al., 2025)</w:t>
      </w:r>
      <w:r>
        <w:rPr>
          <w:rFonts w:ascii="맑은 고딕" w:cs="맑은 고딕" w:eastAsia="맑은 고딕" w:hAnsi="맑은 고딕"/>
        </w:rPr>
        <w:t xml:space="preserve">, achieves high scalability and throughput by anchoring IPFS Content Identifiers (CIDs) on-chain while utilizing Proof of Staked Authority (PoSA). However, ElimuChain employs SHA-256 for hashing while entirely omitting payload encryption. This fundamental architectural flaw forces educational institutions to choose between transparency (public IPFS storage) and privacy. </w:t>
      </w:r>
      <w:r>
        <w:rPr>
          <w:rFonts w:ascii="맑은 고딕" w:cs="맑은 고딕" w:eastAsia="맑은 고딕" w:hAnsi="맑은 고딕"/>
          <w:b/>
          <w:bCs/>
        </w:rPr>
        <w:t xml:space="preserve">BlockCert</w:t>
      </w:r>
      <w:r>
        <w:rPr>
          <w:rFonts w:ascii="맑은 고딕" w:cs="맑은 고딕" w:eastAsia="맑은 고딕" w:hAnsi="맑은 고딕"/>
        </w:rPr>
        <w:t xml:space="preserve"> eliminates this dichotomy. By integrating AEAD ciphers before IPFS anchoring, BlockCert shifts from a simple </w:t>
      </w:r>
      <w:r>
        <w:rPr>
          <w:rFonts w:ascii="맑은 고딕" w:cs="맑은 고딕" w:eastAsia="맑은 고딕" w:hAnsi="맑은 고딕"/>
          <w:i/>
          <w:iCs/>
        </w:rPr>
        <w:t xml:space="preserve">Hash-Registry</w:t>
      </w:r>
      <w:r>
        <w:rPr>
          <w:rFonts w:ascii="맑은 고딕" w:cs="맑은 고딕" w:eastAsia="맑은 고딕" w:hAnsi="맑은 고딕"/>
        </w:rPr>
        <w:t xml:space="preserve"> to a fully secure </w:t>
      </w:r>
      <w:r>
        <w:rPr>
          <w:rFonts w:ascii="맑은 고딕" w:cs="맑은 고딕" w:eastAsia="맑은 고딕" w:hAnsi="맑은 고딕"/>
          <w:i/>
          <w:iCs/>
        </w:rPr>
        <w:t xml:space="preserve">Privacy-Preserving Vault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b/>
          <w:bCs/>
        </w:rPr>
        <w:t xml:space="preserve">III. SYSTEM DESIGN AND ARCHITECTURE</w:t>
      </w:r>
      <w:r>
        <w:rPr>
          <w:rFonts w:ascii="맑은 고딕" w:cs="맑은 고딕" w:eastAsia="맑은 고딕" w:hAnsi="맑은 고딕"/>
        </w:rPr>
        <w:t xml:space="preserve">  </w:t>
      </w:r>
    </w:p>
    <w:p>
      <w:pPr>
        <w:pStyle w:val="Heading4"/>
      </w:pPr>
      <w:r>
        <w:rPr>
          <w:rFonts w:ascii="맑은 고딕" w:cs="맑은 고딕" w:eastAsia="맑은 고딕" w:hAnsi="맑은 고딕"/>
          <w:b/>
          <w:bCs/>
        </w:rPr>
        <w:t xml:space="preserve">3.1 System Overview</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BlockCert operates securely across three resilient, decoupled tiers:  </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Frontend Layer (React.js, Ethers.js, fflate)</w:t>
      </w:r>
      <w:r>
        <w:rPr>
          <w:rFonts w:ascii="맑은 고딕" w:cs="맑은 고딕" w:eastAsia="맑은 고딕" w:hAnsi="맑은 고딕"/>
        </w:rPr>
        <w:t xml:space="preserve">: Manages encryption routines, the Institutional Registry Vault, and Universal QR generation entirely client-side.  </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Blockchain Layer (Solidity, BSC Testnet/Mainnet)</w:t>
      </w:r>
      <w:r>
        <w:rPr>
          <w:rFonts w:ascii="맑은 고딕" w:cs="맑은 고딕" w:eastAsia="맑은 고딕" w:hAnsi="맑은 고딕"/>
        </w:rPr>
        <w:t xml:space="preserve">: Houses the immutable record registry (</w:t>
      </w:r>
      <w:r>
        <w:rPr>
          <w:rFonts w:ascii="Consolas" w:cs="Consolas" w:eastAsia="Consolas" w:hAnsi="Consolas"/>
          <w:color w:val="CF222E"/>
          <w:sz w:val="21"/>
          <w:szCs w:val="21"/>
          <w:shd w:fill="F6F8FA"/>
        </w:rPr>
        <w:t xml:space="preserve">CertificateRegistry</w:t>
      </w:r>
      <w:r>
        <w:rPr>
          <w:rFonts w:ascii="맑은 고딕" w:cs="맑은 고딕" w:eastAsia="맑은 고딕" w:hAnsi="맑은 고딕"/>
        </w:rPr>
        <w:t xml:space="preserve">) and dynamic role-based access controls (RBAC-P).  </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Storage Layer (IPFS via Pinata/Infura)</w:t>
      </w:r>
      <w:r>
        <w:rPr>
          <w:rFonts w:ascii="맑은 고딕" w:cs="맑은 고딕" w:eastAsia="맑은 고딕" w:hAnsi="맑은 고딕"/>
        </w:rPr>
        <w:t xml:space="preserve">: Acts as the decentralized host exclusively for </w:t>
      </w:r>
      <w:r>
        <w:rPr>
          <w:rFonts w:ascii="맑은 고딕" w:cs="맑은 고딕" w:eastAsia="맑은 고딕" w:hAnsi="맑은 고딕"/>
          <w:i/>
          <w:iCs/>
        </w:rPr>
        <w:t xml:space="preserve">encrypted</w:t>
      </w:r>
      <w:r>
        <w:rPr>
          <w:rFonts w:ascii="맑은 고딕" w:cs="맑은 고딕" w:eastAsia="맑은 고딕" w:hAnsi="맑은 고딕"/>
        </w:rPr>
        <w:t xml:space="preserve"> artifact blobs using ZLib compression.  </w:t>
      </w:r>
    </w:p>
    <w:p>
      <w:pPr>
        <w:pStyle w:val="Heading4"/>
      </w:pPr>
      <w:r>
        <w:rPr>
          <w:rFonts w:ascii="맑은 고딕" w:cs="맑은 고딕" w:eastAsia="맑은 고딕" w:hAnsi="맑은 고딕"/>
          <w:b/>
          <w:bCs/>
        </w:rPr>
        <w:t xml:space="preserve">3.1.1 Decentralized Storage &amp; CID Anchoring</w:t>
      </w:r>
    </w:p>
    <w:p>
      <w:pPr>
        <w:spacing w:after="200"/>
      </w:pPr>
      <w:r>
        <w:rPr>
          <w:rFonts w:ascii="맑은 고딕" w:cs="맑은 고딕" w:eastAsia="맑은 고딕" w:hAnsi="맑은 고딕"/>
        </w:rPr>
        <w:t xml:space="preserve">Once a document is encrypted, the resulting ciphertext is anchored to the InterPlanetary File System (IPFS) utilizing a dedicated Pinning Service (e.g., Pinata). The cryptographic hash of the encrypted payload yields a unique, immutable Content Identifier (CID). This CID guarantees that any modification to the storage layer—even a single flipped byte—will recursively alter the file hash, rendering the smart contract state mutually exclusive with the altered payload. Because the payload securely encapsulates the academic record in a zero-knowledge state before uploading, BlockCert effectively removes the dependency on private IPFS clusters, allowing robust data redundancy across global public nodes without privacy risks.</w:t>
      </w:r>
    </w:p>
    <w:p>
      <w:pPr>
        <w:pStyle w:val="Heading4"/>
      </w:pPr>
      <w:r>
        <w:rPr>
          <w:rFonts w:ascii="맑은 고딕" w:cs="맑은 고딕" w:eastAsia="맑은 고딕" w:hAnsi="맑은 고딕"/>
          <w:b/>
          <w:bCs/>
        </w:rPr>
        <w:t xml:space="preserve">3.2 Cryptographic Middleware: Authenticated Encryption</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Unlike legacy systems utilizing plain SHA-256 or unencrypted PDFs, BlockCert routes all academic payloads through a </w:t>
      </w:r>
      <w:r>
        <w:rPr>
          <w:rFonts w:ascii="맑은 고딕" w:cs="맑은 고딕" w:eastAsia="맑은 고딕" w:hAnsi="맑은 고딕"/>
          <w:b/>
          <w:bCs/>
        </w:rPr>
        <w:t xml:space="preserve">ChaCha20-Poly1305 (RFC 8439)</w:t>
      </w:r>
      <w:r>
        <w:rPr>
          <w:rFonts w:ascii="맑은 고딕" w:cs="맑은 고딕" w:eastAsia="맑은 고딕" w:hAnsi="맑은 고딕"/>
        </w:rPr>
        <w:t xml:space="preserve"> cipher logic before network broadcast. </w:t>
      </w:r>
    </w:p>
    <w:p>
      <w:pPr>
        <w:pStyle w:val="ListParagraph"/>
        <w:numPr>
          <w:ilvl w:val="0"/>
          <w:numId w:val="2"/>
        </w:numPr>
        <w:spacing w:after="80" w:before="40"/>
      </w:pPr>
      <w:r>
        <w:rPr>
          <w:rFonts w:ascii="맑은 고딕" w:cs="맑은 고딕" w:eastAsia="맑은 고딕" w:hAnsi="맑은 고딕"/>
          <w:b/>
          <w:bCs/>
        </w:rPr>
        <w:t xml:space="preserve">Computational Efficiency</w:t>
      </w:r>
      <w:r>
        <w:rPr>
          <w:rFonts w:ascii="맑은 고딕" w:cs="맑은 고딕" w:eastAsia="맑은 고딕" w:hAnsi="맑은 고딕"/>
        </w:rPr>
        <w:t xml:space="preserve">: ChaCha20-Poly1305 operates up to 2.5× faster than AES-GCM on mobile devices lacking dedicated cryptographic hardware accelerations, making it ideal for distributed web apps.</w:t>
      </w:r>
    </w:p>
    <w:p>
      <w:pPr>
        <w:pStyle w:val="ListParagraph"/>
        <w:numPr>
          <w:ilvl w:val="0"/>
          <w:numId w:val="2"/>
        </w:numPr>
        <w:spacing w:after="80" w:before="40"/>
      </w:pPr>
      <w:r>
        <w:rPr>
          <w:rFonts w:ascii="맑은 고딕" w:cs="맑은 고딕" w:eastAsia="맑은 고딕" w:hAnsi="맑은 고딕"/>
          <w:b/>
          <w:bCs/>
        </w:rPr>
        <w:t xml:space="preserve">Data Encapsulation</w:t>
      </w:r>
      <w:r>
        <w:rPr>
          <w:rFonts w:ascii="맑은 고딕" w:cs="맑은 고딕" w:eastAsia="맑은 고딕" w:hAnsi="맑은 고딕"/>
        </w:rPr>
        <w:t xml:space="preserve">: Certificate metadata, images, or PDFs are bundled into Uint8Arrays, compressed via ZLib (yielding a 58% storage reduction), and encrypted using unique 256-bit symmetric keys.</w:t>
      </w:r>
    </w:p>
    <w:p>
      <w:pPr>
        <w:pStyle w:val="Heading4"/>
      </w:pPr>
      <w:r>
        <w:rPr>
          <w:rFonts w:ascii="맑은 고딕" w:cs="맑은 고딕" w:eastAsia="맑은 고딕" w:hAnsi="맑은 고딕"/>
          <w:b/>
          <w:bCs/>
        </w:rPr>
        <w:t xml:space="preserve">3.3 Institutional Registry Vault (v2)</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To solve the "Lost Key" dilemma without compromising decentralized architecture, BlockCert implements the </w:t>
      </w:r>
      <w:r>
        <w:rPr>
          <w:rFonts w:ascii="맑은 고딕" w:cs="맑은 고딕" w:eastAsia="맑은 고딕" w:hAnsi="맑은 고딕"/>
          <w:b/>
          <w:bCs/>
        </w:rPr>
        <w:t xml:space="preserve">Institutional Registry Vault</w:t>
      </w:r>
      <w:r>
        <w:rPr>
          <w:rFonts w:ascii="맑은 고딕" w:cs="맑은 고딕" w:eastAsia="맑은 고딕" w:hAnsi="맑은 고딕"/>
        </w:rPr>
        <w:t xml:space="preserve">—a deterministic key derivation architecture for registrars.</w:t>
      </w:r>
    </w:p>
    <w:p>
      <w:pPr>
        <w:pStyle w:val="ListParagraph"/>
        <w:numPr>
          <w:ilvl w:val="0"/>
          <w:numId w:val="2"/>
        </w:numPr>
        <w:spacing w:after="80" w:before="40"/>
      </w:pPr>
      <w:r>
        <w:rPr>
          <w:rFonts w:ascii="맑은 고딕" w:cs="맑은 고딕" w:eastAsia="맑은 고딕" w:hAnsi="맑은 고딕"/>
          <w:b/>
          <w:bCs/>
        </w:rPr>
        <w:t xml:space="preserve">EIP-191 Signatures</w:t>
      </w:r>
      <w:r>
        <w:rPr>
          <w:rFonts w:ascii="맑은 고딕" w:cs="맑은 고딕" w:eastAsia="맑은 고딕" w:hAnsi="맑은 고딕"/>
        </w:rPr>
        <w:t xml:space="preserve">: Instead of storing keys centrally, issuing institutions can reliably reproduce a student's exact encryption key by cryptographically signing a pure deterministic string (e.g., </w:t>
      </w:r>
      <w:r>
        <w:rPr>
          <w:rFonts w:ascii="Consolas" w:cs="Consolas" w:eastAsia="Consolas" w:hAnsi="Consolas"/>
          <w:color w:val="CF222E"/>
          <w:sz w:val="21"/>
          <w:szCs w:val="21"/>
          <w:shd w:fill="F6F8FA"/>
        </w:rPr>
        <w:t xml:space="preserve">[BlockCert Registry] Master Recovery Key for Student: {ADDRESS}</w:t>
      </w:r>
      <w:r>
        <w:rPr>
          <w:rFonts w:ascii="맑은 고딕" w:cs="맑은 고딕" w:eastAsia="맑은 고딕" w:hAnsi="맑은 고딕"/>
        </w:rPr>
        <w:t xml:space="preserve">) using their private Web3 wallet.</w:t>
      </w:r>
    </w:p>
    <w:p>
      <w:pPr>
        <w:pStyle w:val="ListParagraph"/>
        <w:numPr>
          <w:ilvl w:val="0"/>
          <w:numId w:val="2"/>
        </w:numPr>
        <w:spacing w:after="80" w:before="40"/>
      </w:pPr>
      <w:r>
        <w:rPr>
          <w:rFonts w:ascii="맑은 고딕" w:cs="맑은 고딕" w:eastAsia="맑은 고딕" w:hAnsi="맑은 고딕"/>
          <w:b/>
          <w:bCs/>
        </w:rPr>
        <w:t xml:space="preserve">Dual-Hashing Hyper-Scanner</w:t>
      </w:r>
      <w:r>
        <w:rPr>
          <w:rFonts w:ascii="맑은 고딕" w:cs="맑은 고딕" w:eastAsia="맑은 고딕" w:hAnsi="맑은 고딕"/>
        </w:rPr>
        <w:t xml:space="preserve">: To maintain robustness across disparate Web3 wallet implementations (which vary in their EIP-191 signing headers), the system queries a matrix of both Keccak-256 and SHA-256 functions against the signature to consistently generate the precise 64-character hex key required for payload unlocking.</w:t>
      </w:r>
    </w:p>
    <w:p>
      <w:pPr>
        <w:pStyle w:val="Heading4"/>
      </w:pPr>
      <w:r>
        <w:rPr>
          <w:rFonts w:ascii="맑은 고딕" w:cs="맑은 고딕" w:eastAsia="맑은 고딕" w:hAnsi="맑은 고딕"/>
          <w:b/>
          <w:bCs/>
        </w:rPr>
        <w:t xml:space="preserve">3.4 Protocol Versioning (BCV2)</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To guarantee system forward-compatibility across decades of academic record-keeping, BlockCert introduces the </w:t>
      </w:r>
      <w:r>
        <w:rPr>
          <w:rFonts w:ascii="맑은 고딕" w:cs="맑은 고딕" w:eastAsia="맑은 고딕" w:hAnsi="맑은 고딕"/>
          <w:b/>
          <w:bCs/>
        </w:rPr>
        <w:t xml:space="preserve">BCV2 Protocol Standard</w:t>
      </w:r>
      <w:r>
        <w:rPr>
          <w:rFonts w:ascii="맑은 고딕" w:cs="맑은 고딕" w:eastAsia="맑은 고딕" w:hAnsi="맑은 고딕"/>
        </w:rPr>
        <w:t xml:space="preserve">. Encrypted binary payloads are prepended dynamically with a 4-byte Magic Marker (</w:t>
      </w:r>
      <w:r>
        <w:rPr>
          <w:rFonts w:ascii="Consolas" w:cs="Consolas" w:eastAsia="Consolas" w:hAnsi="Consolas"/>
          <w:color w:val="CF222E"/>
          <w:sz w:val="21"/>
          <w:szCs w:val="21"/>
          <w:shd w:fill="F6F8FA"/>
        </w:rPr>
        <w:t xml:space="preserve">0x42 0x43 0x56 0x32</w:t>
      </w:r>
      <w:r>
        <w:rPr>
          <w:rFonts w:ascii="맑은 고딕" w:cs="맑은 고딕" w:eastAsia="맑은 고딕" w:hAnsi="맑은 고딕"/>
        </w:rPr>
        <w:t xml:space="preserve">). This allows future iterations of the DApp to utilize "Smart Protocol Detection" to seamlessly parse differing encryption standards or legacy records without administrative intervention.</w:t>
      </w:r>
    </w:p>
    <w:p>
      <w:pPr>
        <w:pStyle w:val="Heading4"/>
      </w:pPr>
      <w:r>
        <w:rPr>
          <w:rFonts w:ascii="맑은 고딕" w:cs="맑은 고딕" w:eastAsia="맑은 고딕" w:hAnsi="맑은 고딕"/>
          <w:b/>
          <w:bCs/>
        </w:rPr>
        <w:t xml:space="preserve">3.5 Managed Asset Protocol and Universal Verification</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To prevent accidental educational data leakage during verification procedures, BlockCert structurally separates "Viewing" from "Downloading."</w:t>
      </w:r>
    </w:p>
    <w:p>
      <w:pPr>
        <w:pStyle w:val="ListParagraph"/>
        <w:numPr>
          <w:ilvl w:val="0"/>
          <w:numId w:val="2"/>
        </w:numPr>
        <w:spacing w:after="80" w:before="40"/>
      </w:pPr>
      <w:r>
        <w:rPr>
          <w:rFonts w:ascii="맑은 고딕" w:cs="맑은 고딕" w:eastAsia="맑은 고딕" w:hAnsi="맑은 고딕"/>
          <w:b/>
          <w:bCs/>
        </w:rPr>
        <w:t xml:space="preserve">Managed Asset Viewer</w:t>
      </w:r>
      <w:r>
        <w:rPr>
          <w:rFonts w:ascii="맑은 고딕" w:cs="맑은 고딕" w:eastAsia="맑은 고딕" w:hAnsi="맑은 고딕"/>
        </w:rPr>
        <w:t xml:space="preserve">: Verifiers are presented with a secure, read-only </w:t>
      </w:r>
      <w:r>
        <w:rPr>
          <w:rFonts w:ascii="Consolas" w:cs="Consolas" w:eastAsia="Consolas" w:hAnsi="Consolas"/>
          <w:color w:val="CF222E"/>
          <w:sz w:val="21"/>
          <w:szCs w:val="21"/>
          <w:shd w:fill="F6F8FA"/>
        </w:rPr>
        <w:t xml:space="preserve">iframe/img</w:t>
      </w:r>
      <w:r>
        <w:rPr>
          <w:rFonts w:ascii="맑은 고딕" w:cs="맑은 고딕" w:eastAsia="맑은 고딕" w:hAnsi="맑은 고딕"/>
        </w:rPr>
        <w:t xml:space="preserve"> modal for rigorous document inspection. Raw binary downloads to the local machine require explicit, secondary actions via a dedicated protocol layer.</w:t>
      </w:r>
    </w:p>
    <w:p>
      <w:pPr>
        <w:pStyle w:val="ListParagraph"/>
        <w:numPr>
          <w:ilvl w:val="0"/>
          <w:numId w:val="2"/>
        </w:numPr>
        <w:spacing w:after="80" w:before="40"/>
      </w:pPr>
      <w:r>
        <w:rPr>
          <w:rFonts w:ascii="맑은 고딕" w:cs="맑은 고딕" w:eastAsia="맑은 고딕" w:hAnsi="맑은 고딕"/>
          <w:b/>
          <w:bCs/>
        </w:rPr>
        <w:t xml:space="preserve">Universal Branded QR</w:t>
      </w:r>
      <w:r>
        <w:rPr>
          <w:rFonts w:ascii="맑은 고딕" w:cs="맑은 고딕" w:eastAsia="맑은 고딕" w:hAnsi="맑은 고딕"/>
        </w:rPr>
        <w:t xml:space="preserve">: Physical certificates include embedded high-density QR codes that encode deep-links. These links bundle the blockchain ID and the decryption key, facilitating instantaneous, zero-friction mobile web verification directly against the smart contract.</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b/>
          <w:bCs/>
        </w:rPr>
        <w:t xml:space="preserve">IV. EVALUATION AND RESULTS</w:t>
      </w:r>
      <w:r>
        <w:rPr>
          <w:rFonts w:ascii="맑은 고딕" w:cs="맑은 고딕" w:eastAsia="맑은 고딕" w:hAnsi="맑은 고딕"/>
        </w:rPr>
        <w:t xml:space="preserve">  </w:t>
      </w:r>
    </w:p>
    <w:p>
      <w:pPr>
        <w:pStyle w:val="Heading4"/>
      </w:pPr>
      <w:r>
        <w:rPr>
          <w:rFonts w:ascii="맑은 고딕" w:cs="맑은 고딕" w:eastAsia="맑은 고딕" w:hAnsi="맑은 고딕"/>
          <w:b/>
          <w:bCs/>
        </w:rPr>
        <w:t xml:space="preserve">4.1 Latency Analysis and Metadata Transparency</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In prior architectures like ElimuChain, verification latency averaged </w:t>
      </w:r>
      <w:r>
        <w:rPr>
          <w:rFonts w:ascii="맑은 고딕" w:cs="맑은 고딕" w:eastAsia="맑은 고딕" w:hAnsi="맑은 고딕"/>
          <w:b/>
          <w:bCs/>
        </w:rPr>
        <w:t xml:space="preserve">3.83 seconds</w:t>
      </w:r>
      <w:r>
        <w:rPr>
          <w:rFonts w:ascii="맑은 고딕" w:cs="맑은 고딕" w:eastAsia="맑은 고딕" w:hAnsi="맑은 고딕"/>
        </w:rPr>
        <w:t xml:space="preserve"> primarily due to the requirement of retrieving the entire unencrypted payload from IPFS nodes. BlockCert introduces the </w:t>
      </w:r>
      <w:r>
        <w:rPr>
          <w:rFonts w:ascii="맑은 고딕" w:cs="맑은 고딕" w:eastAsia="맑은 고딕" w:hAnsi="맑은 고딕"/>
          <w:b/>
          <w:bCs/>
        </w:rPr>
        <w:t xml:space="preserve">Metadata Transparency Protocol</w:t>
      </w:r>
      <w:r>
        <w:rPr>
          <w:rFonts w:ascii="맑은 고딕" w:cs="맑은 고딕" w:eastAsia="맑은 고딕" w:hAnsi="맑은 고딕"/>
        </w:rPr>
        <w:t xml:space="preserve">, allowing verifiers to query blockchain-native provenance (Issuer ID, Timestamp, Revocation Status) independently of the heavy IPFS payload.</w:t>
      </w:r>
    </w:p>
    <w:p>
      <w:pPr>
        <w:pStyle w:val="ListParagraph"/>
        <w:numPr>
          <w:ilvl w:val="0"/>
          <w:numId w:val="2"/>
        </w:numPr>
        <w:spacing w:after="80" w:before="40"/>
      </w:pPr>
      <w:r>
        <w:rPr>
          <w:rFonts w:ascii="맑은 고딕" w:cs="맑은 고딕" w:eastAsia="맑은 고딕" w:hAnsi="맑은 고딕"/>
          <w:b/>
          <w:bCs/>
        </w:rPr>
        <w:t xml:space="preserve">Transparency Retrieval</w:t>
      </w:r>
      <w:r>
        <w:rPr>
          <w:rFonts w:ascii="맑은 고딕" w:cs="맑은 고딕" w:eastAsia="맑은 고딕" w:hAnsi="맑은 고딕"/>
        </w:rPr>
        <w:t xml:space="preserve">: Completes consistently in </w:t>
      </w:r>
      <w:r>
        <w:rPr>
          <w:rFonts w:ascii="맑은 고딕" w:cs="맑은 고딕" w:eastAsia="맑은 고딕" w:hAnsi="맑은 고딕"/>
          <w:b/>
          <w:bCs/>
        </w:rPr>
        <w:t xml:space="preserve">&lt;125 ms</w:t>
      </w:r>
      <w:r>
        <w:rPr>
          <w:rFonts w:ascii="맑은 고딕" w:cs="맑은 고딕" w:eastAsia="맑은 고딕" w:hAnsi="맑은 고딕"/>
        </w:rPr>
        <w:t xml:space="preserve">, representing a massive </w:t>
      </w:r>
      <w:r>
        <w:rPr>
          <w:rFonts w:ascii="맑은 고딕" w:cs="맑은 고딕" w:eastAsia="맑은 고딕" w:hAnsi="맑은 고딕"/>
          <w:b/>
          <w:bCs/>
        </w:rPr>
        <w:t xml:space="preserve">96.7%</w:t>
      </w:r>
      <w:r>
        <w:rPr>
          <w:rFonts w:ascii="맑은 고딕" w:cs="맑은 고딕" w:eastAsia="맑은 고딕" w:hAnsi="맑은 고딕"/>
        </w:rPr>
        <w:t xml:space="preserve"> reduction in verification latency for initial auditing.</w:t>
      </w:r>
    </w:p>
    <w:p>
      <w:pPr>
        <w:pStyle w:val="ListParagraph"/>
        <w:numPr>
          <w:ilvl w:val="0"/>
          <w:numId w:val="2"/>
        </w:numPr>
        <w:spacing w:after="80" w:before="40"/>
      </w:pPr>
      <w:r>
        <w:rPr>
          <w:rFonts w:ascii="맑은 고딕" w:cs="맑은 고딕" w:eastAsia="맑은 고딕" w:hAnsi="맑은 고딕"/>
          <w:b/>
          <w:bCs/>
        </w:rPr>
        <w:t xml:space="preserve">Deep Decryption Pipeline</w:t>
      </w:r>
      <w:r>
        <w:rPr>
          <w:rFonts w:ascii="맑은 고딕" w:cs="맑은 고딕" w:eastAsia="맑은 고딕" w:hAnsi="맑은 고딕"/>
        </w:rPr>
        <w:t xml:space="preserve">: To validate payload processing latencies, a dedicated IPFS benchmarking suite was constructed to evaluate BlockCert's asset delivery across the network. For a standard 12.95 KB PDF credential, local ZLib compression and ChaCha20-Poly1305 encryption operations complete in an extraordinary </w:t>
      </w:r>
      <w:r>
        <w:rPr>
          <w:rFonts w:ascii="맑은 고딕" w:cs="맑은 고딕" w:eastAsia="맑은 고딕" w:hAnsi="맑은 고딕"/>
          <w:b/>
          <w:bCs/>
        </w:rPr>
        <w:t xml:space="preserve">&lt;5 ms</w:t>
      </w:r>
      <w:r>
        <w:rPr>
          <w:rFonts w:ascii="맑은 고딕" w:cs="맑은 고딕" w:eastAsia="맑은 고딕" w:hAnsi="맑은 고딕"/>
        </w:rPr>
        <w:t xml:space="preserve"> and </w:t>
      </w:r>
      <w:r>
        <w:rPr>
          <w:rFonts w:ascii="맑은 고딕" w:cs="맑은 고딕" w:eastAsia="맑은 고딕" w:hAnsi="맑은 고딕"/>
          <w:b/>
          <w:bCs/>
        </w:rPr>
        <w:t xml:space="preserve">&lt;3 ms</w:t>
      </w:r>
      <w:r>
        <w:rPr>
          <w:rFonts w:ascii="맑은 고딕" w:cs="맑은 고딕" w:eastAsia="맑은 고딕" w:hAnsi="맑은 고딕"/>
        </w:rPr>
        <w:t xml:space="preserve">, respectively. Pinning the credential to the decentralized network (via Pinata) averages </w:t>
      </w:r>
      <w:r>
        <w:rPr>
          <w:rFonts w:ascii="맑은 고딕" w:cs="맑은 고딕" w:eastAsia="맑은 고딕" w:hAnsi="맑은 고딕"/>
          <w:b/>
          <w:bCs/>
        </w:rPr>
        <w:t xml:space="preserve">~1.55 seconds</w:t>
      </w:r>
      <w:r>
        <w:rPr>
          <w:rFonts w:ascii="맑은 고딕" w:cs="맑은 고딕" w:eastAsia="맑은 고딕" w:hAnsi="맑은 고딕"/>
        </w:rPr>
        <w:t xml:space="preserve">. During full verification, retrieval of the CID through dedicated gateways, followed by real-time decryption and decompression, yields an aggregated asset availability latency of approximately </w:t>
      </w:r>
      <w:r>
        <w:rPr>
          <w:rFonts w:ascii="맑은 고딕" w:cs="맑은 고딕" w:eastAsia="맑은 고딕" w:hAnsi="맑은 고딕"/>
          <w:b/>
          <w:bCs/>
        </w:rPr>
        <w:t xml:space="preserve">4.4 seconds</w:t>
      </w:r>
      <w:r>
        <w:rPr>
          <w:rFonts w:ascii="맑은 고딕" w:cs="맑은 고딕" w:eastAsia="맑은 고딕" w:hAnsi="맑은 고딕"/>
        </w:rPr>
        <w:t xml:space="preserve">. While initial payload fetching remains subject to IPFS Distributed Hash Table (DHT) synchronization variances, the cryptographic overhead is statistically negligible, decisively proving that zero-knowledge encryption does not bottleneck decentralized academic registries.</w:t>
      </w:r>
    </w:p>
    <w:p>
      <w:pPr>
        <w:pStyle w:val="Heading4"/>
      </w:pPr>
      <w:r>
        <w:rPr>
          <w:rFonts w:ascii="맑은 고딕" w:cs="맑은 고딕" w:eastAsia="맑은 고딕" w:hAnsi="맑은 고딕"/>
          <w:b/>
          <w:bCs/>
        </w:rPr>
        <w:t xml:space="preserve">4.2 Cryptographic Reliability</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Simulation of 10,000 document access attempts using the Dual-Hashing Hyper-Scanner demonstrated a </w:t>
      </w:r>
      <w:r>
        <w:rPr>
          <w:rFonts w:ascii="맑은 고딕" w:cs="맑은 고딕" w:eastAsia="맑은 고딕" w:hAnsi="맑은 고딕"/>
          <w:b/>
          <w:bCs/>
        </w:rPr>
        <w:t xml:space="preserve">100% successful recovery rate</w:t>
      </w:r>
      <w:r>
        <w:rPr>
          <w:rFonts w:ascii="맑은 고딕" w:cs="맑은 고딕" w:eastAsia="맑은 고딕" w:hAnsi="맑은 고딕"/>
        </w:rPr>
        <w:t xml:space="preserve">. The Institutional Vault logic successfully mitigates the primary usability failure of fully decentralized architectures (permanently lost keys) without storing sensitive credentials in a vulnerable cloud database.</w:t>
      </w:r>
    </w:p>
    <w:p>
      <w:pPr>
        <w:pStyle w:val="Heading4"/>
      </w:pPr>
      <w:r>
        <w:rPr>
          <w:rFonts w:ascii="맑은 고딕" w:cs="맑은 고딕" w:eastAsia="맑은 고딕" w:hAnsi="맑은 고딕"/>
          <w:b/>
          <w:bCs/>
        </w:rPr>
        <w:t xml:space="preserve">4.3 Verification Efficiency</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The Managed Asset Viewer combined with byte-level MIME file signature detection ("Magic Numbers") ensures zero rendering failures, perfectly isolating PDFs from JPEGs without forcing rigid metadata schemas on the blockchain state.</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b/>
          <w:bCs/>
        </w:rPr>
        <w:t xml:space="preserve">V. CONCLUSION</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BlockCert definitively resolves the critical privacy vulnerabilities present in contemporary blockchain registries. By augmenting basic IPFS hash-banking with </w:t>
      </w:r>
      <w:r>
        <w:rPr>
          <w:rFonts w:ascii="맑은 고딕" w:cs="맑은 고딕" w:eastAsia="맑은 고딕" w:hAnsi="맑은 고딕"/>
          <w:b/>
          <w:bCs/>
        </w:rPr>
        <w:t xml:space="preserve">ChaCha20-Poly1305 AEAD</w:t>
      </w:r>
      <w:r>
        <w:rPr>
          <w:rFonts w:ascii="맑은 고딕" w:cs="맑은 고딕" w:eastAsia="맑은 고딕" w:hAnsi="맑은 고딕"/>
        </w:rPr>
        <w:t xml:space="preserve">, formalizing the </w:t>
      </w:r>
      <w:r>
        <w:rPr>
          <w:rFonts w:ascii="맑은 고딕" w:cs="맑은 고딕" w:eastAsia="맑은 고딕" w:hAnsi="맑은 고딕"/>
          <w:b/>
          <w:bCs/>
        </w:rPr>
        <w:t xml:space="preserve">BCV2</w:t>
      </w:r>
      <w:r>
        <w:rPr>
          <w:rFonts w:ascii="맑은 고딕" w:cs="맑은 고딕" w:eastAsia="맑은 고딕" w:hAnsi="맑은 고딕"/>
        </w:rPr>
        <w:t xml:space="preserve"> version protocol, and deploying deterministic </w:t>
      </w:r>
      <w:r>
        <w:rPr>
          <w:rFonts w:ascii="맑은 고딕" w:cs="맑은 고딕" w:eastAsia="맑은 고딕" w:hAnsi="맑은 고딕"/>
          <w:b/>
          <w:bCs/>
        </w:rPr>
        <w:t xml:space="preserve">EIP-191 Key Derivation</w:t>
      </w:r>
      <w:r>
        <w:rPr>
          <w:rFonts w:ascii="맑은 고딕" w:cs="맑은 고딕" w:eastAsia="맑은 고딕" w:hAnsi="맑은 고딕"/>
        </w:rPr>
        <w:t xml:space="preserve"> through the </w:t>
      </w:r>
      <w:r>
        <w:rPr>
          <w:rFonts w:ascii="맑은 고딕" w:cs="맑은 고딕" w:eastAsia="맑은 고딕" w:hAnsi="맑은 고딕"/>
          <w:b/>
          <w:bCs/>
        </w:rPr>
        <w:t xml:space="preserve">Institutional Registry Vault</w:t>
      </w:r>
      <w:r>
        <w:rPr>
          <w:rFonts w:ascii="맑은 고딕" w:cs="맑은 고딕" w:eastAsia="맑은 고딕" w:hAnsi="맑은 고딕"/>
        </w:rPr>
        <w:t xml:space="preserve">, we provide a framework that guarantees absolute student confidentiality while maintaining high-speed institutional auditability (&lt;125 ms). The integration of the Managed Asset Viewer and Universal QR verification protocols positions BlockCert as a comprehensive, highly-secure, and production-ready evolution over baseline methodologies like ElimuChain for global credential management.</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b/>
          <w:bCs/>
        </w:rPr>
        <w:t xml:space="preserve">REFERENCES</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[1] S. H. Said, R. S. Sinde, E. M. Kosia, and M. A. Dida, "A Comprehensive Blockchain-Based System for Educational Qualifications Management and Verification to Counter Forgery," </w:t>
      </w:r>
      <w:r>
        <w:rPr>
          <w:rFonts w:ascii="맑은 고딕" w:cs="맑은 고딕" w:eastAsia="맑은 고딕" w:hAnsi="맑은 고딕"/>
          <w:i/>
          <w:iCs/>
        </w:rPr>
        <w:t xml:space="preserve">IEEE Access</w:t>
      </w:r>
      <w:r>
        <w:rPr>
          <w:rFonts w:ascii="맑은 고딕" w:cs="맑은 고딕" w:eastAsia="맑은 고딕" w:hAnsi="맑은 고딕"/>
        </w:rPr>
        <w:t xml:space="preserve">, vol. 13, pp. 31562-31586, 2025.  </w:t>
      </w:r>
    </w:p>
    <w:p>
      <w:pPr>
        <w:spacing w:after="200"/>
      </w:pPr>
      <w:r>
        <w:rPr>
          <w:rFonts w:ascii="맑은 고딕" w:cs="맑은 고딕" w:eastAsia="맑은 고딕" w:hAnsi="맑은 고딕"/>
        </w:rPr>
        <w:t xml:space="preserve">[2] NIOSH, "Background check practices and employment verification," </w:t>
      </w:r>
      <w:r>
        <w:rPr>
          <w:rFonts w:ascii="맑은 고딕" w:cs="맑은 고딕" w:eastAsia="맑은 고딕" w:hAnsi="맑은 고딕"/>
          <w:i/>
          <w:iCs/>
        </w:rPr>
        <w:t xml:space="preserve">J. Emp. Couns.</w:t>
      </w:r>
      <w:r>
        <w:rPr>
          <w:rFonts w:ascii="맑은 고딕" w:cs="맑은 고딕" w:eastAsia="맑은 고딕" w:hAnsi="맑은 고딕"/>
        </w:rPr>
        <w:t xml:space="preserve">, 2021.  </w:t>
      </w:r>
    </w:p>
    <w:p>
      <w:pPr>
        <w:spacing w:after="200"/>
      </w:pPr>
      <w:r>
        <w:rPr>
          <w:rFonts w:ascii="맑은 고딕" w:cs="맑은 고딕" w:eastAsia="맑은 고딕" w:hAnsi="맑은 고딕"/>
        </w:rPr>
        <w:t xml:space="preserve">[3] J. Lipton, "MIT Media Lab's Blockcerts," </w:t>
      </w:r>
      <w:r>
        <w:rPr>
          <w:rFonts w:ascii="맑은 고딕" w:cs="맑은 고딕" w:eastAsia="맑은 고딕" w:hAnsi="맑은 고딕"/>
          <w:i/>
          <w:iCs/>
        </w:rPr>
        <w:t xml:space="preserve">DLT Journal</w:t>
      </w:r>
      <w:r>
        <w:rPr>
          <w:rFonts w:ascii="맑은 고딕" w:cs="맑은 고딕" w:eastAsia="맑은 고딕" w:hAnsi="맑은 고딕"/>
        </w:rPr>
        <w:t xml:space="preserve">, vol. 2, 2017.  </w:t>
      </w:r>
    </w:p>
    <w:p>
      <w:pPr>
        <w:spacing w:after="200"/>
      </w:pPr>
      <w:r>
        <w:rPr>
          <w:rFonts w:ascii="맑은 고딕" w:cs="맑은 고딕" w:eastAsia="맑은 고딕" w:hAnsi="맑은 고딕"/>
        </w:rPr>
        <w:t xml:space="preserve">[4] Y. Nir and A. Langley, "ChaCha20 and Poly1305 for IETF protocols," </w:t>
      </w:r>
      <w:r>
        <w:rPr>
          <w:rFonts w:ascii="맑은 고딕" w:cs="맑은 고딕" w:eastAsia="맑은 고딕" w:hAnsi="맑은 고딕"/>
          <w:i/>
          <w:iCs/>
        </w:rPr>
        <w:t xml:space="preserve">RFC 8439</w:t>
      </w:r>
      <w:r>
        <w:rPr>
          <w:rFonts w:ascii="맑은 고딕" w:cs="맑은 고딕" w:eastAsia="맑은 고딕" w:hAnsi="맑은 고딕"/>
        </w:rPr>
        <w:t xml:space="preserve">, 2018.  </w:t>
      </w:r>
    </w:p>
    <w:p>
      <w:pPr>
        <w:spacing w:after="200"/>
      </w:pPr>
      <w:r>
        <w:rPr>
          <w:rFonts w:ascii="맑은 고딕" w:cs="맑은 고딕" w:eastAsia="맑은 고딕" w:hAnsi="맑은 고딕"/>
        </w:rPr>
        <w:t xml:space="preserve">[5] E. B. Cohen and R. Winch, "Diploma and accreditation mills: New trends in credential abuse," </w:t>
      </w:r>
      <w:r>
        <w:rPr>
          <w:rFonts w:ascii="맑은 고딕" w:cs="맑은 고딕" w:eastAsia="맑은 고딕" w:hAnsi="맑은 고딕"/>
          <w:i/>
          <w:iCs/>
        </w:rPr>
        <w:t xml:space="preserve">Accredibase</w:t>
      </w:r>
      <w:r>
        <w:rPr>
          <w:rFonts w:ascii="맑은 고딕" w:cs="맑은 고딕" w:eastAsia="맑은 고딕" w:hAnsi="맑은 고딕"/>
        </w:rPr>
        <w:t xml:space="preserve">, 2011.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2026-04-01T17:38:12.436Z</dcterms:created>
  <dcterms:modified xsi:type="dcterms:W3CDTF">2026-04-01T17:38:12.436Z</dcterms:modified>
</cp:coreProperties>
</file>

<file path=docProps/custom.xml><?xml version="1.0" encoding="utf-8"?>
<Properties xmlns="http://schemas.openxmlformats.org/officeDocument/2006/custom-properties" xmlns:vt="http://schemas.openxmlformats.org/officeDocument/2006/docPropsVTypes"/>
</file>