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  <w:r>
        <w:t xml:space="preserve"/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E91E63"/>
          <w:sz w:val="22"/>
          <w:szCs w:val="22"/>
        </w:rPr>
        <w:t xml:space="preserve">SERVICE BRIEF — EMERGING TECH TESTING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0A2540"/>
          <w:sz w:val="72"/>
          <w:szCs w:val="72"/>
        </w:rPr>
        <w:t xml:space="preserve">QE for GenAI Applications (ValidAIte)</w:t>
      </w:r>
    </w:p>
    <w:p>
      <w:pPr>
        <w:pBdr>
          <w:bottom w:val="single" w:color="E91E63" w:sz="18" w:space="1"/>
        </w:pBdr>
        <w:spacing w:after="240" w:before="60"/>
      </w:pPr>
      <w:r>
        <w:t xml:space="preserve"/>
      </w:r>
    </w:p>
    <w:p>
      <w:pPr>
        <w:spacing w:after="360"/>
      </w:pPr>
      <w:r>
        <w:rPr>
          <w:rFonts w:ascii="Calibri" w:cs="Calibri" w:eastAsia="Calibri" w:hAnsi="Calibri"/>
          <w:color w:val="6B7280"/>
          <w:sz w:val="28"/>
          <w:szCs w:val="28"/>
        </w:rPr>
        <w:t xml:space="preserve">Premier quality engineering for GenAI applications — LLM agents, chatbots, and next-gen conversational experiences — delivered through ValidAIte.</w:t>
      </w:r>
    </w:p>
    <w:p>
      <w:pPr>
        <w:spacing w:after="120" w:before="6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A2540"/>
                <w:sz w:val="22"/>
                <w:szCs w:val="22"/>
              </w:rPr>
              <w:t xml:space="preserve">Service</w:t>
            </w:r>
          </w:p>
        </w:tc>
        <w:tc>
          <w:tcPr>
            <w:tcW w:type="dxa" w:w="6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QE for GenAI Applications (ValidAIte)</w:t>
            </w:r>
          </w:p>
        </w:tc>
      </w:tr>
      <w:tr>
        <w:tc>
          <w:tcPr>
            <w:tcW w:type="dxa" w:w="28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A2540"/>
                <w:sz w:val="22"/>
                <w:szCs w:val="22"/>
              </w:rPr>
              <w:t xml:space="preserve">Category</w:t>
            </w:r>
          </w:p>
        </w:tc>
        <w:tc>
          <w:tcPr>
            <w:tcW w:type="dxa" w:w="6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Emerging Tech Testing</w:t>
            </w:r>
          </w:p>
        </w:tc>
      </w:tr>
      <w:tr>
        <w:tc>
          <w:tcPr>
            <w:tcW w:type="dxa" w:w="28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A2540"/>
                <w:sz w:val="22"/>
                <w:szCs w:val="22"/>
              </w:rPr>
              <w:t xml:space="preserve">Official URL</w:t>
            </w:r>
          </w:p>
        </w:tc>
        <w:tc>
          <w:tcPr>
            <w:tcW w:type="dxa" w:w="6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https://qualizeal.com/services/qe-for-genai-applications/</w:t>
            </w:r>
          </w:p>
        </w:tc>
      </w:tr>
      <w:tr>
        <w:tc>
          <w:tcPr>
            <w:tcW w:type="dxa" w:w="28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A2540"/>
                <w:sz w:val="22"/>
                <w:szCs w:val="22"/>
              </w:rPr>
              <w:t xml:space="preserve">Version</w:t>
            </w:r>
          </w:p>
        </w:tc>
        <w:tc>
          <w:tcPr>
            <w:tcW w:type="dxa" w:w="6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May 2026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Overview</w:t>
      </w:r>
    </w:p>
    <w:p>
      <w:pPr>
        <w:spacing w:after="120"/>
      </w:pPr>
      <w:r>
        <w:rPr>
          <w:rFonts w:ascii="Calibri" w:cs="Calibri" w:eastAsia="Calibri" w:hAnsi="Calibri"/>
        </w:rPr>
        <w:t xml:space="preserve">This service line is the engagement front-door for ValidAIte. See the dedicated ValidAIte product brief for the full capability map, five-pillar architecture, and metrics surface.</w:t>
      </w:r>
    </w:p>
    <w:p>
      <w:pPr>
        <w:pStyle w:val="Heading2"/>
      </w:pPr>
      <w:r>
        <w:t xml:space="preserve">Positioning</w:t>
      </w:r>
    </w:p>
    <w:p>
      <w:pPr>
        <w:spacing w:after="120"/>
      </w:pPr>
      <w:r>
        <w:rPr>
          <w:rFonts w:ascii="Calibri" w:cs="Calibri" w:eastAsia="Calibri" w:hAnsi="Calibri"/>
        </w:rPr>
        <w:t xml:space="preserve">Premier quality engineering for GenAI applications — LLM agents, chatbots, and next-gen conversational experiences — delivered through ValidAIte.</w:t>
      </w:r>
    </w:p>
    <w:p>
      <w:pPr>
        <w:pStyle w:val="Heading2"/>
      </w:pPr>
      <w:r>
        <w:t xml:space="preserve">Core Capabilities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Functional and behavioral validation of GenAI applications.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Safety and security hardening, including OWASP LLM Top 10 harnesses.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Continuous quality telemetry across model, prompt, data, and policy changes.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Governance and compliance evidence aligned to EU AI Act, NIST AI RMF, ISO 42001.</w:t>
      </w:r>
    </w:p>
    <w:p>
      <w:pPr>
        <w:pStyle w:val="Heading2"/>
      </w:pPr>
      <w:r>
        <w:t xml:space="preserve">Who This Is For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A254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Persona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A254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How This Service Helps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CXOs &amp; Business Leaders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Build trust with customers, regulators, and boards.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Directors of Quality / Engineering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Scale GenAI confidently across enterprise systems.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QE Managers &amp; Architects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Operationalize GenAI quality with proven playbooks.</w:t>
            </w:r>
          </w:p>
        </w:tc>
      </w:tr>
    </w:tbl>
    <w:p>
      <w:pPr>
        <w:pStyle w:val="Heading2"/>
      </w:pPr>
      <w:r>
        <w:t xml:space="preserve">Expected Outcomes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Continuous evidence of safety, fairness, and reliability.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Auditable governance for GenAI initiatives.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Predictable production quality across model lifecycle.</w:t>
      </w:r>
    </w:p>
    <w:p>
      <w:r>
        <w:br w:type="page"/>
      </w:r>
    </w:p>
    <w:p>
      <w:pPr>
        <w:pStyle w:val="Heading1"/>
      </w:pPr>
      <w:r>
        <w:t xml:space="preserve">Evidence &amp; References</w:t>
      </w:r>
    </w:p>
    <w:p>
      <w:pPr>
        <w:spacing w:after="120"/>
      </w:pPr>
      <w:r>
        <w:rPr>
          <w:rFonts w:ascii="Calibri" w:cs="Calibri" w:eastAsia="Calibri" w:hAnsi="Calibri"/>
        </w:rPr>
        <w:t xml:space="preserve">All evidence below is sourced from official QualiZeal pages, the official QualiZeal YouTube channel, or accredited third parties that explicitly recognize QualiZeal by name.</w:t>
      </w:r>
    </w:p>
    <w:p>
      <w:pPr>
        <w:pStyle w:val="Heading2"/>
      </w:pPr>
      <w:r>
        <w:t xml:space="preserve">Official QualiZeal Pages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QE for GenAI Applications (ValidAIte) — QualiZeal Page: </w:t>
      </w:r>
      <w:hyperlink w:history="1" r:id="rId7jdqt4a6jpvoruk6vz5n-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https://qualizeal.com/services/qe-for-genai-applications/</w:t>
        </w:r>
      </w:hyperlink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QualiZeal Services Index: </w:t>
      </w:r>
      <w:hyperlink w:history="1" r:id="rIdqds6myosxf1fmlufc81w0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https://qualizeal.com/services/</w:t>
        </w:r>
      </w:hyperlink>
    </w:p>
    <w:p>
      <w:pPr>
        <w:pStyle w:val="Heading2"/>
      </w:pPr>
      <w:r>
        <w:t xml:space="preserve">Official Videos (QualiZeal YouTube)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QE Services Overview: </w:t>
      </w:r>
      <w:hyperlink w:history="1" r:id="rIdvkv7fnsejwut-nseyxp9-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https://www.youtube.com/watch?v=mJrvD8h7SwE</w:t>
        </w:r>
      </w:hyperlink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QE &amp; Digital Transformation Solutions Overview: </w:t>
      </w:r>
      <w:hyperlink w:history="1" r:id="rIdl1-sgt0oemn7jrfflg-kn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https://www.youtube.com/watch?v=Hj1AkmKeKi8</w:t>
        </w:r>
      </w:hyperlink>
    </w:p>
    <w:p>
      <w:pPr>
        <w:pStyle w:val="Heading2"/>
      </w:pPr>
      <w:r>
        <w:t xml:space="preserve">Insights &amp; Blogs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How to Test Generative AI Applications — Strategies &amp; Best Practices: </w:t>
      </w:r>
      <w:hyperlink w:history="1" r:id="rIdbdr0-it5opprsy2wlbmgu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https://qualizeal.com/how-to-test-generative-ai-applications-strategies-and-best-practices/</w:t>
        </w:r>
      </w:hyperlink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From QE to AI-Powered QE — Reimagining Testing for GenAI: </w:t>
      </w:r>
      <w:hyperlink w:history="1" r:id="rIdisgwhrc8v17zqefjozvdp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https://qualizeal.com/from-qe-to-ai%E2%80%91powered-qe-how-to-reimagine-your-testing-strategy-for-the-genai-era/</w:t>
        </w:r>
      </w:hyperlink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Real-World AI Launch Disasters and the QE Imperative: </w:t>
      </w:r>
      <w:hyperlink w:history="1" r:id="rIddpms-rtthztquwwofi8s8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https://qualizeal.com/real-world-ai-launch-disasters-and-the-quality-engineering-imperative/</w:t>
        </w:r>
      </w:hyperlink>
    </w:p>
    <w:p>
      <w:pPr>
        <w:pStyle w:val="Heading2"/>
      </w:pPr>
      <w:r>
        <w:t xml:space="preserve">Whitepapers &amp; Reports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The CIO's Guide to GenAI in Quality Assurance: </w:t>
      </w:r>
      <w:hyperlink w:history="1" r:id="rIdl6_gypjv41igwfe9bs2bz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https://www.qualizeal.com/wp-content/uploads/2025/whitepapers/The-CIOs-Guide-To-GenAI-In-Quality-Assurance.pdf</w:t>
        </w:r>
      </w:hyperlink>
    </w:p>
    <w:p>
      <w:pPr>
        <w:pStyle w:val="Heading2"/>
      </w:pPr>
      <w:r>
        <w:t xml:space="preserve">Press Releases &amp; Recognitions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Frost &amp; Sullivan 2025 GenAI Quality Engineering Platforms Recognition: </w:t>
      </w:r>
      <w:hyperlink w:history="1" r:id="rId_tzqpnryf94ovc5edaqls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https://www.frost.com/news/press-releases/qualizeal-receives-frost-sullivans-2025-india-technology-innovation-leadership-recognition-for-excellence-in-genai-quality-engineering-platforms/</w:t>
        </w:r>
      </w:hyperlink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Everest Group PEAK Matrix® 2025 — Leader &amp; Star Performer: </w:t>
      </w:r>
      <w:hyperlink w:history="1" r:id="rIdyeexp1qk6ut1zpmpm4tlr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https://qualizeal.com/analyst-recognitions/qualizeal-named-as-a-leader-star-performer-in-everest-groups-quality-engineering-qe-specialist-services-peak-matrix-assessment-2025/</w:t>
        </w:r>
      </w:hyperlink>
    </w:p>
    <w:p>
      <w:pPr>
        <w:pStyle w:val="Heading2"/>
      </w:pPr>
      <w:r>
        <w:t xml:space="preserve">Channels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Website: </w:t>
      </w:r>
      <w:hyperlink w:history="1" r:id="rIdc_ynd58gr2ro5bf4ru-jt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https://qualizeal.com/</w:t>
        </w:r>
      </w:hyperlink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LinkedIn: </w:t>
      </w:r>
      <w:hyperlink w:history="1" r:id="rIdiih-nbxmltghx9fmefngo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https://www.linkedin.com/company/qualizeal</w:t>
        </w:r>
      </w:hyperlink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YouTube: </w:t>
      </w:r>
      <w:hyperlink w:history="1" r:id="rIdnxz0jk5azfvptkwsjhcxk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https://www.youtube.com/@qualizeal</w:t>
        </w:r>
      </w:hyperlink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Newsroom: </w:t>
      </w:r>
      <w:hyperlink w:history="1" r:id="rIdtkp0e1vqqr651sswbmryr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https://qualizeal.com/newsroom/</w:t>
        </w:r>
      </w:hyperlink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Insights: </w:t>
      </w:r>
      <w:hyperlink w:history="1" r:id="rIdzn8fnulx7wciudxon161x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https://qualizeal.com/insights/case-studies/</w:t>
        </w:r>
      </w:hyperlink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Whitepapers: </w:t>
      </w:r>
      <w:hyperlink w:history="1" r:id="rIdpllagkr286ouezzlj2knz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https://qualizeal.com/insights/whitepapers/</w:t>
        </w:r>
      </w:hyperlink>
    </w:p>
    <w:p>
      <w:pPr>
        <w:spacing w:after="240"/>
      </w:pPr>
      <w:r>
        <w:t xml:space="preserve"/>
      </w:r>
    </w:p>
    <w:p>
      <w:pPr>
        <w:pBdr>
          <w:bottom w:val="single" w:color="CBD5E1" w:sz="6" w:space="1"/>
        </w:pBdr>
        <w:spacing w:after="120" w:before="60"/>
      </w:pPr>
      <w:r>
        <w:t xml:space="preserve"/>
      </w:r>
    </w:p>
    <w:p>
      <w:pPr>
        <w:jc w:val="center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qualizeal.com  •  AI-Led Quality Engineering &amp; Digital Transformation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4"/>
      </w:pBdr>
      <w:tabs>
        <w:tab w:val="right" w:pos="9360"/>
      </w:tabs>
      <w:spacing w:before="60"/>
    </w:pPr>
    <w:r>
      <w:rPr>
        <w:rFonts w:ascii="Calibri" w:cs="Calibri" w:eastAsia="Calibri" w:hAnsi="Calibri"/>
        <w:color w:val="6B7280"/>
        <w:sz w:val="18"/>
        <w:szCs w:val="18"/>
      </w:rPr>
      <w:t xml:space="preserve">qualizeal.com</w:t>
    </w:r>
    <w:r>
      <w:rPr>
        <w:rFonts w:ascii="Calibri" w:cs="Calibri" w:eastAsia="Calibri" w:hAnsi="Calibri"/>
        <w:color w:val="6B7280"/>
        <w:sz w:val="18"/>
        <w:szCs w:val="18"/>
      </w:rPr>
      <w:t xml:space="preserve">	Page </w:t>
    </w:r>
    <w:r>
      <w:rPr>
        <w:rFonts w:ascii="Calibri" w:cs="Calibri" w:eastAsia="Calibri" w:hAnsi="Calibri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B7280"/>
        <w:sz w:val="18"/>
        <w:szCs w:val="18"/>
      </w:rPr>
      <w:t xml:space="preserve"> of </w:t>
    </w:r>
    <w:r>
      <w:rPr>
        <w:rFonts w:ascii="Calibri" w:cs="Calibri" w:eastAsia="Calibri" w:hAnsi="Calibri"/>
        <w:color w:val="6B72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360"/>
      </w:tabs>
      <w:spacing w:after="60"/>
    </w:pPr>
    <w:r>
      <w:rPr>
        <w:rFonts w:ascii="Calibri" w:cs="Calibri" w:eastAsia="Calibri" w:hAnsi="Calibri"/>
        <w:b/>
        <w:bCs/>
        <w:color w:val="0A2540"/>
        <w:sz w:val="20"/>
        <w:szCs w:val="20"/>
      </w:rPr>
      <w:t xml:space="preserve">QualiZeal</w:t>
    </w:r>
    <w:r>
      <w:rPr>
        <w:rFonts w:ascii="Calibri" w:cs="Calibri" w:eastAsia="Calibri" w:hAnsi="Calibri"/>
        <w:color w:val="6B7280"/>
        <w:sz w:val="20"/>
        <w:szCs w:val="20"/>
      </w:rPr>
      <w:t xml:space="preserve">	QE for GenAI Applications (ValidAIte)</w:t>
    </w:r>
  </w:p>
  <w:p>
    <w:pPr>
      <w:pBdr>
        <w:bottom w:val="single" w:color="0A2540" w:sz="6" w:space="2"/>
      </w:pBdr>
    </w:pPr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540" w:hanging="270"/>
      </w:pPr>
      <w:rPr>
        <w:color w:val="E91E63"/>
      </w:rPr>
    </w:lvl>
    <w:lvl w:ilvl="1" w15:tentative="1">
      <w:start w:val="1"/>
      <w:numFmt w:val="bullet"/>
      <w:lvlText w:val="○"/>
      <w:lvlJc w:val="left"/>
      <w:pPr>
        <w:ind w:left="108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before="0"/>
    </w:pPr>
    <w:rPr>
      <w:rFonts w:ascii="Calibri" w:cs="Calibri" w:eastAsia="Calibri" w:hAnsi="Calibri"/>
      <w:b/>
      <w:bCs/>
      <w:color w:val="0A2540"/>
      <w:sz w:val="56"/>
      <w:szCs w:val="56"/>
    </w:rPr>
  </w:style>
  <w:style w:type="paragraph" w:styleId="Subtitle">
    <w:name w:val="Subtitle"/>
    <w:basedOn w:val="Normal"/>
    <w:next w:val="Normal"/>
    <w:qFormat/>
    <w:pPr>
      <w:spacing w:after="240" w:before="0"/>
    </w:pPr>
    <w:rPr>
      <w:rFonts w:ascii="Calibri" w:cs="Calibri" w:eastAsia="Calibri" w:hAnsi="Calibri"/>
      <w:color w:val="6B7280"/>
      <w:sz w:val="28"/>
      <w:szCs w:val="28"/>
    </w:rPr>
  </w:style>
  <w:style w:type="paragraph" w:styleId="Heading1">
    <w:name w:val="Heading 1"/>
    <w:basedOn w:val="Normal"/>
    <w:next w:val="Normal"/>
    <w:qFormat/>
    <w:pPr>
      <w:pBdr>
        <w:bottom w:val="single" w:color="0A2540" w:sz="6" w:space="4"/>
      </w:pBdr>
      <w:spacing w:after="180" w:before="360"/>
      <w:outlineLvl w:val="0"/>
    </w:pPr>
    <w:rPr>
      <w:rFonts w:ascii="Calibri" w:cs="Calibri" w:eastAsia="Calibri" w:hAnsi="Calibri"/>
      <w:b/>
      <w:bCs/>
      <w:color w:val="0A254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Calibri" w:cs="Calibri" w:eastAsia="Calibri" w:hAnsi="Calibri"/>
      <w:b/>
      <w:bCs/>
      <w:color w:val="1E3A8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Calibri" w:cs="Calibri" w:eastAsia="Calibri" w:hAnsi="Calibri"/>
      <w:b/>
      <w:bCs/>
      <w:color w:val="0F172A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60" w:before="160"/>
      <w:outlineLvl w:val="3"/>
    </w:pPr>
    <w:rPr>
      <w:rFonts w:ascii="Calibri" w:cs="Calibri" w:eastAsia="Calibri" w:hAnsi="Calibri"/>
      <w:b/>
      <w:bCs/>
      <w:i w:val="false"/>
      <w:iCs w:val="false"/>
      <w:color w:val="E91E63"/>
      <w:sz w:val="22"/>
      <w:szCs w:val="22"/>
    </w:rPr>
  </w:style>
  <w:style w:type="paragraph" w:styleId="Quote">
    <w:name w:val="Quote"/>
    <w:basedOn w:val="Normal"/>
    <w:next w:val="Normal"/>
    <w:qFormat/>
    <w:pPr>
      <w:pBdr>
        <w:left w:val="single" w:color="E91E63" w:sz="16" w:space="12"/>
      </w:pBdr>
      <w:spacing w:after="120" w:before="120"/>
      <w:ind w:left="360"/>
    </w:pPr>
    <w:rPr>
      <w:rFonts w:ascii="Calibri" w:cs="Calibri" w:eastAsia="Calibri" w:hAnsi="Calibri"/>
      <w:i/>
      <w:iCs/>
      <w:color w:val="1F2937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7jdqt4a6jpvoruk6vz5n-" Type="http://schemas.openxmlformats.org/officeDocument/2006/relationships/hyperlink" Target="https://qualizeal.com/services/qe-for-genai-applications/" TargetMode="External"/><Relationship Id="rIdqds6myosxf1fmlufc81w0" Type="http://schemas.openxmlformats.org/officeDocument/2006/relationships/hyperlink" Target="https://qualizeal.com/services/" TargetMode="External"/><Relationship Id="rIdvkv7fnsejwut-nseyxp9-" Type="http://schemas.openxmlformats.org/officeDocument/2006/relationships/hyperlink" Target="https://www.youtube.com/watch?v=mJrvD8h7SwE" TargetMode="External"/><Relationship Id="rIdl1-sgt0oemn7jrfflg-kn" Type="http://schemas.openxmlformats.org/officeDocument/2006/relationships/hyperlink" Target="https://www.youtube.com/watch?v=Hj1AkmKeKi8" TargetMode="External"/><Relationship Id="rIdbdr0-it5opprsy2wlbmgu" Type="http://schemas.openxmlformats.org/officeDocument/2006/relationships/hyperlink" Target="https://qualizeal.com/how-to-test-generative-ai-applications-strategies-and-best-practices/" TargetMode="External"/><Relationship Id="rIdisgwhrc8v17zqefjozvdp" Type="http://schemas.openxmlformats.org/officeDocument/2006/relationships/hyperlink" Target="https://qualizeal.com/from-qe-to-ai%E2%80%91powered-qe-how-to-reimagine-your-testing-strategy-for-the-genai-era/" TargetMode="External"/><Relationship Id="rIddpms-rtthztquwwofi8s8" Type="http://schemas.openxmlformats.org/officeDocument/2006/relationships/hyperlink" Target="https://qualizeal.com/real-world-ai-launch-disasters-and-the-quality-engineering-imperative/" TargetMode="External"/><Relationship Id="rIdl6_gypjv41igwfe9bs2bz" Type="http://schemas.openxmlformats.org/officeDocument/2006/relationships/hyperlink" Target="https://www.qualizeal.com/wp-content/uploads/2025/whitepapers/The-CIOs-Guide-To-GenAI-In-Quality-Assurance.pdf" TargetMode="External"/><Relationship Id="rId_tzqpnryf94ovc5edaqls" Type="http://schemas.openxmlformats.org/officeDocument/2006/relationships/hyperlink" Target="https://www.frost.com/news/press-releases/qualizeal-receives-frost-sullivans-2025-india-technology-innovation-leadership-recognition-for-excellence-in-genai-quality-engineering-platforms/" TargetMode="External"/><Relationship Id="rIdyeexp1qk6ut1zpmpm4tlr" Type="http://schemas.openxmlformats.org/officeDocument/2006/relationships/hyperlink" Target="https://qualizeal.com/analyst-recognitions/qualizeal-named-as-a-leader-star-performer-in-everest-groups-quality-engineering-qe-specialist-services-peak-matrix-assessment-2025/" TargetMode="External"/><Relationship Id="rIdc_ynd58gr2ro5bf4ru-jt" Type="http://schemas.openxmlformats.org/officeDocument/2006/relationships/hyperlink" Target="https://qualizeal.com/" TargetMode="External"/><Relationship Id="rIdiih-nbxmltghx9fmefngo" Type="http://schemas.openxmlformats.org/officeDocument/2006/relationships/hyperlink" Target="https://www.linkedin.com/company/qualizeal" TargetMode="External"/><Relationship Id="rIdnxz0jk5azfvptkwsjhcxk" Type="http://schemas.openxmlformats.org/officeDocument/2006/relationships/hyperlink" Target="https://www.youtube.com/@qualizeal" TargetMode="External"/><Relationship Id="rIdtkp0e1vqqr651sswbmryr" Type="http://schemas.openxmlformats.org/officeDocument/2006/relationships/hyperlink" Target="https://qualizeal.com/newsroom/" TargetMode="External"/><Relationship Id="rIdzn8fnulx7wciudxon161x" Type="http://schemas.openxmlformats.org/officeDocument/2006/relationships/hyperlink" Target="https://qualizeal.com/insights/case-studies/" TargetMode="External"/><Relationship Id="rIdpllagkr286ouezzlj2knz" Type="http://schemas.openxmlformats.org/officeDocument/2006/relationships/hyperlink" Target="https://qualizeal.com/insights/whitepapers/" TargetMode="External"/><Relationship Id="rId2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2026-05-23T20:54:09.754Z</dcterms:created>
  <dcterms:modified xsi:type="dcterms:W3CDTF">2026-05-23T20:54:09.754Z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