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200"/>
      </w:pPr>
      <w:r>
        <w:t xml:space="preserve"/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E91E63"/>
          <w:sz w:val="22"/>
          <w:szCs w:val="22"/>
        </w:rPr>
        <w:t xml:space="preserve">SERVICE BRIEF — DIGITAL ENGINEERING</w:t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0A2540"/>
          <w:sz w:val="72"/>
          <w:szCs w:val="72"/>
        </w:rPr>
        <w:t xml:space="preserve">Big Data Testing</w:t>
      </w:r>
    </w:p>
    <w:p>
      <w:pPr>
        <w:pBdr>
          <w:bottom w:val="single" w:color="E91E63" w:sz="18" w:space="1"/>
        </w:pBdr>
        <w:spacing w:after="240" w:before="60"/>
      </w:pPr>
      <w:r>
        <w:t xml:space="preserve"/>
      </w:r>
    </w:p>
    <w:p>
      <w:pPr>
        <w:spacing w:after="360"/>
      </w:pPr>
      <w:r>
        <w:rPr>
          <w:rFonts w:ascii="Calibri" w:cs="Calibri" w:eastAsia="Calibri" w:hAnsi="Calibri"/>
          <w:color w:val="6B7280"/>
          <w:sz w:val="28"/>
          <w:szCs w:val="28"/>
        </w:rPr>
        <w:t xml:space="preserve">Maximize data value, minimize risk — flawless big data testing for high-volume, high-velocity, high-variety pipelines.</w:t>
      </w:r>
    </w:p>
    <w:p>
      <w:pPr>
        <w:spacing w:after="120" w:before="6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80"/>
        <w:gridCol w:w="6480"/>
      </w:tblGrid>
      <w:tr>
        <w:tc>
          <w:tcPr>
            <w:tcW w:type="dxa" w:w="28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A2540"/>
                <w:sz w:val="22"/>
                <w:szCs w:val="22"/>
              </w:rPr>
              <w:t xml:space="preserve">Service</w:t>
            </w:r>
          </w:p>
        </w:tc>
        <w:tc>
          <w:tcPr>
            <w:tcW w:type="dxa" w:w="64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F2937"/>
                <w:sz w:val="22"/>
                <w:szCs w:val="22"/>
              </w:rPr>
              <w:t xml:space="preserve">Big Data Testing</w:t>
            </w:r>
          </w:p>
        </w:tc>
      </w:tr>
      <w:tr>
        <w:tc>
          <w:tcPr>
            <w:tcW w:type="dxa" w:w="28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A2540"/>
                <w:sz w:val="22"/>
                <w:szCs w:val="22"/>
              </w:rPr>
              <w:t xml:space="preserve">Category</w:t>
            </w:r>
          </w:p>
        </w:tc>
        <w:tc>
          <w:tcPr>
            <w:tcW w:type="dxa" w:w="64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F2937"/>
                <w:sz w:val="22"/>
                <w:szCs w:val="22"/>
              </w:rPr>
              <w:t xml:space="preserve">Digital Engineering</w:t>
            </w:r>
          </w:p>
        </w:tc>
      </w:tr>
      <w:tr>
        <w:tc>
          <w:tcPr>
            <w:tcW w:type="dxa" w:w="28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A2540"/>
                <w:sz w:val="22"/>
                <w:szCs w:val="22"/>
              </w:rPr>
              <w:t xml:space="preserve">Official URL</w:t>
            </w:r>
          </w:p>
        </w:tc>
        <w:tc>
          <w:tcPr>
            <w:tcW w:type="dxa" w:w="64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F2937"/>
                <w:sz w:val="22"/>
                <w:szCs w:val="22"/>
              </w:rPr>
              <w:t xml:space="preserve">https://qualizeal.com/services/data-analytics-testing/</w:t>
            </w:r>
          </w:p>
        </w:tc>
      </w:tr>
      <w:tr>
        <w:tc>
          <w:tcPr>
            <w:tcW w:type="dxa" w:w="28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A2540"/>
                <w:sz w:val="22"/>
                <w:szCs w:val="22"/>
              </w:rPr>
              <w:t xml:space="preserve">Version</w:t>
            </w:r>
          </w:p>
        </w:tc>
        <w:tc>
          <w:tcPr>
            <w:tcW w:type="dxa" w:w="64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F2937"/>
                <w:sz w:val="22"/>
                <w:szCs w:val="22"/>
              </w:rPr>
              <w:t xml:space="preserve">May 2026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Contents</w:t>
      </w:r>
    </w:p>
    <w:sdt>
      <w:sdtPr>
        <w:alias w:val="Contents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t xml:space="preserve">Overview</w:t>
      </w:r>
    </w:p>
    <w:p>
      <w:pPr>
        <w:spacing w:after="120"/>
      </w:pPr>
      <w:r>
        <w:rPr>
          <w:rFonts w:ascii="Calibri" w:cs="Calibri" w:eastAsia="Calibri" w:hAnsi="Calibri"/>
        </w:rPr>
        <w:t xml:space="preserve">Big Data Testing at QualiZeal validates ingestion, transformation, storage, and consumption across modern data platforms — Snowflake, Databricks, BigQuery, Redshift — with attention to data quality, performance, and lineage.</w:t>
      </w:r>
    </w:p>
    <w:p>
      <w:pPr>
        <w:pStyle w:val="Heading2"/>
      </w:pPr>
      <w:r>
        <w:t xml:space="preserve">Positioning</w:t>
      </w:r>
    </w:p>
    <w:p>
      <w:pPr>
        <w:spacing w:after="120"/>
      </w:pPr>
      <w:r>
        <w:rPr>
          <w:rFonts w:ascii="Calibri" w:cs="Calibri" w:eastAsia="Calibri" w:hAnsi="Calibri"/>
        </w:rPr>
        <w:t xml:space="preserve">Maximize data value, minimize risk — flawless big data testing for high-volume, high-velocity, high-variety pipelines.</w:t>
      </w:r>
    </w:p>
    <w:p>
      <w:pPr>
        <w:pStyle w:val="Heading2"/>
      </w:pPr>
      <w:r>
        <w:t xml:space="preserve">Core Capabilities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Data ingestion and ETL validation.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Data quality testing (completeness, accuracy, consistency, timeliness).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Schema-evolution testing.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Big data performance testing.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Data lineage and observability validation.</w:t>
      </w:r>
    </w:p>
    <w:p>
      <w:pPr>
        <w:pStyle w:val="Heading2"/>
      </w:pPr>
      <w:r>
        <w:t xml:space="preserve">Who This Is For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A254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Persona</w:t>
            </w:r>
          </w:p>
        </w:tc>
        <w:tc>
          <w:tcPr>
            <w:tcW w:type="dxa" w:w="46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A254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How This Service Helps</w:t>
            </w:r>
          </w:p>
        </w:tc>
      </w:tr>
      <w:tr>
        <w:tc>
          <w:tcPr>
            <w:tcW w:type="dxa" w:w="46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Heads of Data</w:t>
            </w:r>
          </w:p>
        </w:tc>
        <w:tc>
          <w:tcPr>
            <w:tcW w:type="dxa" w:w="46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Trustworthy data products at enterprise scale.</w:t>
            </w:r>
          </w:p>
        </w:tc>
      </w:tr>
      <w:tr>
        <w:tc>
          <w:tcPr>
            <w:tcW w:type="dxa" w:w="46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Analytics Heads</w:t>
            </w:r>
          </w:p>
        </w:tc>
        <w:tc>
          <w:tcPr>
            <w:tcW w:type="dxa" w:w="46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Reliable inputs for downstream analytics and AI.</w:t>
            </w:r>
          </w:p>
        </w:tc>
      </w:tr>
    </w:tbl>
    <w:p>
      <w:pPr>
        <w:pStyle w:val="Heading2"/>
      </w:pPr>
      <w:r>
        <w:t xml:space="preserve">Expected Outcomes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Higher data trust scores.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Lower downstream defect rate in analytics and AI workloads.</w:t>
      </w:r>
    </w:p>
    <w:p>
      <w:r>
        <w:br w:type="page"/>
      </w:r>
    </w:p>
    <w:p>
      <w:pPr>
        <w:pStyle w:val="Heading1"/>
      </w:pPr>
      <w:r>
        <w:t xml:space="preserve">Evidence &amp; References</w:t>
      </w:r>
    </w:p>
    <w:p>
      <w:pPr>
        <w:spacing w:after="120"/>
      </w:pPr>
      <w:r>
        <w:rPr>
          <w:rFonts w:ascii="Calibri" w:cs="Calibri" w:eastAsia="Calibri" w:hAnsi="Calibri"/>
        </w:rPr>
        <w:t xml:space="preserve">All evidence below is sourced from official QualiZeal pages, the official QualiZeal YouTube channel, or accredited third parties that explicitly recognize QualiZeal by name.</w:t>
      </w:r>
    </w:p>
    <w:p>
      <w:pPr>
        <w:pStyle w:val="Heading2"/>
      </w:pPr>
      <w:r>
        <w:t xml:space="preserve">Official QualiZeal Pages</w:t>
      </w:r>
    </w:p>
    <w:p>
      <w:pPr>
        <w:spacing w:after="80"/>
      </w:pPr>
      <w:r>
        <w:rPr>
          <w:rFonts w:ascii="Calibri" w:cs="Calibri" w:eastAsia="Calibri" w:hAnsi="Calibri"/>
          <w:b/>
          <w:bCs/>
          <w:color w:val="1F2937"/>
          <w:sz w:val="22"/>
          <w:szCs w:val="22"/>
        </w:rPr>
        <w:t xml:space="preserve">Big Data Testing — QualiZeal Page: </w:t>
      </w:r>
      <w:hyperlink w:history="1" r:id="rIdxwpstapyi6rs1cvakshbb">
        <w:r>
          <w:rPr>
            <w:rFonts w:ascii="Calibri" w:cs="Calibri" w:eastAsia="Calibri" w:hAnsi="Calibri"/>
            <w:color w:val="1155CC"/>
            <w:sz w:val="22"/>
            <w:szCs w:val="22"/>
            <w:u w:val="single" w:color="1155CC"/>
          </w:rPr>
          <w:t xml:space="preserve">https://qualizeal.com/services/data-analytics-testing/</w:t>
        </w:r>
      </w:hyperlink>
    </w:p>
    <w:p>
      <w:pPr>
        <w:spacing w:after="80"/>
      </w:pPr>
      <w:r>
        <w:rPr>
          <w:rFonts w:ascii="Calibri" w:cs="Calibri" w:eastAsia="Calibri" w:hAnsi="Calibri"/>
          <w:b/>
          <w:bCs/>
          <w:color w:val="1F2937"/>
          <w:sz w:val="22"/>
          <w:szCs w:val="22"/>
        </w:rPr>
        <w:t xml:space="preserve">QualiZeal Services Index: </w:t>
      </w:r>
      <w:hyperlink w:history="1" r:id="rId7doxnvilw_7rbe_ndw_to">
        <w:r>
          <w:rPr>
            <w:rFonts w:ascii="Calibri" w:cs="Calibri" w:eastAsia="Calibri" w:hAnsi="Calibri"/>
            <w:color w:val="1155CC"/>
            <w:sz w:val="22"/>
            <w:szCs w:val="22"/>
            <w:u w:val="single" w:color="1155CC"/>
          </w:rPr>
          <w:t xml:space="preserve">https://qualizeal.com/services/</w:t>
        </w:r>
      </w:hyperlink>
    </w:p>
    <w:p>
      <w:pPr>
        <w:pStyle w:val="Heading2"/>
      </w:pPr>
      <w:r>
        <w:t xml:space="preserve">Official Videos (QualiZeal YouTube)</w:t>
      </w:r>
    </w:p>
    <w:p>
      <w:pPr>
        <w:spacing w:after="80"/>
      </w:pPr>
      <w:r>
        <w:rPr>
          <w:rFonts w:ascii="Calibri" w:cs="Calibri" w:eastAsia="Calibri" w:hAnsi="Calibri"/>
          <w:b/>
          <w:bCs/>
          <w:color w:val="1F2937"/>
          <w:sz w:val="22"/>
          <w:szCs w:val="22"/>
        </w:rPr>
        <w:t xml:space="preserve">QE Services Overview: </w:t>
      </w:r>
      <w:hyperlink w:history="1" r:id="rIdw3k5lqxjxdegcmvsrvfff">
        <w:r>
          <w:rPr>
            <w:rFonts w:ascii="Calibri" w:cs="Calibri" w:eastAsia="Calibri" w:hAnsi="Calibri"/>
            <w:color w:val="1155CC"/>
            <w:sz w:val="22"/>
            <w:szCs w:val="22"/>
            <w:u w:val="single" w:color="1155CC"/>
          </w:rPr>
          <w:t xml:space="preserve">https://www.youtube.com/watch?v=mJrvD8h7SwE</w:t>
        </w:r>
      </w:hyperlink>
    </w:p>
    <w:p>
      <w:pPr>
        <w:spacing w:after="80"/>
      </w:pPr>
      <w:r>
        <w:rPr>
          <w:rFonts w:ascii="Calibri" w:cs="Calibri" w:eastAsia="Calibri" w:hAnsi="Calibri"/>
          <w:b/>
          <w:bCs/>
          <w:color w:val="1F2937"/>
          <w:sz w:val="22"/>
          <w:szCs w:val="22"/>
        </w:rPr>
        <w:t xml:space="preserve">QE &amp; Digital Transformation Solutions Overview: </w:t>
      </w:r>
      <w:hyperlink w:history="1" r:id="rIdd-dztpuuqwvyimn5mav0y">
        <w:r>
          <w:rPr>
            <w:rFonts w:ascii="Calibri" w:cs="Calibri" w:eastAsia="Calibri" w:hAnsi="Calibri"/>
            <w:color w:val="1155CC"/>
            <w:sz w:val="22"/>
            <w:szCs w:val="22"/>
            <w:u w:val="single" w:color="1155CC"/>
          </w:rPr>
          <w:t xml:space="preserve">https://www.youtube.com/watch?v=Hj1AkmKeKi8</w:t>
        </w:r>
      </w:hyperlink>
    </w:p>
    <w:p>
      <w:pPr>
        <w:pStyle w:val="Heading2"/>
      </w:pPr>
      <w:r>
        <w:t xml:space="preserve">Press Releases &amp; Recognitions</w:t>
      </w:r>
    </w:p>
    <w:p>
      <w:pPr>
        <w:spacing w:after="80"/>
      </w:pPr>
      <w:r>
        <w:rPr>
          <w:rFonts w:ascii="Calibri" w:cs="Calibri" w:eastAsia="Calibri" w:hAnsi="Calibri"/>
          <w:b/>
          <w:bCs/>
          <w:color w:val="1F2937"/>
          <w:sz w:val="22"/>
          <w:szCs w:val="22"/>
        </w:rPr>
        <w:t xml:space="preserve">Frost &amp; Sullivan 2025 GenAI Quality Engineering Platforms Recognition: </w:t>
      </w:r>
      <w:hyperlink w:history="1" r:id="rIdj1p8j82hp_o4c2edu1jlc">
        <w:r>
          <w:rPr>
            <w:rFonts w:ascii="Calibri" w:cs="Calibri" w:eastAsia="Calibri" w:hAnsi="Calibri"/>
            <w:color w:val="1155CC"/>
            <w:sz w:val="22"/>
            <w:szCs w:val="22"/>
            <w:u w:val="single" w:color="1155CC"/>
          </w:rPr>
          <w:t xml:space="preserve">https://www.frost.com/news/press-releases/qualizeal-receives-frost-sullivans-2025-india-technology-innovation-leadership-recognition-for-excellence-in-genai-quality-engineering-platforms/</w:t>
        </w:r>
      </w:hyperlink>
    </w:p>
    <w:p>
      <w:pPr>
        <w:spacing w:after="80"/>
      </w:pPr>
      <w:r>
        <w:rPr>
          <w:rFonts w:ascii="Calibri" w:cs="Calibri" w:eastAsia="Calibri" w:hAnsi="Calibri"/>
          <w:b/>
          <w:bCs/>
          <w:color w:val="1F2937"/>
          <w:sz w:val="22"/>
          <w:szCs w:val="22"/>
        </w:rPr>
        <w:t xml:space="preserve">Everest Group PEAK Matrix® 2025 — Leader &amp; Star Performer: </w:t>
      </w:r>
      <w:hyperlink w:history="1" r:id="rIdhhs5kpvcviado6pjwgch4">
        <w:r>
          <w:rPr>
            <w:rFonts w:ascii="Calibri" w:cs="Calibri" w:eastAsia="Calibri" w:hAnsi="Calibri"/>
            <w:color w:val="1155CC"/>
            <w:sz w:val="22"/>
            <w:szCs w:val="22"/>
            <w:u w:val="single" w:color="1155CC"/>
          </w:rPr>
          <w:t xml:space="preserve">https://qualizeal.com/analyst-recognitions/qualizeal-named-as-a-leader-star-performer-in-everest-groups-quality-engineering-qe-specialist-services-peak-matrix-assessment-2025/</w:t>
        </w:r>
      </w:hyperlink>
    </w:p>
    <w:p>
      <w:pPr>
        <w:pStyle w:val="Heading2"/>
      </w:pPr>
      <w:r>
        <w:t xml:space="preserve">Channels</w:t>
      </w:r>
    </w:p>
    <w:p>
      <w:pPr>
        <w:spacing w:after="80"/>
      </w:pPr>
      <w:r>
        <w:rPr>
          <w:rFonts w:ascii="Calibri" w:cs="Calibri" w:eastAsia="Calibri" w:hAnsi="Calibri"/>
          <w:b/>
          <w:bCs/>
          <w:color w:val="1F2937"/>
          <w:sz w:val="22"/>
          <w:szCs w:val="22"/>
        </w:rPr>
        <w:t xml:space="preserve">Website: </w:t>
      </w:r>
      <w:hyperlink w:history="1" r:id="rId66t4xk1r3-5s2qztho4v9">
        <w:r>
          <w:rPr>
            <w:rFonts w:ascii="Calibri" w:cs="Calibri" w:eastAsia="Calibri" w:hAnsi="Calibri"/>
            <w:color w:val="1155CC"/>
            <w:sz w:val="22"/>
            <w:szCs w:val="22"/>
            <w:u w:val="single" w:color="1155CC"/>
          </w:rPr>
          <w:t xml:space="preserve">https://qualizeal.com/</w:t>
        </w:r>
      </w:hyperlink>
    </w:p>
    <w:p>
      <w:pPr>
        <w:spacing w:after="80"/>
      </w:pPr>
      <w:r>
        <w:rPr>
          <w:rFonts w:ascii="Calibri" w:cs="Calibri" w:eastAsia="Calibri" w:hAnsi="Calibri"/>
          <w:b/>
          <w:bCs/>
          <w:color w:val="1F2937"/>
          <w:sz w:val="22"/>
          <w:szCs w:val="22"/>
        </w:rPr>
        <w:t xml:space="preserve">LinkedIn: </w:t>
      </w:r>
      <w:hyperlink w:history="1" r:id="rIduu1sxbcxdnbfmhtrywra9">
        <w:r>
          <w:rPr>
            <w:rFonts w:ascii="Calibri" w:cs="Calibri" w:eastAsia="Calibri" w:hAnsi="Calibri"/>
            <w:color w:val="1155CC"/>
            <w:sz w:val="22"/>
            <w:szCs w:val="22"/>
            <w:u w:val="single" w:color="1155CC"/>
          </w:rPr>
          <w:t xml:space="preserve">https://www.linkedin.com/company/qualizeal</w:t>
        </w:r>
      </w:hyperlink>
    </w:p>
    <w:p>
      <w:pPr>
        <w:spacing w:after="80"/>
      </w:pPr>
      <w:r>
        <w:rPr>
          <w:rFonts w:ascii="Calibri" w:cs="Calibri" w:eastAsia="Calibri" w:hAnsi="Calibri"/>
          <w:b/>
          <w:bCs/>
          <w:color w:val="1F2937"/>
          <w:sz w:val="22"/>
          <w:szCs w:val="22"/>
        </w:rPr>
        <w:t xml:space="preserve">YouTube: </w:t>
      </w:r>
      <w:hyperlink w:history="1" r:id="rIdjob5hxpofsdvtzpi5lpp9">
        <w:r>
          <w:rPr>
            <w:rFonts w:ascii="Calibri" w:cs="Calibri" w:eastAsia="Calibri" w:hAnsi="Calibri"/>
            <w:color w:val="1155CC"/>
            <w:sz w:val="22"/>
            <w:szCs w:val="22"/>
            <w:u w:val="single" w:color="1155CC"/>
          </w:rPr>
          <w:t xml:space="preserve">https://www.youtube.com/@qualizeal</w:t>
        </w:r>
      </w:hyperlink>
    </w:p>
    <w:p>
      <w:pPr>
        <w:spacing w:after="80"/>
      </w:pPr>
      <w:r>
        <w:rPr>
          <w:rFonts w:ascii="Calibri" w:cs="Calibri" w:eastAsia="Calibri" w:hAnsi="Calibri"/>
          <w:b/>
          <w:bCs/>
          <w:color w:val="1F2937"/>
          <w:sz w:val="22"/>
          <w:szCs w:val="22"/>
        </w:rPr>
        <w:t xml:space="preserve">Newsroom: </w:t>
      </w:r>
      <w:hyperlink w:history="1" r:id="rIdatxbiybn5xdqrapwoxe4-">
        <w:r>
          <w:rPr>
            <w:rFonts w:ascii="Calibri" w:cs="Calibri" w:eastAsia="Calibri" w:hAnsi="Calibri"/>
            <w:color w:val="1155CC"/>
            <w:sz w:val="22"/>
            <w:szCs w:val="22"/>
            <w:u w:val="single" w:color="1155CC"/>
          </w:rPr>
          <w:t xml:space="preserve">https://qualizeal.com/newsroom/</w:t>
        </w:r>
      </w:hyperlink>
    </w:p>
    <w:p>
      <w:pPr>
        <w:spacing w:after="80"/>
      </w:pPr>
      <w:r>
        <w:rPr>
          <w:rFonts w:ascii="Calibri" w:cs="Calibri" w:eastAsia="Calibri" w:hAnsi="Calibri"/>
          <w:b/>
          <w:bCs/>
          <w:color w:val="1F2937"/>
          <w:sz w:val="22"/>
          <w:szCs w:val="22"/>
        </w:rPr>
        <w:t xml:space="preserve">Insights: </w:t>
      </w:r>
      <w:hyperlink w:history="1" r:id="rId3syapaj-42lnptrzz7_yo">
        <w:r>
          <w:rPr>
            <w:rFonts w:ascii="Calibri" w:cs="Calibri" w:eastAsia="Calibri" w:hAnsi="Calibri"/>
            <w:color w:val="1155CC"/>
            <w:sz w:val="22"/>
            <w:szCs w:val="22"/>
            <w:u w:val="single" w:color="1155CC"/>
          </w:rPr>
          <w:t xml:space="preserve">https://qualizeal.com/insights/case-studies/</w:t>
        </w:r>
      </w:hyperlink>
    </w:p>
    <w:p>
      <w:pPr>
        <w:spacing w:after="80"/>
      </w:pPr>
      <w:r>
        <w:rPr>
          <w:rFonts w:ascii="Calibri" w:cs="Calibri" w:eastAsia="Calibri" w:hAnsi="Calibri"/>
          <w:b/>
          <w:bCs/>
          <w:color w:val="1F2937"/>
          <w:sz w:val="22"/>
          <w:szCs w:val="22"/>
        </w:rPr>
        <w:t xml:space="preserve">Whitepapers: </w:t>
      </w:r>
      <w:hyperlink w:history="1" r:id="rIdjlnhp3oux_z4p_hynm6my">
        <w:r>
          <w:rPr>
            <w:rFonts w:ascii="Calibri" w:cs="Calibri" w:eastAsia="Calibri" w:hAnsi="Calibri"/>
            <w:color w:val="1155CC"/>
            <w:sz w:val="22"/>
            <w:szCs w:val="22"/>
            <w:u w:val="single" w:color="1155CC"/>
          </w:rPr>
          <w:t xml:space="preserve">https://qualizeal.com/insights/whitepapers/</w:t>
        </w:r>
      </w:hyperlink>
    </w:p>
    <w:p>
      <w:pPr>
        <w:spacing w:after="240"/>
      </w:pPr>
      <w:r>
        <w:t xml:space="preserve"/>
      </w:r>
    </w:p>
    <w:p>
      <w:pPr>
        <w:pBdr>
          <w:bottom w:val="single" w:color="CBD5E1" w:sz="6" w:space="1"/>
        </w:pBdr>
        <w:spacing w:after="120" w:before="60"/>
      </w:pPr>
      <w:r>
        <w:t xml:space="preserve"/>
      </w:r>
    </w:p>
    <w:p>
      <w:pPr>
        <w:jc w:val="center"/>
      </w:pPr>
      <w:r>
        <w:rPr>
          <w:rFonts w:ascii="Calibri" w:cs="Calibri" w:eastAsia="Calibri" w:hAnsi="Calibri"/>
          <w:i/>
          <w:iCs/>
          <w:color w:val="6B7280"/>
          <w:sz w:val="20"/>
          <w:szCs w:val="20"/>
        </w:rPr>
        <w:t xml:space="preserve">qualizeal.com  •  AI-Led Quality Engineering &amp; Digital Transformation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BD5E1" w:sz="4" w:space="4"/>
      </w:pBdr>
      <w:tabs>
        <w:tab w:val="right" w:pos="9360"/>
      </w:tabs>
      <w:spacing w:before="60"/>
    </w:pPr>
    <w:r>
      <w:rPr>
        <w:rFonts w:ascii="Calibri" w:cs="Calibri" w:eastAsia="Calibri" w:hAnsi="Calibri"/>
        <w:color w:val="6B7280"/>
        <w:sz w:val="18"/>
        <w:szCs w:val="18"/>
      </w:rPr>
      <w:t xml:space="preserve">qualizeal.com</w:t>
    </w:r>
    <w:r>
      <w:rPr>
        <w:rFonts w:ascii="Calibri" w:cs="Calibri" w:eastAsia="Calibri" w:hAnsi="Calibri"/>
        <w:color w:val="6B7280"/>
        <w:sz w:val="18"/>
        <w:szCs w:val="18"/>
      </w:rPr>
      <w:t xml:space="preserve">	Page </w:t>
    </w:r>
    <w:r>
      <w:rPr>
        <w:rFonts w:ascii="Calibri" w:cs="Calibri" w:eastAsia="Calibri" w:hAnsi="Calibri"/>
        <w:color w:val="6B7280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6B7280"/>
        <w:sz w:val="18"/>
        <w:szCs w:val="18"/>
      </w:rPr>
      <w:t xml:space="preserve"> of </w:t>
    </w:r>
    <w:r>
      <w:rPr>
        <w:rFonts w:ascii="Calibri" w:cs="Calibri" w:eastAsia="Calibri" w:hAnsi="Calibri"/>
        <w:color w:val="6B7280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tabs>
        <w:tab w:val="right" w:pos="9360"/>
      </w:tabs>
      <w:spacing w:after="60"/>
    </w:pPr>
    <w:r>
      <w:rPr>
        <w:rFonts w:ascii="Calibri" w:cs="Calibri" w:eastAsia="Calibri" w:hAnsi="Calibri"/>
        <w:b/>
        <w:bCs/>
        <w:color w:val="0A2540"/>
        <w:sz w:val="20"/>
        <w:szCs w:val="20"/>
      </w:rPr>
      <w:t xml:space="preserve">QualiZeal</w:t>
    </w:r>
    <w:r>
      <w:rPr>
        <w:rFonts w:ascii="Calibri" w:cs="Calibri" w:eastAsia="Calibri" w:hAnsi="Calibri"/>
        <w:color w:val="6B7280"/>
        <w:sz w:val="20"/>
        <w:szCs w:val="20"/>
      </w:rPr>
      <w:t xml:space="preserve">	Big Data Testing</w:t>
    </w:r>
  </w:p>
  <w:p>
    <w:pPr>
      <w:pBdr>
        <w:bottom w:val="single" w:color="0A2540" w:sz="6" w:space="2"/>
      </w:pBdr>
    </w:pPr>
    <w:r>
      <w:t xml:space="preserve"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540" w:hanging="270"/>
      </w:pPr>
      <w:rPr>
        <w:color w:val="E91E63"/>
      </w:rPr>
    </w:lvl>
    <w:lvl w:ilvl="1" w15:tentative="1">
      <w:start w:val="1"/>
      <w:numFmt w:val="bullet"/>
      <w:lvlText w:val="○"/>
      <w:lvlJc w:val="left"/>
      <w:pPr>
        <w:ind w:left="1080" w:hanging="27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F2937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next w:val="Normal"/>
    <w:qFormat/>
    <w:pPr>
      <w:spacing w:after="240" w:before="0"/>
    </w:pPr>
    <w:rPr>
      <w:rFonts w:ascii="Calibri" w:cs="Calibri" w:eastAsia="Calibri" w:hAnsi="Calibri"/>
      <w:b/>
      <w:bCs/>
      <w:color w:val="0A2540"/>
      <w:sz w:val="56"/>
      <w:szCs w:val="56"/>
    </w:rPr>
  </w:style>
  <w:style w:type="paragraph" w:styleId="Subtitle">
    <w:name w:val="Subtitle"/>
    <w:basedOn w:val="Normal"/>
    <w:next w:val="Normal"/>
    <w:qFormat/>
    <w:pPr>
      <w:spacing w:after="240" w:before="0"/>
    </w:pPr>
    <w:rPr>
      <w:rFonts w:ascii="Calibri" w:cs="Calibri" w:eastAsia="Calibri" w:hAnsi="Calibri"/>
      <w:color w:val="6B7280"/>
      <w:sz w:val="28"/>
      <w:szCs w:val="28"/>
    </w:rPr>
  </w:style>
  <w:style w:type="paragraph" w:styleId="Heading1">
    <w:name w:val="Heading 1"/>
    <w:basedOn w:val="Normal"/>
    <w:next w:val="Normal"/>
    <w:qFormat/>
    <w:pPr>
      <w:pBdr>
        <w:bottom w:val="single" w:color="0A2540" w:sz="6" w:space="4"/>
      </w:pBdr>
      <w:spacing w:after="180" w:before="360"/>
      <w:outlineLvl w:val="0"/>
    </w:pPr>
    <w:rPr>
      <w:rFonts w:ascii="Calibri" w:cs="Calibri" w:eastAsia="Calibri" w:hAnsi="Calibri"/>
      <w:b/>
      <w:bCs/>
      <w:color w:val="0A2540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Calibri" w:cs="Calibri" w:eastAsia="Calibri" w:hAnsi="Calibri"/>
      <w:b/>
      <w:bCs/>
      <w:color w:val="1E3A8A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00" w:before="220"/>
      <w:outlineLvl w:val="2"/>
    </w:pPr>
    <w:rPr>
      <w:rFonts w:ascii="Calibri" w:cs="Calibri" w:eastAsia="Calibri" w:hAnsi="Calibri"/>
      <w:b/>
      <w:bCs/>
      <w:color w:val="0F172A"/>
      <w:sz w:val="24"/>
      <w:szCs w:val="24"/>
    </w:rPr>
  </w:style>
  <w:style w:type="paragraph" w:styleId="Heading4">
    <w:name w:val="Heading 4"/>
    <w:basedOn w:val="Normal"/>
    <w:next w:val="Normal"/>
    <w:qFormat/>
    <w:pPr>
      <w:spacing w:after="60" w:before="160"/>
      <w:outlineLvl w:val="3"/>
    </w:pPr>
    <w:rPr>
      <w:rFonts w:ascii="Calibri" w:cs="Calibri" w:eastAsia="Calibri" w:hAnsi="Calibri"/>
      <w:b/>
      <w:bCs/>
      <w:i w:val="false"/>
      <w:iCs w:val="false"/>
      <w:color w:val="E91E63"/>
      <w:sz w:val="22"/>
      <w:szCs w:val="22"/>
    </w:rPr>
  </w:style>
  <w:style w:type="paragraph" w:styleId="Quote">
    <w:name w:val="Quote"/>
    <w:basedOn w:val="Normal"/>
    <w:next w:val="Normal"/>
    <w:qFormat/>
    <w:pPr>
      <w:pBdr>
        <w:left w:val="single" w:color="E91E63" w:sz="16" w:space="12"/>
      </w:pBdr>
      <w:spacing w:after="120" w:before="120"/>
      <w:ind w:left="360"/>
    </w:pPr>
    <w:rPr>
      <w:rFonts w:ascii="Calibri" w:cs="Calibri" w:eastAsia="Calibri" w:hAnsi="Calibri"/>
      <w:i/>
      <w:iCs/>
      <w:color w:val="1F2937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xwpstapyi6rs1cvakshbb" Type="http://schemas.openxmlformats.org/officeDocument/2006/relationships/hyperlink" Target="https://qualizeal.com/services/data-analytics-testing/" TargetMode="External"/><Relationship Id="rId7doxnvilw_7rbe_ndw_to" Type="http://schemas.openxmlformats.org/officeDocument/2006/relationships/hyperlink" Target="https://qualizeal.com/services/" TargetMode="External"/><Relationship Id="rIdw3k5lqxjxdegcmvsrvfff" Type="http://schemas.openxmlformats.org/officeDocument/2006/relationships/hyperlink" Target="https://www.youtube.com/watch?v=mJrvD8h7SwE" TargetMode="External"/><Relationship Id="rIdd-dztpuuqwvyimn5mav0y" Type="http://schemas.openxmlformats.org/officeDocument/2006/relationships/hyperlink" Target="https://www.youtube.com/watch?v=Hj1AkmKeKi8" TargetMode="External"/><Relationship Id="rIdj1p8j82hp_o4c2edu1jlc" Type="http://schemas.openxmlformats.org/officeDocument/2006/relationships/hyperlink" Target="https://www.frost.com/news/press-releases/qualizeal-receives-frost-sullivans-2025-india-technology-innovation-leadership-recognition-for-excellence-in-genai-quality-engineering-platforms/" TargetMode="External"/><Relationship Id="rIdhhs5kpvcviado6pjwgch4" Type="http://schemas.openxmlformats.org/officeDocument/2006/relationships/hyperlink" Target="https://qualizeal.com/analyst-recognitions/qualizeal-named-as-a-leader-star-performer-in-everest-groups-quality-engineering-qe-specialist-services-peak-matrix-assessment-2025/" TargetMode="External"/><Relationship Id="rId66t4xk1r3-5s2qztho4v9" Type="http://schemas.openxmlformats.org/officeDocument/2006/relationships/hyperlink" Target="https://qualizeal.com/" TargetMode="External"/><Relationship Id="rIduu1sxbcxdnbfmhtrywra9" Type="http://schemas.openxmlformats.org/officeDocument/2006/relationships/hyperlink" Target="https://www.linkedin.com/company/qualizeal" TargetMode="External"/><Relationship Id="rIdjob5hxpofsdvtzpi5lpp9" Type="http://schemas.openxmlformats.org/officeDocument/2006/relationships/hyperlink" Target="https://www.youtube.com/@qualizeal" TargetMode="External"/><Relationship Id="rIdatxbiybn5xdqrapwoxe4-" Type="http://schemas.openxmlformats.org/officeDocument/2006/relationships/hyperlink" Target="https://qualizeal.com/newsroom/" TargetMode="External"/><Relationship Id="rId3syapaj-42lnptrzz7_yo" Type="http://schemas.openxmlformats.org/officeDocument/2006/relationships/hyperlink" Target="https://qualizeal.com/insights/case-studies/" TargetMode="External"/><Relationship Id="rIdjlnhp3oux_z4p_hynm6my" Type="http://schemas.openxmlformats.org/officeDocument/2006/relationships/hyperlink" Target="https://qualizeal.com/insights/whitepapers/" TargetMode="External"/><Relationship Id="rId2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2026-05-23T20:54:09.961Z</dcterms:created>
  <dcterms:modified xsi:type="dcterms:W3CDTF">2026-05-23T20:54:09.961Z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