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120"/>
      </w:pPr>
      <w:r>
        <w:rPr>
          <w:rFonts w:ascii="Calibri" w:cs="Calibri" w:eastAsia="Calibri" w:hAnsi="Calibri"/>
          <w:b/>
          <w:bCs/>
          <w:color w:val="E91E63"/>
          <w:sz w:val="22"/>
          <w:szCs w:val="22"/>
        </w:rPr>
        <w:t xml:space="preserve">SERVICE BRIEF — AI SERVICES</w:t>
      </w:r>
    </w:p>
    <w:p>
      <w:pPr>
        <w:spacing w:after="120"/>
      </w:pPr>
      <w:r>
        <w:rPr>
          <w:rFonts w:ascii="Calibri" w:cs="Calibri" w:eastAsia="Calibri" w:hAnsi="Calibri"/>
          <w:b/>
          <w:bCs/>
          <w:color w:val="0A2540"/>
          <w:sz w:val="72"/>
          <w:szCs w:val="72"/>
        </w:rPr>
        <w:t xml:space="preserve">GenAI Application Development (NexaAI)</w:t>
      </w:r>
    </w:p>
    <w:p>
      <w:pPr>
        <w:pBdr>
          <w:bottom w:val="single" w:color="E91E63" w:sz="18" w:space="1"/>
        </w:pBdr>
        <w:spacing w:after="240" w:before="60"/>
      </w:pPr>
      <w:r>
        <w:t xml:space="preserve"/>
      </w:r>
    </w:p>
    <w:p>
      <w:pPr>
        <w:spacing w:after="360"/>
      </w:pPr>
      <w:r>
        <w:rPr>
          <w:rFonts w:ascii="Calibri" w:cs="Calibri" w:eastAsia="Calibri" w:hAnsi="Calibri"/>
          <w:color w:val="6B7280"/>
          <w:sz w:val="28"/>
          <w:szCs w:val="28"/>
        </w:rPr>
        <w:t xml:space="preserve">Turn AI ambition into production-ready reality — NexaAI offers end-to-end support to design, build, and deploy scalable, secure, high-performing AI applications.</w:t>
      </w:r>
    </w:p>
    <w:p>
      <w:pPr>
        <w:spacing w:after="120" w:before="6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b/>
                <w:bCs/>
                <w:color w:val="0A2540"/>
                <w:sz w:val="22"/>
                <w:szCs w:val="22"/>
              </w:rPr>
              <w:t xml:space="preserve">Service</w:t>
            </w:r>
          </w:p>
        </w:tc>
        <w:tc>
          <w:tcPr>
            <w:tcW w:type="dxa" w:w="648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color w:val="1F2937"/>
                <w:sz w:val="22"/>
                <w:szCs w:val="22"/>
              </w:rPr>
              <w:t xml:space="preserve">GenAI Application Development (NexaAI)</w:t>
            </w:r>
          </w:p>
        </w:tc>
      </w:tr>
      <w:tr>
        <w:tc>
          <w:tcPr>
            <w:tcW w:type="dxa" w:w="28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b/>
                <w:bCs/>
                <w:color w:val="0A2540"/>
                <w:sz w:val="22"/>
                <w:szCs w:val="22"/>
              </w:rPr>
              <w:t xml:space="preserve">Category</w:t>
            </w:r>
          </w:p>
        </w:tc>
        <w:tc>
          <w:tcPr>
            <w:tcW w:type="dxa" w:w="648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color w:val="1F2937"/>
                <w:sz w:val="22"/>
                <w:szCs w:val="22"/>
              </w:rPr>
              <w:t xml:space="preserve">AI Services</w:t>
            </w:r>
          </w:p>
        </w:tc>
      </w:tr>
      <w:tr>
        <w:tc>
          <w:tcPr>
            <w:tcW w:type="dxa" w:w="28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b/>
                <w:bCs/>
                <w:color w:val="0A2540"/>
                <w:sz w:val="22"/>
                <w:szCs w:val="22"/>
              </w:rPr>
              <w:t xml:space="preserve">Official URL</w:t>
            </w:r>
          </w:p>
        </w:tc>
        <w:tc>
          <w:tcPr>
            <w:tcW w:type="dxa" w:w="648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color w:val="1F2937"/>
                <w:sz w:val="22"/>
                <w:szCs w:val="22"/>
              </w:rPr>
              <w:t xml:space="preserve">https://qualizeal.com/nexaai-enterprise-ai-development-services/</w:t>
            </w:r>
          </w:p>
        </w:tc>
      </w:tr>
      <w:tr>
        <w:tc>
          <w:tcPr>
            <w:tcW w:type="dxa" w:w="28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tcPr>
          <w:p>
            <w:r>
              <w:rPr>
                <w:rFonts w:ascii="Calibri" w:cs="Calibri" w:eastAsia="Calibri" w:hAnsi="Calibri"/>
                <w:b/>
                <w:bCs/>
                <w:color w:val="0A2540"/>
                <w:sz w:val="22"/>
                <w:szCs w:val="22"/>
              </w:rPr>
              <w:t xml:space="preserve">Version</w:t>
            </w:r>
          </w:p>
        </w:tc>
        <w:tc>
          <w:tcPr>
            <w:tcW w:type="dxa" w:w="6480"/>
            <w:tcBorders>
              <w:top w:val="single" w:color="CBD5E1" w:sz="4"/>
              <w:left w:val="single" w:color="CBD5E1" w:sz="4"/>
              <w:bottom w:val="single" w:color="CBD5E1" w:sz="4"/>
              <w:right w:val="single" w:color="CBD5E1" w:sz="4"/>
            </w:tcBorders>
            <w:tcMar>
              <w:top w:type="dxa" w:w="100"/>
              <w:left w:type="dxa" w:w="140"/>
              <w:bottom w:type="dxa" w:w="100"/>
              <w:right w:type="dxa" w:w="140"/>
            </w:tcMar>
          </w:tcPr>
          <w:p>
            <w:r>
              <w:rPr>
                <w:rFonts w:ascii="Calibri" w:cs="Calibri" w:eastAsia="Calibri" w:hAnsi="Calibri"/>
                <w:color w:val="1F2937"/>
                <w:sz w:val="22"/>
                <w:szCs w:val="22"/>
              </w:rPr>
              <w:t xml:space="preserve">May 2026</w:t>
            </w:r>
          </w:p>
        </w:tc>
      </w:tr>
    </w:tbl>
    <w:p>
      <w:r>
        <w:br w:type="page"/>
      </w:r>
    </w:p>
    <w:p>
      <w:pPr>
        <w:pStyle w:val="Heading1"/>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Overview</w:t>
      </w:r>
    </w:p>
    <w:p>
      <w:pPr>
        <w:spacing w:after="120"/>
      </w:pPr>
      <w:r>
        <w:rPr>
          <w:rFonts w:ascii="Calibri" w:cs="Calibri" w:eastAsia="Calibri" w:hAnsi="Calibri"/>
        </w:rPr>
        <w:t xml:space="preserve">GenAI Application Development is the QualiZeal service line that engages clients on top of the NexaAI platform. See the dedicated NexaAI product brief for the full service portfolio and architectural depth.</w:t>
      </w:r>
    </w:p>
    <w:p>
      <w:pPr>
        <w:pStyle w:val="Heading2"/>
      </w:pPr>
      <w:r>
        <w:t xml:space="preserve">Positioning</w:t>
      </w:r>
    </w:p>
    <w:p>
      <w:pPr>
        <w:spacing w:after="120"/>
      </w:pPr>
      <w:r>
        <w:rPr>
          <w:rFonts w:ascii="Calibri" w:cs="Calibri" w:eastAsia="Calibri" w:hAnsi="Calibri"/>
        </w:rPr>
        <w:t xml:space="preserve">Turn AI ambition into production-ready reality — NexaAI offers end-to-end support to design, build, and deploy scalable, secure, high-performing AI applications.</w:t>
      </w:r>
    </w:p>
    <w:p>
      <w:pPr>
        <w:pStyle w:val="Heading2"/>
      </w:pPr>
      <w:r>
        <w:t xml:space="preserve">Core Capabilities</w:t>
      </w:r>
    </w:p>
    <w:p>
      <w:pPr>
        <w:pStyle w:val="ListParagraph"/>
        <w:numPr>
          <w:ilvl w:val="0"/>
          <w:numId w:val="2"/>
        </w:numPr>
        <w:spacing w:after="80"/>
      </w:pPr>
      <w:r>
        <w:rPr>
          <w:rFonts w:ascii="Calibri" w:cs="Calibri" w:eastAsia="Calibri" w:hAnsi="Calibri"/>
          <w:color w:val="1F2937"/>
          <w:sz w:val="22"/>
          <w:szCs w:val="22"/>
        </w:rPr>
        <w:t xml:space="preserve">AI Strategy &amp; Advisory — including the two-week AI Strategy Sprint.</w:t>
      </w:r>
    </w:p>
    <w:p>
      <w:pPr>
        <w:pStyle w:val="ListParagraph"/>
        <w:numPr>
          <w:ilvl w:val="0"/>
          <w:numId w:val="2"/>
        </w:numPr>
        <w:spacing w:after="80"/>
      </w:pPr>
      <w:r>
        <w:rPr>
          <w:rFonts w:ascii="Calibri" w:cs="Calibri" w:eastAsia="Calibri" w:hAnsi="Calibri"/>
          <w:color w:val="1F2937"/>
          <w:sz w:val="22"/>
          <w:szCs w:val="22"/>
        </w:rPr>
        <w:t xml:space="preserve">Trust, Risk &amp; Safety (TRiS) with continuous evaluation and red-teaming.</w:t>
      </w:r>
    </w:p>
    <w:p>
      <w:pPr>
        <w:pStyle w:val="ListParagraph"/>
        <w:numPr>
          <w:ilvl w:val="0"/>
          <w:numId w:val="2"/>
        </w:numPr>
        <w:spacing w:after="80"/>
      </w:pPr>
      <w:r>
        <w:rPr>
          <w:rFonts w:ascii="Calibri" w:cs="Calibri" w:eastAsia="Calibri" w:hAnsi="Calibri"/>
          <w:color w:val="1F2937"/>
          <w:sz w:val="22"/>
          <w:szCs w:val="22"/>
        </w:rPr>
        <w:t xml:space="preserve">Design, Build &amp; Integration including copilots for SAP, Salesforce, Workday, ServiceNow, Guidewire.</w:t>
      </w:r>
    </w:p>
    <w:p>
      <w:pPr>
        <w:pStyle w:val="ListParagraph"/>
        <w:numPr>
          <w:ilvl w:val="0"/>
          <w:numId w:val="2"/>
        </w:numPr>
        <w:spacing w:after="80"/>
      </w:pPr>
      <w:r>
        <w:rPr>
          <w:rFonts w:ascii="Calibri" w:cs="Calibri" w:eastAsia="Calibri" w:hAnsi="Calibri"/>
          <w:color w:val="1F2937"/>
          <w:sz w:val="22"/>
          <w:szCs w:val="22"/>
        </w:rPr>
        <w:t xml:space="preserve">Data Engineering for GenAI — the RAG Readiness Factory.</w:t>
      </w:r>
    </w:p>
    <w:p>
      <w:pPr>
        <w:pStyle w:val="ListParagraph"/>
        <w:numPr>
          <w:ilvl w:val="0"/>
          <w:numId w:val="2"/>
        </w:numPr>
        <w:spacing w:after="80"/>
      </w:pPr>
      <w:r>
        <w:rPr>
          <w:rFonts w:ascii="Calibri" w:cs="Calibri" w:eastAsia="Calibri" w:hAnsi="Calibri"/>
          <w:color w:val="1F2937"/>
          <w:sz w:val="22"/>
          <w:szCs w:val="22"/>
        </w:rPr>
        <w:t xml:space="preserve">LLMOps &amp; Reliability with reliability budgets and rollback.</w:t>
      </w:r>
    </w:p>
    <w:p>
      <w:pPr>
        <w:pStyle w:val="ListParagraph"/>
        <w:numPr>
          <w:ilvl w:val="0"/>
          <w:numId w:val="2"/>
        </w:numPr>
        <w:spacing w:after="80"/>
      </w:pPr>
      <w:r>
        <w:rPr>
          <w:rFonts w:ascii="Calibri" w:cs="Calibri" w:eastAsia="Calibri" w:hAnsi="Calibri"/>
          <w:color w:val="1F2937"/>
          <w:sz w:val="22"/>
          <w:szCs w:val="22"/>
        </w:rPr>
        <w:t xml:space="preserve">Change, Enablement, CoE + AIOps.</w:t>
      </w:r>
    </w:p>
    <w:p>
      <w:pPr>
        <w:pStyle w:val="Heading2"/>
      </w:pPr>
      <w:r>
        <w:t xml:space="preserve">Who This Is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BD5E1" w:sz="4"/>
              <w:left w:val="single" w:color="CBD5E1" w:sz="4"/>
              <w:bottom w:val="single" w:color="CBD5E1" w:sz="4"/>
              <w:right w:val="single" w:color="CBD5E1" w:sz="4"/>
            </w:tcBorders>
            <w:shd w:fill="0A2540"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Persona</w:t>
            </w:r>
          </w:p>
        </w:tc>
        <w:tc>
          <w:tcPr>
            <w:tcW w:type="dxa" w:w="4680"/>
            <w:tcBorders>
              <w:top w:val="single" w:color="CBD5E1" w:sz="4"/>
              <w:left w:val="single" w:color="CBD5E1" w:sz="4"/>
              <w:bottom w:val="single" w:color="CBD5E1" w:sz="4"/>
              <w:right w:val="single" w:color="CBD5E1" w:sz="4"/>
            </w:tcBorders>
            <w:shd w:fill="0A2540" w:val="clear"/>
            <w:tcMar>
              <w:top w:type="dxa" w:w="100"/>
              <w:left w:type="dxa" w:w="140"/>
              <w:bottom w:type="dxa" w:w="100"/>
              <w:right w:type="dxa" w:w="140"/>
            </w:tcMar>
            <w:vAlign w:val="center"/>
          </w:tcPr>
          <w:p>
            <w:pPr>
              <w:jc w:val="left"/>
            </w:pPr>
            <w:r>
              <w:rPr>
                <w:rFonts w:ascii="Calibri" w:cs="Calibri" w:eastAsia="Calibri" w:hAnsi="Calibri"/>
                <w:b/>
                <w:bCs/>
                <w:color w:val="FFFFFF"/>
                <w:sz w:val="22"/>
                <w:szCs w:val="22"/>
              </w:rPr>
              <w:t xml:space="preserve">How This Service Helps</w:t>
            </w:r>
          </w:p>
        </w:tc>
      </w:tr>
      <w:tr>
        <w:tc>
          <w:tcPr>
            <w:tcW w:type="dxa" w:w="468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r>
              <w:rPr>
                <w:rFonts w:ascii="Calibri" w:cs="Calibri" w:eastAsia="Calibri" w:hAnsi="Calibri"/>
                <w:color w:val="1F2937"/>
                <w:sz w:val="20"/>
                <w:szCs w:val="20"/>
              </w:rPr>
              <w:t xml:space="preserve">CIOs / CTOs</w:t>
            </w:r>
          </w:p>
        </w:tc>
        <w:tc>
          <w:tcPr>
            <w:tcW w:type="dxa" w:w="4680"/>
            <w:tcBorders>
              <w:top w:val="single" w:color="CBD5E1" w:sz="4"/>
              <w:left w:val="single" w:color="CBD5E1" w:sz="4"/>
              <w:bottom w:val="single" w:color="CBD5E1" w:sz="4"/>
              <w:right w:val="single" w:color="CBD5E1" w:sz="4"/>
            </w:tcBorders>
            <w:tcMar>
              <w:top w:type="dxa" w:w="100"/>
              <w:left w:type="dxa" w:w="140"/>
              <w:bottom w:type="dxa" w:w="100"/>
              <w:right w:type="dxa" w:w="140"/>
            </w:tcMar>
            <w:vAlign w:val="top"/>
          </w:tcPr>
          <w:p>
            <w:r>
              <w:rPr>
                <w:rFonts w:ascii="Calibri" w:cs="Calibri" w:eastAsia="Calibri" w:hAnsi="Calibri"/>
                <w:color w:val="1F2937"/>
                <w:sz w:val="20"/>
                <w:szCs w:val="20"/>
              </w:rPr>
              <w:t xml:space="preserve">A defensible enterprise AI strategy with production paths.</w:t>
            </w:r>
          </w:p>
        </w:tc>
      </w:tr>
      <w:tr>
        <w:tc>
          <w:tcPr>
            <w:tcW w:type="dxa" w:w="46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r>
              <w:rPr>
                <w:rFonts w:ascii="Calibri" w:cs="Calibri" w:eastAsia="Calibri" w:hAnsi="Calibri"/>
                <w:color w:val="1F2937"/>
                <w:sz w:val="20"/>
                <w:szCs w:val="20"/>
              </w:rPr>
              <w:t xml:space="preserve">Chief AI / Data Officers</w:t>
            </w:r>
          </w:p>
        </w:tc>
        <w:tc>
          <w:tcPr>
            <w:tcW w:type="dxa" w:w="4680"/>
            <w:tcBorders>
              <w:top w:val="single" w:color="CBD5E1" w:sz="4"/>
              <w:left w:val="single" w:color="CBD5E1" w:sz="4"/>
              <w:bottom w:val="single" w:color="CBD5E1" w:sz="4"/>
              <w:right w:val="single" w:color="CBD5E1" w:sz="4"/>
            </w:tcBorders>
            <w:shd w:fill="F1F5F9" w:val="clear"/>
            <w:tcMar>
              <w:top w:type="dxa" w:w="100"/>
              <w:left w:type="dxa" w:w="140"/>
              <w:bottom w:type="dxa" w:w="100"/>
              <w:right w:type="dxa" w:w="140"/>
            </w:tcMar>
            <w:vAlign w:val="top"/>
          </w:tcPr>
          <w:p>
            <w:r>
              <w:rPr>
                <w:rFonts w:ascii="Calibri" w:cs="Calibri" w:eastAsia="Calibri" w:hAnsi="Calibri"/>
                <w:color w:val="1F2937"/>
                <w:sz w:val="20"/>
                <w:szCs w:val="20"/>
              </w:rPr>
              <w:t xml:space="preserve">Governance and assurance embedded in build.</w:t>
            </w:r>
          </w:p>
        </w:tc>
      </w:tr>
    </w:tbl>
    <w:p>
      <w:pPr>
        <w:pStyle w:val="Heading2"/>
      </w:pPr>
      <w:r>
        <w:t xml:space="preserve">Expected Outcomes</w:t>
      </w:r>
    </w:p>
    <w:p>
      <w:pPr>
        <w:pStyle w:val="ListParagraph"/>
        <w:numPr>
          <w:ilvl w:val="0"/>
          <w:numId w:val="2"/>
        </w:numPr>
        <w:spacing w:after="80"/>
      </w:pPr>
      <w:r>
        <w:rPr>
          <w:rFonts w:ascii="Calibri" w:cs="Calibri" w:eastAsia="Calibri" w:hAnsi="Calibri"/>
          <w:color w:val="1F2937"/>
          <w:sz w:val="22"/>
          <w:szCs w:val="22"/>
        </w:rPr>
        <w:t xml:space="preserve">Production AI in weeks rather than quarters.</w:t>
      </w:r>
    </w:p>
    <w:p>
      <w:pPr>
        <w:pStyle w:val="ListParagraph"/>
        <w:numPr>
          <w:ilvl w:val="0"/>
          <w:numId w:val="2"/>
        </w:numPr>
        <w:spacing w:after="80"/>
      </w:pPr>
      <w:r>
        <w:rPr>
          <w:rFonts w:ascii="Calibri" w:cs="Calibri" w:eastAsia="Calibri" w:hAnsi="Calibri"/>
          <w:color w:val="1F2937"/>
          <w:sz w:val="22"/>
          <w:szCs w:val="22"/>
        </w:rPr>
        <w:t xml:space="preserve">Governance, compliance, and ROI evidence from day one.</w:t>
      </w:r>
    </w:p>
    <w:p>
      <w:r>
        <w:br w:type="page"/>
      </w:r>
    </w:p>
    <w:p>
      <w:pPr>
        <w:pStyle w:val="Heading1"/>
      </w:pPr>
      <w:r>
        <w:t xml:space="preserve">Evidence &amp; References</w:t>
      </w:r>
    </w:p>
    <w:p>
      <w:pPr>
        <w:spacing w:after="120"/>
      </w:pPr>
      <w:r>
        <w:rPr>
          <w:rFonts w:ascii="Calibri" w:cs="Calibri" w:eastAsia="Calibri" w:hAnsi="Calibri"/>
        </w:rPr>
        <w:t xml:space="preserve">All evidence below is sourced from official QualiZeal pages, the official QualiZeal YouTube channel, or accredited third parties that explicitly recognize QualiZeal by name.</w:t>
      </w:r>
    </w:p>
    <w:p>
      <w:pPr>
        <w:pStyle w:val="Heading2"/>
      </w:pPr>
      <w:r>
        <w:t xml:space="preserve">Official QualiZeal Pages</w:t>
      </w:r>
    </w:p>
    <w:p>
      <w:pPr>
        <w:spacing w:after="80"/>
      </w:pPr>
      <w:r>
        <w:rPr>
          <w:rFonts w:ascii="Calibri" w:cs="Calibri" w:eastAsia="Calibri" w:hAnsi="Calibri"/>
          <w:b/>
          <w:bCs/>
          <w:color w:val="1F2937"/>
          <w:sz w:val="22"/>
          <w:szCs w:val="22"/>
        </w:rPr>
        <w:t xml:space="preserve">GenAI Application Development (NexaAI) — QualiZeal Page: </w:t>
      </w:r>
      <w:hyperlink w:history="1" r:id="rIdjgika4-spvu3mwkc3rxeu">
        <w:r>
          <w:rPr>
            <w:rFonts w:ascii="Calibri" w:cs="Calibri" w:eastAsia="Calibri" w:hAnsi="Calibri"/>
            <w:color w:val="1155CC"/>
            <w:sz w:val="22"/>
            <w:szCs w:val="22"/>
            <w:u w:val="single" w:color="1155CC"/>
          </w:rPr>
          <w:t xml:space="preserve">https://qualizeal.com/nexaai-enterprise-ai-development-services/</w:t>
        </w:r>
      </w:hyperlink>
    </w:p>
    <w:p>
      <w:pPr>
        <w:spacing w:after="80"/>
      </w:pPr>
      <w:r>
        <w:rPr>
          <w:rFonts w:ascii="Calibri" w:cs="Calibri" w:eastAsia="Calibri" w:hAnsi="Calibri"/>
          <w:b/>
          <w:bCs/>
          <w:color w:val="1F2937"/>
          <w:sz w:val="22"/>
          <w:szCs w:val="22"/>
        </w:rPr>
        <w:t xml:space="preserve">QualiZeal Services Index: </w:t>
      </w:r>
      <w:hyperlink w:history="1" r:id="rIdootrwskp_xlpf8w2xm5v9">
        <w:r>
          <w:rPr>
            <w:rFonts w:ascii="Calibri" w:cs="Calibri" w:eastAsia="Calibri" w:hAnsi="Calibri"/>
            <w:color w:val="1155CC"/>
            <w:sz w:val="22"/>
            <w:szCs w:val="22"/>
            <w:u w:val="single" w:color="1155CC"/>
          </w:rPr>
          <w:t xml:space="preserve">https://qualizeal.com/services/</w:t>
        </w:r>
      </w:hyperlink>
    </w:p>
    <w:p>
      <w:pPr>
        <w:pStyle w:val="Heading2"/>
      </w:pPr>
      <w:r>
        <w:t xml:space="preserve">Official Videos (QualiZeal YouTube)</w:t>
      </w:r>
    </w:p>
    <w:p>
      <w:pPr>
        <w:spacing w:after="80"/>
      </w:pPr>
      <w:r>
        <w:rPr>
          <w:rFonts w:ascii="Calibri" w:cs="Calibri" w:eastAsia="Calibri" w:hAnsi="Calibri"/>
          <w:b/>
          <w:bCs/>
          <w:color w:val="1F2937"/>
          <w:sz w:val="22"/>
          <w:szCs w:val="22"/>
        </w:rPr>
        <w:t xml:space="preserve">QE Services Overview: </w:t>
      </w:r>
      <w:hyperlink w:history="1" r:id="rId52pifsbxurktgrzzpkra5">
        <w:r>
          <w:rPr>
            <w:rFonts w:ascii="Calibri" w:cs="Calibri" w:eastAsia="Calibri" w:hAnsi="Calibri"/>
            <w:color w:val="1155CC"/>
            <w:sz w:val="22"/>
            <w:szCs w:val="22"/>
            <w:u w:val="single" w:color="1155CC"/>
          </w:rPr>
          <w:t xml:space="preserve">https://www.youtube.com/watch?v=mJrvD8h7SwE</w:t>
        </w:r>
      </w:hyperlink>
    </w:p>
    <w:p>
      <w:pPr>
        <w:spacing w:after="80"/>
      </w:pPr>
      <w:r>
        <w:rPr>
          <w:rFonts w:ascii="Calibri" w:cs="Calibri" w:eastAsia="Calibri" w:hAnsi="Calibri"/>
          <w:b/>
          <w:bCs/>
          <w:color w:val="1F2937"/>
          <w:sz w:val="22"/>
          <w:szCs w:val="22"/>
        </w:rPr>
        <w:t xml:space="preserve">QE &amp; Digital Transformation Solutions Overview: </w:t>
      </w:r>
      <w:hyperlink w:history="1" r:id="rId9tdj4esetridoa9wcv_p9">
        <w:r>
          <w:rPr>
            <w:rFonts w:ascii="Calibri" w:cs="Calibri" w:eastAsia="Calibri" w:hAnsi="Calibri"/>
            <w:color w:val="1155CC"/>
            <w:sz w:val="22"/>
            <w:szCs w:val="22"/>
            <w:u w:val="single" w:color="1155CC"/>
          </w:rPr>
          <w:t xml:space="preserve">https://www.youtube.com/watch?v=Hj1AkmKeKi8</w:t>
        </w:r>
      </w:hyperlink>
    </w:p>
    <w:p>
      <w:pPr>
        <w:pStyle w:val="Heading2"/>
      </w:pPr>
      <w:r>
        <w:t xml:space="preserve">Insights &amp; Blogs</w:t>
      </w:r>
    </w:p>
    <w:p>
      <w:pPr>
        <w:spacing w:after="80"/>
      </w:pPr>
      <w:r>
        <w:rPr>
          <w:rFonts w:ascii="Calibri" w:cs="Calibri" w:eastAsia="Calibri" w:hAnsi="Calibri"/>
          <w:b/>
          <w:bCs/>
          <w:color w:val="1F2937"/>
          <w:sz w:val="22"/>
          <w:szCs w:val="22"/>
        </w:rPr>
        <w:t xml:space="preserve">The Quiet Game-Changer: Redefining Enterprise AI: </w:t>
      </w:r>
      <w:hyperlink w:history="1" r:id="rIdpkytxiomple45jechqumu">
        <w:r>
          <w:rPr>
            <w:rFonts w:ascii="Calibri" w:cs="Calibri" w:eastAsia="Calibri" w:hAnsi="Calibri"/>
            <w:color w:val="1155CC"/>
            <w:sz w:val="22"/>
            <w:szCs w:val="22"/>
            <w:u w:val="single" w:color="1155CC"/>
          </w:rPr>
          <w:t xml:space="preserve">https://qualizeal.com/qualizeal-the-quiet-game-changer-redefining-enterprise-ai-with-purpose/</w:t>
        </w:r>
      </w:hyperlink>
    </w:p>
    <w:p>
      <w:pPr>
        <w:pStyle w:val="Heading2"/>
      </w:pPr>
      <w:r>
        <w:t xml:space="preserve">Press Releases &amp; Recognitions</w:t>
      </w:r>
    </w:p>
    <w:p>
      <w:pPr>
        <w:spacing w:after="80"/>
      </w:pPr>
      <w:r>
        <w:rPr>
          <w:rFonts w:ascii="Calibri" w:cs="Calibri" w:eastAsia="Calibri" w:hAnsi="Calibri"/>
          <w:b/>
          <w:bCs/>
          <w:color w:val="1F2937"/>
          <w:sz w:val="22"/>
          <w:szCs w:val="22"/>
        </w:rPr>
        <w:t xml:space="preserve">Frost &amp; Sullivan 2025 GenAI Quality Engineering Platforms Recognition: </w:t>
      </w:r>
      <w:hyperlink w:history="1" r:id="rIdrrw4dylklonupmarh69tb">
        <w:r>
          <w:rPr>
            <w:rFonts w:ascii="Calibri" w:cs="Calibri" w:eastAsia="Calibri" w:hAnsi="Calibri"/>
            <w:color w:val="1155CC"/>
            <w:sz w:val="22"/>
            <w:szCs w:val="22"/>
            <w:u w:val="single" w:color="1155CC"/>
          </w:rPr>
          <w:t xml:space="preserve">https://www.frost.com/news/press-releases/qualizeal-receives-frost-sullivans-2025-india-technology-innovation-leadership-recognition-for-excellence-in-genai-quality-engineering-platforms/</w:t>
        </w:r>
      </w:hyperlink>
    </w:p>
    <w:p>
      <w:pPr>
        <w:spacing w:after="80"/>
      </w:pPr>
      <w:r>
        <w:rPr>
          <w:rFonts w:ascii="Calibri" w:cs="Calibri" w:eastAsia="Calibri" w:hAnsi="Calibri"/>
          <w:b/>
          <w:bCs/>
          <w:color w:val="1F2937"/>
          <w:sz w:val="22"/>
          <w:szCs w:val="22"/>
        </w:rPr>
        <w:t xml:space="preserve">Everest Group PEAK Matrix® 2025 — Leader &amp; Star Performer: </w:t>
      </w:r>
      <w:hyperlink w:history="1" r:id="rIdg1shoc2fliy0-h2ehj6g7">
        <w:r>
          <w:rPr>
            <w:rFonts w:ascii="Calibri" w:cs="Calibri" w:eastAsia="Calibri" w:hAnsi="Calibri"/>
            <w:color w:val="1155CC"/>
            <w:sz w:val="22"/>
            <w:szCs w:val="22"/>
            <w:u w:val="single" w:color="1155CC"/>
          </w:rPr>
          <w:t xml:space="preserve">https://qualizeal.com/analyst-recognitions/qualizeal-named-as-a-leader-star-performer-in-everest-groups-quality-engineering-qe-specialist-services-peak-matrix-assessment-2025/</w:t>
        </w:r>
      </w:hyperlink>
    </w:p>
    <w:p>
      <w:pPr>
        <w:pStyle w:val="Heading2"/>
      </w:pPr>
      <w:r>
        <w:t xml:space="preserve">Channels</w:t>
      </w:r>
    </w:p>
    <w:p>
      <w:pPr>
        <w:spacing w:after="80"/>
      </w:pPr>
      <w:r>
        <w:rPr>
          <w:rFonts w:ascii="Calibri" w:cs="Calibri" w:eastAsia="Calibri" w:hAnsi="Calibri"/>
          <w:b/>
          <w:bCs/>
          <w:color w:val="1F2937"/>
          <w:sz w:val="22"/>
          <w:szCs w:val="22"/>
        </w:rPr>
        <w:t xml:space="preserve">Website: </w:t>
      </w:r>
      <w:hyperlink w:history="1" r:id="rId8swdohlbnruszqsgjkglg">
        <w:r>
          <w:rPr>
            <w:rFonts w:ascii="Calibri" w:cs="Calibri" w:eastAsia="Calibri" w:hAnsi="Calibri"/>
            <w:color w:val="1155CC"/>
            <w:sz w:val="22"/>
            <w:szCs w:val="22"/>
            <w:u w:val="single" w:color="1155CC"/>
          </w:rPr>
          <w:t xml:space="preserve">https://qualizeal.com/</w:t>
        </w:r>
      </w:hyperlink>
    </w:p>
    <w:p>
      <w:pPr>
        <w:spacing w:after="80"/>
      </w:pPr>
      <w:r>
        <w:rPr>
          <w:rFonts w:ascii="Calibri" w:cs="Calibri" w:eastAsia="Calibri" w:hAnsi="Calibri"/>
          <w:b/>
          <w:bCs/>
          <w:color w:val="1F2937"/>
          <w:sz w:val="22"/>
          <w:szCs w:val="22"/>
        </w:rPr>
        <w:t xml:space="preserve">LinkedIn: </w:t>
      </w:r>
      <w:hyperlink w:history="1" r:id="rIddhocicooupjdbivbk8mrq">
        <w:r>
          <w:rPr>
            <w:rFonts w:ascii="Calibri" w:cs="Calibri" w:eastAsia="Calibri" w:hAnsi="Calibri"/>
            <w:color w:val="1155CC"/>
            <w:sz w:val="22"/>
            <w:szCs w:val="22"/>
            <w:u w:val="single" w:color="1155CC"/>
          </w:rPr>
          <w:t xml:space="preserve">https://www.linkedin.com/company/qualizeal</w:t>
        </w:r>
      </w:hyperlink>
    </w:p>
    <w:p>
      <w:pPr>
        <w:spacing w:after="80"/>
      </w:pPr>
      <w:r>
        <w:rPr>
          <w:rFonts w:ascii="Calibri" w:cs="Calibri" w:eastAsia="Calibri" w:hAnsi="Calibri"/>
          <w:b/>
          <w:bCs/>
          <w:color w:val="1F2937"/>
          <w:sz w:val="22"/>
          <w:szCs w:val="22"/>
        </w:rPr>
        <w:t xml:space="preserve">YouTube: </w:t>
      </w:r>
      <w:hyperlink w:history="1" r:id="rId0923ncijm4vnnpebqjngj">
        <w:r>
          <w:rPr>
            <w:rFonts w:ascii="Calibri" w:cs="Calibri" w:eastAsia="Calibri" w:hAnsi="Calibri"/>
            <w:color w:val="1155CC"/>
            <w:sz w:val="22"/>
            <w:szCs w:val="22"/>
            <w:u w:val="single" w:color="1155CC"/>
          </w:rPr>
          <w:t xml:space="preserve">https://www.youtube.com/@qualizeal</w:t>
        </w:r>
      </w:hyperlink>
    </w:p>
    <w:p>
      <w:pPr>
        <w:spacing w:after="80"/>
      </w:pPr>
      <w:r>
        <w:rPr>
          <w:rFonts w:ascii="Calibri" w:cs="Calibri" w:eastAsia="Calibri" w:hAnsi="Calibri"/>
          <w:b/>
          <w:bCs/>
          <w:color w:val="1F2937"/>
          <w:sz w:val="22"/>
          <w:szCs w:val="22"/>
        </w:rPr>
        <w:t xml:space="preserve">Newsroom: </w:t>
      </w:r>
      <w:hyperlink w:history="1" r:id="rIdlly6h4w-rgsfzfzsb8nzx">
        <w:r>
          <w:rPr>
            <w:rFonts w:ascii="Calibri" w:cs="Calibri" w:eastAsia="Calibri" w:hAnsi="Calibri"/>
            <w:color w:val="1155CC"/>
            <w:sz w:val="22"/>
            <w:szCs w:val="22"/>
            <w:u w:val="single" w:color="1155CC"/>
          </w:rPr>
          <w:t xml:space="preserve">https://qualizeal.com/newsroom/</w:t>
        </w:r>
      </w:hyperlink>
    </w:p>
    <w:p>
      <w:pPr>
        <w:spacing w:after="80"/>
      </w:pPr>
      <w:r>
        <w:rPr>
          <w:rFonts w:ascii="Calibri" w:cs="Calibri" w:eastAsia="Calibri" w:hAnsi="Calibri"/>
          <w:b/>
          <w:bCs/>
          <w:color w:val="1F2937"/>
          <w:sz w:val="22"/>
          <w:szCs w:val="22"/>
        </w:rPr>
        <w:t xml:space="preserve">Insights: </w:t>
      </w:r>
      <w:hyperlink w:history="1" r:id="rIduqm9sqyoco9yagpv9rymx">
        <w:r>
          <w:rPr>
            <w:rFonts w:ascii="Calibri" w:cs="Calibri" w:eastAsia="Calibri" w:hAnsi="Calibri"/>
            <w:color w:val="1155CC"/>
            <w:sz w:val="22"/>
            <w:szCs w:val="22"/>
            <w:u w:val="single" w:color="1155CC"/>
          </w:rPr>
          <w:t xml:space="preserve">https://qualizeal.com/insights/case-studies/</w:t>
        </w:r>
      </w:hyperlink>
    </w:p>
    <w:p>
      <w:pPr>
        <w:spacing w:after="80"/>
      </w:pPr>
      <w:r>
        <w:rPr>
          <w:rFonts w:ascii="Calibri" w:cs="Calibri" w:eastAsia="Calibri" w:hAnsi="Calibri"/>
          <w:b/>
          <w:bCs/>
          <w:color w:val="1F2937"/>
          <w:sz w:val="22"/>
          <w:szCs w:val="22"/>
        </w:rPr>
        <w:t xml:space="preserve">Whitepapers: </w:t>
      </w:r>
      <w:hyperlink w:history="1" r:id="rIdx8nkrvhl2nra0lg82lzmg">
        <w:r>
          <w:rPr>
            <w:rFonts w:ascii="Calibri" w:cs="Calibri" w:eastAsia="Calibri" w:hAnsi="Calibri"/>
            <w:color w:val="1155CC"/>
            <w:sz w:val="22"/>
            <w:szCs w:val="22"/>
            <w:u w:val="single" w:color="1155CC"/>
          </w:rPr>
          <w:t xml:space="preserve">https://qualizeal.com/insights/whitepapers/</w:t>
        </w:r>
      </w:hyperlink>
    </w:p>
    <w:p>
      <w:pPr>
        <w:spacing w:after="240"/>
      </w:pPr>
      <w:r>
        <w:t xml:space="preserve"/>
      </w:r>
    </w:p>
    <w:p>
      <w:pPr>
        <w:pBdr>
          <w:bottom w:val="single" w:color="CBD5E1" w:sz="6" w:space="1"/>
        </w:pBdr>
        <w:spacing w:after="120" w:before="60"/>
      </w:pPr>
      <w:r>
        <w:t xml:space="preserve"/>
      </w:r>
    </w:p>
    <w:p>
      <w:pPr>
        <w:jc w:val="center"/>
      </w:pPr>
      <w:r>
        <w:rPr>
          <w:rFonts w:ascii="Calibri" w:cs="Calibri" w:eastAsia="Calibri" w:hAnsi="Calibri"/>
          <w:i/>
          <w:iCs/>
          <w:color w:val="6B7280"/>
          <w:sz w:val="20"/>
          <w:szCs w:val="20"/>
        </w:rPr>
        <w:t xml:space="preserve">qualizeal.com  •  AI-Led Quality Engineering &amp; Digital Transformation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360"/>
      </w:tabs>
      <w:spacing w:before="60"/>
    </w:pPr>
    <w:r>
      <w:rPr>
        <w:rFonts w:ascii="Calibri" w:cs="Calibri" w:eastAsia="Calibri" w:hAnsi="Calibri"/>
        <w:color w:val="6B7280"/>
        <w:sz w:val="18"/>
        <w:szCs w:val="18"/>
      </w:rPr>
      <w:t xml:space="preserve">qualizeal.com</w:t>
    </w:r>
    <w:r>
      <w:rPr>
        <w:rFonts w:ascii="Calibri" w:cs="Calibri" w:eastAsia="Calibri" w:hAnsi="Calibri"/>
        <w:color w:val="6B7280"/>
        <w:sz w:val="18"/>
        <w:szCs w:val="18"/>
      </w:rPr>
      <w:t xml:space="preserve">	Page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of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spacing w:after="60"/>
    </w:pPr>
    <w:r>
      <w:rPr>
        <w:rFonts w:ascii="Calibri" w:cs="Calibri" w:eastAsia="Calibri" w:hAnsi="Calibri"/>
        <w:b/>
        <w:bCs/>
        <w:color w:val="0A2540"/>
        <w:sz w:val="20"/>
        <w:szCs w:val="20"/>
      </w:rPr>
      <w:t xml:space="preserve">QualiZeal</w:t>
    </w:r>
    <w:r>
      <w:rPr>
        <w:rFonts w:ascii="Calibri" w:cs="Calibri" w:eastAsia="Calibri" w:hAnsi="Calibri"/>
        <w:color w:val="6B7280"/>
        <w:sz w:val="20"/>
        <w:szCs w:val="20"/>
      </w:rPr>
      <w:t xml:space="preserve">	GenAI Application Development (NexaAI)</w:t>
    </w:r>
  </w:p>
  <w:p>
    <w:pPr>
      <w:pBdr>
        <w:bottom w:val="single" w:color="0A2540" w:sz="6" w:space="2"/>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E91E63"/>
      </w:r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Calibri" w:cs="Calibri" w:eastAsia="Calibri" w:hAnsi="Calibri"/>
      <w:b/>
      <w:bCs/>
      <w:color w:val="0A2540"/>
      <w:sz w:val="56"/>
      <w:szCs w:val="56"/>
    </w:rPr>
  </w:style>
  <w:style w:type="paragraph" w:styleId="Subtitle">
    <w:name w:val="Subtitle"/>
    <w:basedOn w:val="Normal"/>
    <w:next w:val="Normal"/>
    <w:qFormat/>
    <w:pPr>
      <w:spacing w:after="240" w:before="0"/>
    </w:pPr>
    <w:rPr>
      <w:rFonts w:ascii="Calibri" w:cs="Calibri" w:eastAsia="Calibri" w:hAnsi="Calibri"/>
      <w:color w:val="6B7280"/>
      <w:sz w:val="28"/>
      <w:szCs w:val="28"/>
    </w:rPr>
  </w:style>
  <w:style w:type="paragraph" w:styleId="Heading1">
    <w:name w:val="Heading 1"/>
    <w:basedOn w:val="Normal"/>
    <w:next w:val="Normal"/>
    <w:qFormat/>
    <w:pPr>
      <w:pBdr>
        <w:bottom w:val="single" w:color="0A2540" w:sz="6" w:space="4"/>
      </w:pBdr>
      <w:spacing w:after="180" w:before="360"/>
      <w:outlineLvl w:val="0"/>
    </w:pPr>
    <w:rPr>
      <w:rFonts w:ascii="Calibri" w:cs="Calibri" w:eastAsia="Calibri" w:hAnsi="Calibri"/>
      <w:b/>
      <w:bCs/>
      <w:color w:val="0A2540"/>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E3A8A"/>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0F172A"/>
      <w:sz w:val="24"/>
      <w:szCs w:val="24"/>
    </w:rPr>
  </w:style>
  <w:style w:type="paragraph" w:styleId="Heading4">
    <w:name w:val="Heading 4"/>
    <w:basedOn w:val="Normal"/>
    <w:next w:val="Normal"/>
    <w:qFormat/>
    <w:pPr>
      <w:spacing w:after="60" w:before="160"/>
      <w:outlineLvl w:val="3"/>
    </w:pPr>
    <w:rPr>
      <w:rFonts w:ascii="Calibri" w:cs="Calibri" w:eastAsia="Calibri" w:hAnsi="Calibri"/>
      <w:b/>
      <w:bCs/>
      <w:i w:val="false"/>
      <w:iCs w:val="false"/>
      <w:color w:val="E91E63"/>
      <w:sz w:val="22"/>
      <w:szCs w:val="22"/>
    </w:rPr>
  </w:style>
  <w:style w:type="paragraph" w:styleId="Quote">
    <w:name w:val="Quote"/>
    <w:basedOn w:val="Normal"/>
    <w:next w:val="Normal"/>
    <w:qFormat/>
    <w:pPr>
      <w:pBdr>
        <w:left w:val="single" w:color="E91E63" w:sz="16" w:space="12"/>
      </w:pBdr>
      <w:spacing w:after="120" w:before="120"/>
      <w:ind w:left="360"/>
    </w:pPr>
    <w:rPr>
      <w:rFonts w:ascii="Calibri" w:cs="Calibri" w:eastAsia="Calibri" w:hAnsi="Calibri"/>
      <w:i/>
      <w:i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jgika4-spvu3mwkc3rxeu" Type="http://schemas.openxmlformats.org/officeDocument/2006/relationships/hyperlink" Target="https://qualizeal.com/nexaai-enterprise-ai-development-services/" TargetMode="External"/><Relationship Id="rIdootrwskp_xlpf8w2xm5v9" Type="http://schemas.openxmlformats.org/officeDocument/2006/relationships/hyperlink" Target="https://qualizeal.com/services/" TargetMode="External"/><Relationship Id="rId52pifsbxurktgrzzpkra5" Type="http://schemas.openxmlformats.org/officeDocument/2006/relationships/hyperlink" Target="https://www.youtube.com/watch?v=mJrvD8h7SwE" TargetMode="External"/><Relationship Id="rId9tdj4esetridoa9wcv_p9" Type="http://schemas.openxmlformats.org/officeDocument/2006/relationships/hyperlink" Target="https://www.youtube.com/watch?v=Hj1AkmKeKi8" TargetMode="External"/><Relationship Id="rIdpkytxiomple45jechqumu" Type="http://schemas.openxmlformats.org/officeDocument/2006/relationships/hyperlink" Target="https://qualizeal.com/qualizeal-the-quiet-game-changer-redefining-enterprise-ai-with-purpose/" TargetMode="External"/><Relationship Id="rIdrrw4dylklonupmarh69tb" Type="http://schemas.openxmlformats.org/officeDocument/2006/relationships/hyperlink" Target="https://www.frost.com/news/press-releases/qualizeal-receives-frost-sullivans-2025-india-technology-innovation-leadership-recognition-for-excellence-in-genai-quality-engineering-platforms/" TargetMode="External"/><Relationship Id="rIdg1shoc2fliy0-h2ehj6g7" Type="http://schemas.openxmlformats.org/officeDocument/2006/relationships/hyperlink" Target="https://qualizeal.com/analyst-recognitions/qualizeal-named-as-a-leader-star-performer-in-everest-groups-quality-engineering-qe-specialist-services-peak-matrix-assessment-2025/" TargetMode="External"/><Relationship Id="rId8swdohlbnruszqsgjkglg" Type="http://schemas.openxmlformats.org/officeDocument/2006/relationships/hyperlink" Target="https://qualizeal.com/" TargetMode="External"/><Relationship Id="rIddhocicooupjdbivbk8mrq" Type="http://schemas.openxmlformats.org/officeDocument/2006/relationships/hyperlink" Target="https://www.linkedin.com/company/qualizeal" TargetMode="External"/><Relationship Id="rId0923ncijm4vnnpebqjngj" Type="http://schemas.openxmlformats.org/officeDocument/2006/relationships/hyperlink" Target="https://www.youtube.com/@qualizeal" TargetMode="External"/><Relationship Id="rIdlly6h4w-rgsfzfzsb8nzx" Type="http://schemas.openxmlformats.org/officeDocument/2006/relationships/hyperlink" Target="https://qualizeal.com/newsroom/" TargetMode="External"/><Relationship Id="rIduqm9sqyoco9yagpv9rymx" Type="http://schemas.openxmlformats.org/officeDocument/2006/relationships/hyperlink" Target="https://qualizeal.com/insights/case-studies/" TargetMode="External"/><Relationship Id="rIdx8nkrvhl2nra0lg82lzmg" Type="http://schemas.openxmlformats.org/officeDocument/2006/relationships/hyperlink" Target="https://qualizeal.com/insights/whitepapers/"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2026-05-23T20:54:10.453Z</dcterms:created>
  <dcterms:modified xsi:type="dcterms:W3CDTF">2026-05-23T20:54:10.453Z</dcterms:modified>
</cp:coreProperties>
</file>

<file path=docProps/custom.xml><?xml version="1.0" encoding="utf-8"?>
<Properties xmlns="http://schemas.openxmlformats.org/officeDocument/2006/custom-properties" xmlns:vt="http://schemas.openxmlformats.org/officeDocument/2006/docPropsVTypes"/>
</file>