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3005"/>
      </w:tblGrid>
      <w:tr>
        <w:tc>
          <w:tcPr>
            <w:tcW w:type="dxa" w:w="5329"/>
            <w:shd w:val="clear" w:color="auto" w:fill="DB0011"/>
            <w:tcMar>
              <w:top w:w="140" w:type="dxa"/>
              <w:bottom w:w="140" w:type="dxa"/>
              <w:start w:w="160" w:type="dxa"/>
              <w:end w:w="160" w:type="dxa"/>
            </w:tcMar>
            <w:tcBorders>
              <w:top w:val="single" w:sz="0" w:color="DB0011"/>
              <w:start w:val="single" w:sz="0" w:color="DB0011"/>
              <w:end w:val="single" w:sz="0" w:color="DB0011"/>
              <w:bottom w:val="single" w:sz="36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4"/>
              </w:rPr>
              <w:t>Model Risk — Executive Summary</w:t>
            </w:r>
          </w:p>
          <w:p>
            <w:pPr>
              <w:spacing w:before="40"/>
            </w:pPr>
            <w:r>
              <w:rPr>
                <w:rFonts w:ascii="Calibri" w:hAnsi="Calibri"/>
                <w:color w:val="C9C9C9"/>
                <w:sz w:val="19"/>
              </w:rPr>
              <w:t>HSBC Asset Management  |  Model Risk Committee Update</w:t>
            </w:r>
          </w:p>
        </w:tc>
        <w:tc>
          <w:tcPr>
            <w:tcW w:type="dxa" w:w="5329"/>
            <w:shd w:val="clear" w:color="auto" w:fill="DB0011"/>
            <w:tcMar>
              <w:top w:w="140" w:type="dxa"/>
              <w:bottom w:w="140" w:type="dxa"/>
              <w:start w:w="160" w:type="dxa"/>
              <w:end w:w="160" w:type="dxa"/>
            </w:tcMar>
            <w:tcBorders>
              <w:top w:val="single" w:sz="0" w:color="DB0011"/>
              <w:start w:val="single" w:sz="0" w:color="DB0011"/>
              <w:end w:val="single" w:sz="0" w:color="DB0011"/>
              <w:bottom w:val="single" w:sz="36" w:color="000000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Status as of Jan 2026</w:t>
            </w:r>
          </w:p>
          <w:p>
            <w:pPr>
              <w:spacing w:before="40"/>
              <w:jc w:val="right"/>
            </w:pPr>
            <w:r>
              <w:rPr>
                <w:b/>
                <w:color w:val="FFFFFF"/>
                <w:sz w:val="17"/>
              </w:rPr>
              <w:t>RESTRICTED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c>
          <w:tcPr>
            <w:tcW w:type="dxa" w:w="266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24" w:color="000000"/>
              <w:bottom w:val="single" w:sz="4" w:color="E6E6E6"/>
              <w:start w:val="single" w:sz="4" w:color="E6E6E6"/>
              <w:end w:val="single" w:sz="4" w:color="E6E6E6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58595B"/>
                <w:sz w:val="13"/>
              </w:rPr>
              <w:t>AM IN-USE MODEL INVENTORY</w:t>
            </w:r>
          </w:p>
          <w:p>
            <w:pPr>
              <w:spacing w:after="0"/>
            </w:pPr>
            <w:r>
              <w:rPr>
                <w:b/>
                <w:color w:val="58595B"/>
                <w:sz w:val="26"/>
              </w:rPr>
              <w:t>20 models</w:t>
            </w:r>
          </w:p>
          <w:p>
            <w:pPr>
              <w:spacing w:after="0"/>
            </w:pPr>
            <w:r>
              <w:rPr>
                <w:color w:val="58595B"/>
                <w:sz w:val="14"/>
              </w:rPr>
              <w:t>▼ 1 vs May'25</w:t>
            </w:r>
          </w:p>
        </w:tc>
        <w:tc>
          <w:tcPr>
            <w:tcW w:type="dxa" w:w="266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24" w:color="000000"/>
              <w:bottom w:val="single" w:sz="4" w:color="E6E6E6"/>
              <w:start w:val="single" w:sz="4" w:color="E6E6E6"/>
              <w:end w:val="single" w:sz="4" w:color="E6E6E6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58595B"/>
                <w:sz w:val="13"/>
              </w:rPr>
              <w:t>MODEL LANDSCAPE ACTIONS</w:t>
            </w:r>
          </w:p>
          <w:p>
            <w:pPr>
              <w:spacing w:after="0"/>
            </w:pPr>
            <w:r>
              <w:rPr>
                <w:b/>
                <w:color w:val="58595B"/>
                <w:sz w:val="26"/>
              </w:rPr>
              <w:t>5 on track</w:t>
            </w:r>
          </w:p>
          <w:p>
            <w:pPr>
              <w:spacing w:after="0"/>
            </w:pPr>
            <w:r>
              <w:rPr>
                <w:color w:val="58595B"/>
                <w:sz w:val="14"/>
              </w:rPr>
              <w:t>0 overdue</w:t>
            </w:r>
          </w:p>
        </w:tc>
        <w:tc>
          <w:tcPr>
            <w:tcW w:type="dxa" w:w="266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24" w:color="DB0011"/>
              <w:bottom w:val="single" w:sz="4" w:color="E6E6E6"/>
              <w:start w:val="single" w:sz="4" w:color="E6E6E6"/>
              <w:end w:val="single" w:sz="4" w:color="E6E6E6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58595B"/>
                <w:sz w:val="13"/>
              </w:rPr>
              <w:t>IMR — OPEN MRA ACTIONS</w:t>
            </w:r>
          </w:p>
          <w:p>
            <w:pPr>
              <w:spacing w:after="0"/>
            </w:pPr>
            <w:r>
              <w:rPr>
                <w:b/>
                <w:color w:val="DB0011"/>
                <w:sz w:val="26"/>
              </w:rPr>
              <w:t>3 past due</w:t>
            </w:r>
          </w:p>
          <w:p>
            <w:pPr>
              <w:spacing w:after="0"/>
            </w:pPr>
            <w:r>
              <w:rPr>
                <w:color w:val="58595B"/>
                <w:sz w:val="14"/>
              </w:rPr>
              <w:t>Remediation plans agreed</w:t>
            </w:r>
          </w:p>
        </w:tc>
        <w:tc>
          <w:tcPr>
            <w:tcW w:type="dxa" w:w="266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24" w:color="000000"/>
              <w:bottom w:val="single" w:sz="4" w:color="E6E6E6"/>
              <w:start w:val="single" w:sz="4" w:color="E6E6E6"/>
              <w:end w:val="single" w:sz="4" w:color="E6E6E6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58595B"/>
                <w:sz w:val="13"/>
              </w:rPr>
              <w:t>CMID / MRC ESCALATIONS</w:t>
            </w:r>
          </w:p>
          <w:p>
            <w:pPr>
              <w:spacing w:after="0"/>
            </w:pPr>
            <w:r>
              <w:rPr>
                <w:b/>
                <w:color w:val="58595B"/>
                <w:sz w:val="26"/>
              </w:rPr>
              <w:t>None open</w:t>
            </w:r>
          </w:p>
          <w:p>
            <w:pPr>
              <w:spacing w:after="0"/>
            </w:pPr>
            <w:r>
              <w:rPr>
                <w:color w:val="58595B"/>
                <w:sz w:val="14"/>
              </w:rPr>
              <w:t>No pending items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41"/>
        <w:gridCol w:w="1077"/>
        <w:gridCol w:w="5584"/>
      </w:tblGrid>
      <w:tr>
        <w:trPr>
          <w:trHeight w:val="57"/>
        </w:trPr>
        <w:tc>
          <w:tcPr>
            <w:tcW w:type="dxa" w:w="1871"/>
            <w:shd w:val="clear" w:color="auto" w:fill="000000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0" w:color="000000"/>
              <w:bottom w:val="single" w:sz="0" w:color="000000"/>
              <w:start w:val="single" w:sz="0" w:color="000000"/>
              <w:end w:val="single" w:sz="0" w:color="000000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Theme</w:t>
            </w:r>
          </w:p>
        </w:tc>
        <w:tc>
          <w:tcPr>
            <w:tcW w:type="dxa" w:w="2041"/>
            <w:shd w:val="clear" w:color="auto" w:fill="000000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0" w:color="000000"/>
              <w:bottom w:val="single" w:sz="0" w:color="000000"/>
              <w:start w:val="single" w:sz="0" w:color="000000"/>
              <w:end w:val="single" w:sz="0" w:color="000000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Sub-category</w:t>
            </w:r>
          </w:p>
        </w:tc>
        <w:tc>
          <w:tcPr>
            <w:tcW w:type="dxa" w:w="1077"/>
            <w:shd w:val="clear" w:color="auto" w:fill="000000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0" w:color="000000"/>
              <w:bottom w:val="single" w:sz="0" w:color="000000"/>
              <w:start w:val="single" w:sz="0" w:color="000000"/>
              <w:end w:val="single" w:sz="0" w:color="000000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5584"/>
            <w:shd w:val="clear" w:color="auto" w:fill="000000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0" w:color="000000"/>
              <w:bottom w:val="single" w:sz="0" w:color="000000"/>
              <w:start w:val="single" w:sz="0" w:color="000000"/>
              <w:end w:val="single" w:sz="0" w:color="000000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update &amp; upcoming deadline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DB0011"/>
                <w:sz w:val="16"/>
              </w:rPr>
              <w:t>AM RAS status</w:t>
            </w:r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Model inventory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20" w:line="240" w:lineRule="auto"/>
            </w:pPr>
            <w:r>
              <w:rPr>
                <w:color w:val="1A1A1A"/>
                <w:sz w:val="14"/>
              </w:rPr>
              <w:t>No open items pending remediation.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Update: </w:t>
            </w:r>
            <w:r>
              <w:rPr>
                <w:color w:val="1A1A1A"/>
                <w:sz w:val="14"/>
              </w:rPr>
              <w:t>AM in-use model inventory decreased by one to 20 (vs. May'25), driven by the decommissioning of the Tier 5 HSBC EE Simulator model.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DB0011"/>
                <w:sz w:val="16"/>
              </w:rPr>
              <w:t>Model Landscape</w:t>
            </w:r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Model assurance / tiering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Next milestone: </w:t>
            </w:r>
            <w:r>
              <w:rPr>
                <w:color w:val="1A1A1A"/>
                <w:sz w:val="14"/>
              </w:rPr>
              <w:t>Tiering reassessment due May 2027.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Update: </w:t>
            </w:r>
            <w:r>
              <w:rPr>
                <w:color w:val="1A1A1A"/>
                <w:sz w:val="14"/>
              </w:rPr>
              <w:t>2026 re-tiering exercise complete — of 20 in-use models, 1 is Tier 2, 2 are Tier 3, remaining 17 are Tier 4/5.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Model performance monitoring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Upcoming: </w:t>
            </w:r>
            <w:r>
              <w:rPr>
                <w:color w:val="1A1A1A"/>
                <w:sz w:val="14"/>
              </w:rPr>
              <w:t>3 ESG &amp; Climate models due 2H 2026; remaining models 2027 and beyond.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Action: </w:t>
            </w:r>
            <w:r>
              <w:rPr>
                <w:color w:val="1A1A1A"/>
                <w:sz w:val="14"/>
              </w:rPr>
              <w:t>Notify Model Owner(s) of ESG and Climate models on upcoming timelines.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Back-book validation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Upcoming: </w:t>
            </w:r>
            <w:r>
              <w:rPr>
                <w:color w:val="1A1A1A"/>
                <w:sz w:val="14"/>
              </w:rPr>
              <w:t>2 Tier 5 validations to start 4Q 2026.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Action: </w:t>
            </w:r>
            <w:r>
              <w:rPr>
                <w:color w:val="1A1A1A"/>
                <w:sz w:val="14"/>
              </w:rPr>
              <w:t>Track submissions to ensure First LoD meets the Jul'26 cut-off.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Back-book full remediation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Upcoming: </w:t>
            </w:r>
            <w:r>
              <w:rPr>
                <w:color w:val="1A1A1A"/>
                <w:sz w:val="14"/>
              </w:rPr>
              <w:t>2 revalidations (1 Tier 4, 1 Tier 5) scheduled for Aug'26.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Update: </w:t>
            </w:r>
            <w:r>
              <w:rPr>
                <w:color w:val="1A1A1A"/>
                <w:sz w:val="14"/>
              </w:rPr>
              <w:t>Revalidation dates per the updated Model Risk Policy — expected 2028.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Remediation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DB001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PAST DUE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Upcoming: </w:t>
            </w:r>
            <w:r>
              <w:rPr>
                <w:color w:val="1A1A1A"/>
                <w:sz w:val="14"/>
              </w:rPr>
              <w:t>Target 2028 (TBC).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Action: </w:t>
            </w:r>
            <w:r>
              <w:rPr>
                <w:color w:val="1A1A1A"/>
                <w:sz w:val="14"/>
              </w:rPr>
              <w:t>Following up with Model Owner (I. Kohlmann) on remediation plan.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DB0011"/>
                <w:sz w:val="16"/>
              </w:rPr>
              <w:t>IMR engagement</w:t>
            </w:r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Open MRA — action plan submission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DB001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PAST DUE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Overdue: </w:t>
            </w:r>
            <w:r>
              <w:rPr>
                <w:color w:val="1A1A1A"/>
                <w:sz w:val="14"/>
              </w:rPr>
              <w:t>Tier 5 BarraOne action plan is overdue (aging 31–60 days) with First LoD.</w:t>
            </w:r>
          </w:p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Update: </w:t>
            </w:r>
            <w:r>
              <w:rPr>
                <w:color w:val="1A1A1A"/>
                <w:sz w:val="14"/>
              </w:rPr>
              <w:t>Plan submitted by MD for IMR approval late Jun'26; IMR confirmed review completion by 2nd week of Jul'26.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Open MRA — action plan review &amp; approval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DB001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PAST DUE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20" w:line="240" w:lineRule="auto"/>
            </w:pPr>
            <w:r>
              <w:rPr>
                <w:b/>
                <w:color w:val="58595B"/>
                <w:sz w:val="14"/>
              </w:rPr>
              <w:t xml:space="preserve">Pending: </w:t>
            </w:r>
            <w:r>
              <w:rPr>
                <w:color w:val="1A1A1A"/>
                <w:sz w:val="14"/>
              </w:rPr>
              <w:t>MRI action plan associated with BSG PORT — review &amp; approval pending with IMR.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r/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Open MRA — action plan closure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vAlign w:val="center"/>
          </w:tcPr>
          <w:p>
            <w:pPr>
              <w:spacing w:after="20" w:line="240" w:lineRule="auto"/>
              <w:ind w:left="160"/>
            </w:pPr>
            <w:r>
              <w:rPr>
                <w:rFonts w:ascii="Calibri" w:hAnsi="Calibri"/>
                <w:color w:val="1A1A1A"/>
                <w:sz w:val="14"/>
              </w:rPr>
              <w:t>•  SAA Optimizer model: remediation due Jun'26 (max recommended date 15 Oct'26).</w:t>
            </w:r>
          </w:p>
          <w:p>
            <w:pPr>
              <w:spacing w:after="20" w:line="240" w:lineRule="auto"/>
              <w:ind w:left="160"/>
            </w:pPr>
            <w:r>
              <w:rPr>
                <w:rFonts w:ascii="Calibri" w:hAnsi="Calibri"/>
                <w:color w:val="1A1A1A"/>
                <w:sz w:val="14"/>
              </w:rPr>
              <w:t>•  BBG PORT model: remediation due Aug'26; First LoD applying for extension to 2027 (max recommended date 26 Mar'28).</w:t>
            </w:r>
          </w:p>
          <w:p>
            <w:pPr>
              <w:spacing w:after="20" w:line="240" w:lineRule="auto"/>
              <w:ind w:left="160"/>
            </w:pPr>
            <w:r>
              <w:rPr>
                <w:rFonts w:ascii="Calibri" w:hAnsi="Calibri"/>
                <w:color w:val="1A1A1A"/>
                <w:sz w:val="14"/>
              </w:rPr>
              <w:t>•  IEA Net-Zero Pathways model: remediation due Dec'26 (max recommended date 06 Mar'27).</w:t>
            </w:r>
          </w:p>
          <w:p>
            <w:pPr>
              <w:spacing w:after="20" w:line="240" w:lineRule="auto"/>
              <w:ind w:left="160"/>
            </w:pPr>
            <w:r>
              <w:rPr>
                <w:rFonts w:ascii="Calibri" w:hAnsi="Calibri"/>
                <w:color w:val="1A1A1A"/>
                <w:sz w:val="14"/>
              </w:rPr>
              <w:t>•  Action: notify SAA Optimizer model owner of upcoming timeline and confirm readiness to submit remediation evidence.</w:t>
            </w:r>
          </w:p>
        </w:tc>
      </w:tr>
      <w:tr>
        <w:trPr>
          <w:trHeight w:val="57"/>
        </w:trPr>
        <w:tc>
          <w:tcPr>
            <w:tcW w:type="dxa" w:w="187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DB0011"/>
                <w:sz w:val="16"/>
              </w:rPr>
              <w:t>CMID</w:t>
            </w:r>
          </w:p>
        </w:tc>
        <w:tc>
          <w:tcPr>
            <w:tcW w:type="dxa" w:w="2041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Items for MRC escalation</w:t>
            </w:r>
          </w:p>
        </w:tc>
        <w:tc>
          <w:tcPr>
            <w:tcW w:type="dxa" w:w="1077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EDF2E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E7A46"/>
                <w:sz w:val="14"/>
              </w:rPr>
              <w:t>ON TRACK</w:t>
            </w:r>
          </w:p>
        </w:tc>
        <w:tc>
          <w:tcPr>
            <w:tcW w:type="dxa" w:w="5584"/>
            <w:tcMar>
              <w:top w:w="55" w:type="dxa"/>
              <w:bottom w:w="55" w:type="dxa"/>
              <w:start w:w="100" w:type="dxa"/>
              <w:end w:w="100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color="auto" w:fill="F7F7F7"/>
            <w:vAlign w:val="center"/>
          </w:tcPr>
          <w:p>
            <w:pPr>
              <w:spacing w:after="20" w:line="240" w:lineRule="auto"/>
            </w:pPr>
            <w:r>
              <w:rPr>
                <w:color w:val="1A1A1A"/>
                <w:sz w:val="14"/>
              </w:rPr>
              <w:t>No pending items for review. No items for MRC escalation.</w:t>
            </w:r>
          </w:p>
        </w:tc>
      </w:tr>
    </w:tbl>
    <w:p>
      <w:pPr>
        <w:spacing w:after="20"/>
      </w:pPr>
    </w:p>
    <w:p>
      <w:pPr>
        <w:spacing w:before="40" w:after="0"/>
      </w:pPr>
      <w:r>
        <w:rPr>
          <w:b/>
          <w:color w:val="58595B"/>
          <w:sz w:val="14"/>
        </w:rPr>
        <w:t xml:space="preserve">Note: </w:t>
      </w:r>
      <w:r>
        <w:rPr>
          <w:i/>
          <w:color w:val="8C8D8F"/>
          <w:sz w:val="14"/>
        </w:rPr>
        <w:t>Commentary is refreshed on an exception basis (past due or escalation); other entries are retained unless there is a material status change.</w:t>
      </w:r>
    </w:p>
    <w:p>
      <w:pPr>
        <w:spacing w:before="0"/>
      </w:pPr>
      <w:r>
        <w:rPr>
          <w:b/>
          <w:color w:val="DB0011"/>
          <w:sz w:val="14"/>
        </w:rPr>
        <w:t>RESTRICTED</w:t>
      </w:r>
    </w:p>
    <w:sectPr w:rsidR="00FC693F" w:rsidRPr="0006063C" w:rsidSect="00034616">
      <w:pgSz w:w="11906" w:h="16838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